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rPr>
          <w:rFonts w:ascii="Calibri" w:hAnsi="Calibri"/>
          <w:b/>
          <w:color w:val="19376D"/>
          <w:sz w:val="56"/>
        </w:rPr>
        <w:t>Translation of Tourist Attraction Names</w:t>
      </w:r>
    </w:p>
    <w:p>
      <w:pPr>
        <w:spacing w:before="0" w:after="200"/>
        <w:jc w:val="center"/>
      </w:pPr>
      <w:r>
        <w:rPr>
          <w:rFonts w:ascii="Calibri" w:hAnsi="Calibri"/>
          <w:b w:val="0"/>
          <w:color w:val="7F8C8D"/>
          <w:sz w:val="28"/>
        </w:rPr>
        <w:t>A Brief Guide to Common Mistakes &amp; Correct Translations</w:t>
      </w:r>
    </w:p>
    <w:p>
      <w:pPr>
        <w:spacing w:before="0" w:after="120"/>
        <w:jc w:val="center"/>
      </w:pPr>
      <w:r>
        <w:rPr>
          <w:color w:val="BDC3C7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jc w:val="left"/>
      </w:pPr>
      <w:r>
        <w:rPr>
          <w:rFonts w:ascii="Calibri" w:hAnsi="Calibri"/>
          <w:b/>
          <w:color w:val="C0392B"/>
          <w:sz w:val="36"/>
        </w:rPr>
        <w:t>■ Common Translation Mistakes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5a5a6"/>
          <w:left w:val="single" w:sz="4" w:space="0" w:color="95a5a6"/>
          <w:bottom w:val="single" w:sz="4" w:space="0" w:color="95a5a6"/>
          <w:right w:val="single" w:sz="4" w:space="0" w:color="95a5a6"/>
          <w:insideH w:val="single" w:sz="4" w:space="0" w:color="95a5a6"/>
          <w:insideV w:val="single" w:sz="4" w:space="0" w:color="95a5a6"/>
        </w:tblBorders>
      </w:tblPr>
      <w:tblGrid>
        <w:gridCol w:w="4857"/>
        <w:gridCol w:w="4857"/>
        <w:gridCol w:w="4857"/>
      </w:tblGrid>
      <w:tr>
        <w:tc>
          <w:tcPr>
            <w:tcW w:type="dxa" w:w="3118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68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7654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Calibri" w:hAnsi="Calibri"/>
                <w:color w:val="2C3E50"/>
                <w:sz w:val="20"/>
              </w:rPr>
              <w:t>Wrong</w:t>
            </w:r>
          </w:p>
        </w:tc>
        <w:tc>
          <w:tcPr>
            <w:tcW w:type="dxa" w:w="4857"/>
          </w:tcPr>
          <w:p>
            <w:r/>
            <w:r>
              <w:rPr>
                <w:rFonts w:ascii="Calibri" w:hAnsi="Calibri"/>
                <w:color w:val="2C3E50"/>
                <w:sz w:val="20"/>
              </w:rPr>
              <w:t>Feilai Peak → "Fly come Peak"</w:t>
            </w:r>
          </w:p>
        </w:tc>
        <w:tc>
          <w:tcPr>
            <w:tcW w:type="dxa" w:w="4857"/>
          </w:tcPr>
          <w:p>
            <w:r/>
            <w:r>
              <w:rPr>
                <w:rFonts w:ascii="Calibri" w:hAnsi="Calibri"/>
                <w:color w:val="2C3E50"/>
                <w:sz w:val="20"/>
              </w:rPr>
              <w:t>Word-for-word Chinglish translation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Calibri" w:hAnsi="Calibri"/>
                <w:color w:val="2C3E50"/>
                <w:sz w:val="20"/>
              </w:rPr>
              <w:t>Wrong</w:t>
            </w:r>
          </w:p>
        </w:tc>
        <w:tc>
          <w:tcPr>
            <w:tcW w:type="dxa" w:w="4857"/>
          </w:tcPr>
          <w:p>
            <w:r/>
            <w:r>
              <w:rPr>
                <w:rFonts w:ascii="Calibri" w:hAnsi="Calibri"/>
                <w:color w:val="2C3E50"/>
                <w:sz w:val="20"/>
              </w:rPr>
              <w:t>Wuzhi Mountain → "Five Finger Mountain"</w:t>
            </w:r>
          </w:p>
        </w:tc>
        <w:tc>
          <w:tcPr>
            <w:tcW w:type="dxa" w:w="4857"/>
          </w:tcPr>
          <w:p>
            <w:r/>
            <w:r>
              <w:rPr>
                <w:rFonts w:ascii="Calibri" w:hAnsi="Calibri"/>
                <w:color w:val="2C3E50"/>
                <w:sz w:val="20"/>
              </w:rPr>
              <w:t>Literal translation, too casual, loses historical meaning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Calibri" w:hAnsi="Calibri"/>
                <w:color w:val="2C3E50"/>
                <w:sz w:val="20"/>
              </w:rPr>
              <w:t>Wrong</w:t>
            </w:r>
          </w:p>
        </w:tc>
        <w:tc>
          <w:tcPr>
            <w:tcW w:type="dxa" w:w="4857"/>
          </w:tcPr>
          <w:p>
            <w:r/>
            <w:r>
              <w:rPr>
                <w:rFonts w:ascii="Calibri" w:hAnsi="Calibri"/>
                <w:color w:val="2C3E50"/>
                <w:sz w:val="20"/>
              </w:rPr>
              <w:t>Yuhuatai → "Rain Flower Platform"</w:t>
            </w:r>
          </w:p>
        </w:tc>
        <w:tc>
          <w:tcPr>
            <w:tcW w:type="dxa" w:w="4857"/>
          </w:tcPr>
          <w:p>
            <w:r/>
            <w:r>
              <w:rPr>
                <w:rFonts w:ascii="Calibri" w:hAnsi="Calibri"/>
                <w:color w:val="2C3E50"/>
                <w:sz w:val="20"/>
              </w:rPr>
              <w:t>Fails to reflect true historical background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Calibri" w:hAnsi="Calibri"/>
                <w:color w:val="27AE60"/>
                <w:sz w:val="20"/>
              </w:rPr>
              <w:t>Correct</w:t>
            </w:r>
          </w:p>
        </w:tc>
        <w:tc>
          <w:tcPr>
            <w:tcW w:type="dxa" w:w="4857"/>
          </w:tcPr>
          <w:p>
            <w:r/>
            <w:r>
              <w:rPr>
                <w:rFonts w:ascii="Calibri" w:hAnsi="Calibri"/>
                <w:color w:val="27AE60"/>
                <w:sz w:val="20"/>
              </w:rPr>
              <w:t>West Lake</w:t>
            </w:r>
          </w:p>
        </w:tc>
        <w:tc>
          <w:tcPr>
            <w:tcW w:type="dxa" w:w="4857"/>
          </w:tcPr>
          <w:p>
            <w:r/>
            <w:r>
              <w:rPr>
                <w:rFonts w:ascii="Calibri" w:hAnsi="Calibri"/>
                <w:color w:val="27AE60"/>
                <w:sz w:val="20"/>
              </w:rPr>
              <w:t>Well-established fixed translation, widely accepted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Calibri" w:hAnsi="Calibri"/>
                <w:color w:val="27AE60"/>
                <w:sz w:val="20"/>
              </w:rPr>
              <w:t>Correct</w:t>
            </w:r>
          </w:p>
        </w:tc>
        <w:tc>
          <w:tcPr>
            <w:tcW w:type="dxa" w:w="4857"/>
          </w:tcPr>
          <w:p>
            <w:r/>
            <w:r>
              <w:rPr>
                <w:rFonts w:ascii="Calibri" w:hAnsi="Calibri"/>
                <w:color w:val="27AE60"/>
                <w:sz w:val="20"/>
              </w:rPr>
              <w:t>Summer Palace</w:t>
            </w:r>
          </w:p>
        </w:tc>
        <w:tc>
          <w:tcPr>
            <w:tcW w:type="dxa" w:w="4857"/>
          </w:tcPr>
          <w:p>
            <w:r/>
            <w:r>
              <w:rPr>
                <w:rFonts w:ascii="Calibri" w:hAnsi="Calibri"/>
                <w:color w:val="27AE60"/>
                <w:sz w:val="20"/>
              </w:rPr>
              <w:t>Official name, fits Western naming habits</w:t>
            </w:r>
          </w:p>
        </w:tc>
      </w:tr>
    </w:tbl>
    <w:p>
      <w:pPr>
        <w:spacing w:before="200" w:after="80"/>
        <w:jc w:val="left"/>
      </w:pPr>
      <w:r>
        <w:rPr>
          <w:rFonts w:ascii="Calibri" w:hAnsi="Calibri"/>
          <w:b/>
          <w:color w:val="27AE60"/>
          <w:sz w:val="36"/>
        </w:rPr>
        <w:t>■ Key Takeaways</w:t>
      </w:r>
    </w:p>
    <w:p>
      <w:pPr>
        <w:spacing w:before="20" w:after="20"/>
        <w:ind w:left="283"/>
        <w:jc w:val="left"/>
      </w:pPr>
      <w:r>
        <w:rPr>
          <w:rFonts w:ascii="Calibri" w:hAnsi="Calibri"/>
          <w:color w:val="2C3E50"/>
          <w:sz w:val="26"/>
        </w:rPr>
        <w:t xml:space="preserve"> Avoid word-for-word (literal) translations — they result in Chinglish</w:t>
      </w:r>
    </w:p>
    <w:p>
      <w:pPr>
        <w:spacing w:before="20" w:after="20"/>
        <w:ind w:left="283"/>
        <w:jc w:val="left"/>
      </w:pPr>
      <w:r>
        <w:rPr>
          <w:rFonts w:ascii="Calibri" w:hAnsi="Calibri"/>
          <w:color w:val="2C3E50"/>
          <w:sz w:val="26"/>
        </w:rPr>
        <w:t xml:space="preserve"> Research the historical and cultural background before translating</w:t>
      </w:r>
    </w:p>
    <w:p>
      <w:pPr>
        <w:spacing w:before="20" w:after="20"/>
        <w:ind w:left="283"/>
        <w:jc w:val="left"/>
      </w:pPr>
      <w:r>
        <w:rPr>
          <w:rFonts w:ascii="Calibri" w:hAnsi="Calibri"/>
          <w:color w:val="2C3E50"/>
          <w:sz w:val="26"/>
        </w:rPr>
        <w:t xml:space="preserve"> Use well-established fixed translations when they exist</w:t>
      </w:r>
    </w:p>
    <w:p>
      <w:pPr>
        <w:spacing w:before="20" w:after="20"/>
        <w:ind w:left="283"/>
        <w:jc w:val="left"/>
      </w:pPr>
      <w:r>
        <w:rPr>
          <w:rFonts w:ascii="Calibri" w:hAnsi="Calibri"/>
          <w:color w:val="2C3E50"/>
          <w:sz w:val="26"/>
        </w:rPr>
        <w:t xml:space="preserve"> Follow international conventions and Western naming habits</w:t>
      </w:r>
    </w:p>
    <w:p>
      <w:pPr>
        <w:spacing w:before="320"/>
        <w:jc w:val="center"/>
      </w:pPr>
      <w:r>
        <w:rPr>
          <w:rFonts w:ascii="Calibri" w:hAnsi="Calibri"/>
          <w:i/>
          <w:color w:val="95A5A6"/>
          <w:sz w:val="32"/>
        </w:rPr>
        <w:t>— Thank you —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