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-10]。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[9,11]。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厘米级空间扩展和储备池计算结合起来，说明人工树突器件能够在更大空间尺度上承担时空相关任务[13]。与此同时，二维铁电晶体管等高精度人工突触研究也提示，若器件能够兼顾稳定权值更新与复杂动态响应，并与系统级任务需求形成更稳定的衔接，神经形态硬件才更有可能从概念验证走向可复用的系统计算单元[7,14]。</w:t>
      </w:r>
    </w:p>
    <w:p>
      <w:pPr>
        <w:pStyle w:val="a"/>
      </w:pPr>
      <w:r>
        <w:t>现有研究的局限性与本文研究切入点</w:t>
      </w:r>
    </w:p>
    <w:p>
      <w:pPr/>
      <w:r>
        <w:t>总体来看，现有研究已经从单器件可塑性模拟发展到多端时空信息处理和储备池计算验证，但从研究链条完整性来看，器件、机理和应用之间仍未真正打通[4,14]。一方面，早期三端突触晶体管工作已经证明了长时可塑性和权值可调的可行性，但对多侧栅结构参数、空间尺度和器件可重构性的系统比较仍明显不足[1-2]。另一方面，多端离子调控与人工树突相关研究虽然已展示出丰富的时间动态和储备池潜力，但围绕栅距、非单调空间响应、离子动力学仿真回标以及任务精度映射的闭环证据仍较薄弱，因此本文选择以多侧栅树突突触晶体管为对象，从结构调控、机理分析和识别验证三个层面展开研究[12-13]。</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C，HASLER P，MINCH B A，MEAD C A．A single-transistor silicon synapse[J]．IEEE Transactions on Electron Devices，1996，43(11)：1972-1980．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A，SUN J，QIAN C，et al．Long-term synaptic plasticity simulated in ionic liquid/polymer hybrid electrolyte gated organic transistors[J]．Organic Electronics，2017，47：126-132．</w:t>
      </w:r>
    </w:p>
    <w:p>
      <w:pPr/>
      <w:r>
        <w:t>[3] DAI S，ZHAO Y，WANG Y，et al．Recent Advances in Transistor-Based Artificial Synapses[J]．Advanced Functional Materials，2019，29：1903700．</w:t>
      </w:r>
    </w:p>
    <w:p>
      <w:pPr/>
      <w:r>
        <w:t>[4] WAN Q，ZHU L．神经形态晶体管研究进展[J]．微纳电子与智能制造，2019．</w:t>
      </w:r>
    </w:p>
    <w:p>
      <w:pPr/>
      <w:r>
        <w:t>[5] QIAN C，KONG L A，YANG J，et al．Multi-Gate Organic Neuron Transistors for Spatiotemporal Information Processing[J]．Applied Physics Letters，2017，110：083302．</w:t>
      </w:r>
    </w:p>
    <w:p>
      <w:pPr/>
      <w:r>
        <w:t>[6] LIU S，HE X，SU J，et al．A Light-Stimulus Flexible Synaptic Transistor Based on Ion-Gel Side-Gated Graphene for Neuromorphic Computing[J]．Advanced Photonics Research，2022，3：2200174．</w:t>
      </w:r>
    </w:p>
    <w:p>
      <w:pPr/>
      <w:r>
        <w:t>[7] WANG Z，ZHOU X，LIU X，et al．Van der Waals ferroelectric transistors: the all-round artificial synapses for high-precision neuromorphic computing[J]．Chip，2023，2：100044．</w:t>
      </w:r>
    </w:p>
    <w:p>
      <w:pPr/>
      <w:r>
        <w:t>[8] 朱赛克，赵毅．面向神经形态系统的突触器件及芯片综述与展望[J]．功能材料与器件学报，2024．</w:t>
      </w:r>
    </w:p>
    <w:p>
      <w:pPr/>
      <w:r>
        <w:t>[9] HE Y，NIE S，LIU R，et al．Spatiotemporal Information Processing Emulated by Multiterminal Neuro-Transistor Networks[J]．Advanced Materials，2019，31：1900903．</w:t>
      </w:r>
    </w:p>
    <w:p>
      <w:pPr/>
      <w:r>
        <w:t>[10] HE X，WANG K，WEI D，et al．Lateral ionic-gated graphene synaptic transistor with transition from paired-pulse facilitation to depression for filtering and image recognition[J]．Carbon，2024，226：119161．</w:t>
      </w:r>
    </w:p>
    <w:p>
      <w:pPr/>
      <w:r>
        <w:t>[11] HUANG Y J，WANG W S，HUANG X，et al．Oxide dendrite transistors gated with polyvinyl alcohol/chitosan hybrid electrolyte for spatiotemporal integration[J]．Journal of Alloys and Compounds，2025，1010：177938．</w:t>
      </w:r>
    </w:p>
    <w:p>
      <w:pPr/>
      <w:r>
        <w:t>[12] LIU K，LI J，LI F，et al．A multi-terminal ion-controlled transistor with multifunctionality and wide temporal dynamics for reservoir computing[J]．Nano Research，2024，17(5)：4444-4453．</w:t>
      </w:r>
    </w:p>
    <w:p>
      <w:pPr/>
      <w:r>
        <w:t>[13] NI Y，ZHANG Y，LIN J，et al．Transistor-Structured Artificial Dendrites for Spatiotemporally Correlated Reservoir Computing[J]．IEEE Electron Device Letters，2025，46(10)：1881-1884．</w:t>
      </w:r>
    </w:p>
    <w:p>
      <w:pPr/>
      <w:r>
        <w:t>[14] SUN B，GUO T，ZHOU G，et al．Synaptic devices based neuromorphic computing applications in artificial intelligence[J]．Materials Today Physics，2021，18：100393．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