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160"/>
      </w:pPr>
      <w:r>
        <w:rPr>
          <w:rFonts w:ascii="Arial" w:hAnsi="Arial"/>
          <w:b/>
          <w:color w:val="17365D"/>
          <w:sz w:val="54"/>
        </w:rPr>
        <w:t>Navi Analytics Agent</w:t>
      </w:r>
    </w:p>
    <w:p>
      <w:pPr>
        <w:spacing w:after="360"/>
      </w:pPr>
      <w:r>
        <w:rPr>
          <w:rFonts w:ascii="Arial" w:hAnsi="Arial"/>
          <w:color w:val="6B7280"/>
          <w:sz w:val="26"/>
        </w:rPr>
        <w:t>Mobile App ETL, Streamlit Dashboard, and LLM Tool-Calling Project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EAF4F8"/>
            <w:tcBorders>
              <w:top w:val="single" w:sz="5" w:color="B8D8E5"/>
              <w:left w:val="single" w:sz="5" w:color="B8D8E5"/>
              <w:bottom w:val="single" w:sz="5" w:color="B8D8E5"/>
              <w:right w:val="single" w:sz="5" w:color="B8D8E5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E7490"/>
                <w:sz w:val="19"/>
              </w:rPr>
              <w:t>Python</w:t>
            </w:r>
          </w:p>
        </w:tc>
        <w:tc>
          <w:tcPr>
            <w:tcW w:type="dxa" w:w="2016"/>
            <w:shd w:fill="EAF4F8"/>
            <w:tcBorders>
              <w:top w:val="single" w:sz="5" w:color="B8D8E5"/>
              <w:left w:val="single" w:sz="5" w:color="B8D8E5"/>
              <w:bottom w:val="single" w:sz="5" w:color="B8D8E5"/>
              <w:right w:val="single" w:sz="5" w:color="B8D8E5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E7490"/>
                <w:sz w:val="19"/>
              </w:rPr>
              <w:t>SQL</w:t>
            </w:r>
          </w:p>
        </w:tc>
        <w:tc>
          <w:tcPr>
            <w:tcW w:type="dxa" w:w="2016"/>
            <w:shd w:fill="EAF4F8"/>
            <w:tcBorders>
              <w:top w:val="single" w:sz="5" w:color="B8D8E5"/>
              <w:left w:val="single" w:sz="5" w:color="B8D8E5"/>
              <w:bottom w:val="single" w:sz="5" w:color="B8D8E5"/>
              <w:right w:val="single" w:sz="5" w:color="B8D8E5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E7490"/>
                <w:sz w:val="19"/>
              </w:rPr>
              <w:t>SQLite</w:t>
            </w:r>
          </w:p>
        </w:tc>
        <w:tc>
          <w:tcPr>
            <w:tcW w:type="dxa" w:w="2016"/>
            <w:shd w:fill="EAF4F8"/>
            <w:tcBorders>
              <w:top w:val="single" w:sz="5" w:color="B8D8E5"/>
              <w:left w:val="single" w:sz="5" w:color="B8D8E5"/>
              <w:bottom w:val="single" w:sz="5" w:color="B8D8E5"/>
              <w:right w:val="single" w:sz="5" w:color="B8D8E5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E7490"/>
                <w:sz w:val="19"/>
              </w:rPr>
              <w:t>Streamlit</w:t>
            </w:r>
          </w:p>
        </w:tc>
        <w:tc>
          <w:tcPr>
            <w:tcW w:type="dxa" w:w="2016"/>
            <w:shd w:fill="EAF4F8"/>
            <w:tcBorders>
              <w:top w:val="single" w:sz="5" w:color="B8D8E5"/>
              <w:left w:val="single" w:sz="5" w:color="B8D8E5"/>
              <w:bottom w:val="single" w:sz="5" w:color="B8D8E5"/>
              <w:right w:val="single" w:sz="5" w:color="B8D8E5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E7490"/>
                <w:sz w:val="19"/>
              </w:rPr>
              <w:t>OpenAI API</w:t>
            </w:r>
          </w:p>
        </w:tc>
      </w:tr>
    </w:tbl>
    <w:p>
      <w:pPr>
        <w:spacing w:after="200"/>
      </w:pPr>
    </w:p>
    <w:p>
      <w:pPr>
        <w:spacing w:before="60" w:after="100"/>
        <w:pBdr>
          <w:bottom w:val="single" w:sz="6" w:space="1" w:color="0E7490"/>
        </w:pBdr>
      </w:pPr>
    </w:p>
    <w:p>
      <w:pPr>
        <w:spacing w:before="80" w:after="80"/>
      </w:pPr>
      <w:r>
        <w:rPr>
          <w:rFonts w:ascii="Arial" w:hAnsi="Arial"/>
          <w:b/>
          <w:color w:val="0E7490"/>
          <w:sz w:val="18"/>
        </w:rPr>
        <w:t>STUDENT PROJECT BRIEF</w:t>
      </w:r>
    </w:p>
    <w:p>
      <w:pPr>
        <w:spacing w:after="160"/>
      </w:pPr>
      <w:r>
        <w:rPr>
          <w:b/>
        </w:rPr>
        <w:t xml:space="preserve">Navi is a mobile learning app with an AI study companion. </w:t>
      </w:r>
      <w:r>
        <w:t>The product team wants a reliable analytics foundation for monitoring app engagement, agent quality, and subscription outcomes. They also want an in-dashboard assistant that can answer natural-language metric questions using the warehouse you build.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4F8"/>
            <w:tcBorders>
              <w:top w:val="single" w:sz="6" w:color="0E7490"/>
              <w:left w:val="single" w:sz="6" w:color="0E7490"/>
              <w:bottom w:val="single" w:sz="6" w:color="0E7490"/>
              <w:right w:val="single" w:sz="6" w:color="0E7490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17365D"/>
                <w:sz w:val="21"/>
              </w:rPr>
              <w:t>Project in one sentence</w:t>
            </w:r>
          </w:p>
          <w:p>
            <w:pPr>
              <w:spacing w:before="20" w:after="40"/>
            </w:pPr>
            <w:r>
              <w:rPr>
                <w:rFonts w:ascii="Arial" w:hAnsi="Arial"/>
                <w:color w:val="1F2937"/>
                <w:sz w:val="19"/>
              </w:rPr>
              <w:t>Build a reproducible ETL pipeline, turn the resulting warehouse into a decision-ready Streamlit dashboard, and add a grounded Analytics Agent that uses an LLM plus approved data tools to answer questions such as “What was DAU by country last week?”</w:t>
            </w:r>
          </w:p>
        </w:tc>
      </w:tr>
    </w:tbl>
    <w:p>
      <w:pPr>
        <w:spacing w:after="20"/>
      </w:pPr>
    </w:p>
    <w:p>
      <w:pPr>
        <w:pStyle w:val="Heading1"/>
      </w:pPr>
      <w:r>
        <w:t>1. What you will build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94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Stage</w:t>
            </w:r>
          </w:p>
        </w:tc>
        <w:tc>
          <w:tcPr>
            <w:tcW w:type="dxa" w:w="324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Focus</w:t>
            </w:r>
          </w:p>
        </w:tc>
        <w:tc>
          <w:tcPr>
            <w:tcW w:type="dxa" w:w="5256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What it could look like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1. ETL and warehouse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Turn raw mobile app, agent, and subscription logs into trustworthy relational tables.</w:t>
            </w:r>
          </w:p>
        </w:tc>
        <w:tc>
          <w:tcPr>
            <w:tcW w:type="dxa" w:w="52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Python ingestion and transformation scripts that load a SQLite database and document quality decisions.</w:t>
            </w:r>
          </w:p>
        </w:tc>
      </w:tr>
      <w:tr>
        <w:trPr>
          <w:cantSplit/>
        </w:trPr>
        <w:tc>
          <w:tcPr>
            <w:tcW w:type="dxa" w:w="1944"/>
            <w:shd w:fill="F4F6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2. Product dashboard</w:t>
            </w:r>
          </w:p>
        </w:tc>
        <w:tc>
          <w:tcPr>
            <w:tcW w:type="dxa" w:w="3240"/>
            <w:shd w:fill="F4F6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Make KPI trends and segment differences easy to explore.</w:t>
            </w:r>
          </w:p>
        </w:tc>
        <w:tc>
          <w:tcPr>
            <w:tcW w:type="dxa" w:w="5256"/>
            <w:shd w:fill="F4F6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A Streamlit app with date and segment filters, KPI cards, charts, and a clear metric glossary.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3. Analytics Agent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Answer product questions with tool-backed, explainable responses.</w:t>
            </w:r>
          </w:p>
        </w:tc>
        <w:tc>
          <w:tcPr>
            <w:tcW w:type="dxa" w:w="52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An LLM calls a small set of read-only Python tools. The tools query SQLite and return aggregates for the final response.</w:t>
            </w:r>
          </w:p>
        </w:tc>
      </w:tr>
      <w:tr>
        <w:trPr>
          <w:cantSplit/>
        </w:trPr>
        <w:tc>
          <w:tcPr>
            <w:tcW w:type="dxa" w:w="1944"/>
            <w:shd w:fill="F4F6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4. Business narrative</w:t>
            </w:r>
          </w:p>
        </w:tc>
        <w:tc>
          <w:tcPr>
            <w:tcW w:type="dxa" w:w="3240"/>
            <w:shd w:fill="F4F6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Translate findings into product recommendations.</w:t>
            </w:r>
          </w:p>
        </w:tc>
        <w:tc>
          <w:tcPr>
            <w:tcW w:type="dxa" w:w="5256"/>
            <w:shd w:fill="F4F6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A concise memo or presentation with several insights, tradeoffs, and next steps.</w:t>
            </w:r>
          </w:p>
        </w:tc>
      </w:tr>
    </w:tbl>
    <w:p>
      <w:pPr>
        <w:spacing w:after="20"/>
      </w:pPr>
    </w:p>
    <w:p>
      <w:pPr>
        <w:pStyle w:val="Heading1"/>
      </w:pPr>
      <w:r>
        <w:t>2. Learning goals</w:t>
      </w:r>
    </w:p>
    <w:p>
      <w:pPr>
        <w:pStyle w:val="ListBullet"/>
        <w:spacing w:after="40"/>
        <w:ind w:left="317" w:hanging="202"/>
      </w:pPr>
      <w:r>
        <w:rPr>
          <w:rFonts w:ascii="Arial" w:hAnsi="Arial"/>
          <w:sz w:val="20"/>
        </w:rPr>
        <w:t>Practice a product analytics workflow from raw data through stakeholder-facing outputs.</w:t>
      </w:r>
    </w:p>
    <w:p>
      <w:pPr>
        <w:pStyle w:val="ListBullet"/>
        <w:spacing w:after="40"/>
        <w:ind w:left="317" w:hanging="202"/>
      </w:pPr>
      <w:r>
        <w:rPr>
          <w:rFonts w:ascii="Arial" w:hAnsi="Arial"/>
          <w:sz w:val="20"/>
        </w:rPr>
        <w:t>Design a small relational data model that supports repeatable metrics rather than one-off notebook calculations.</w:t>
      </w:r>
    </w:p>
    <w:p>
      <w:pPr>
        <w:pStyle w:val="ListBullet"/>
        <w:spacing w:after="40"/>
        <w:ind w:left="317" w:hanging="202"/>
      </w:pPr>
      <w:r>
        <w:rPr>
          <w:rFonts w:ascii="Arial" w:hAnsi="Arial"/>
          <w:sz w:val="20"/>
        </w:rPr>
        <w:t>Build a Streamlit dashboard that makes trends, segments, and tradeoffs easy to understand.</w:t>
      </w:r>
    </w:p>
    <w:p>
      <w:pPr>
        <w:pStyle w:val="ListBullet"/>
        <w:spacing w:after="40"/>
        <w:ind w:left="317" w:hanging="202"/>
      </w:pPr>
      <w:r>
        <w:rPr>
          <w:rFonts w:ascii="Arial" w:hAnsi="Arial"/>
          <w:sz w:val="20"/>
        </w:rPr>
        <w:t>Implement a lightweight, tool-using LLM experience without needing LangChain, RAG, or a multi-agent framework.</w:t>
      </w:r>
    </w:p>
    <w:p>
      <w:pPr>
        <w:pStyle w:val="ListBullet"/>
        <w:spacing w:after="40"/>
        <w:ind w:left="317" w:hanging="202"/>
      </w:pPr>
      <w:r>
        <w:rPr>
          <w:rFonts w:ascii="Arial" w:hAnsi="Arial"/>
          <w:sz w:val="20"/>
        </w:rPr>
        <w:t>Learn to separate an LLM’s natural-language interface from the controlled data access layer that produces numbers.</w:t>
      </w:r>
    </w:p>
    <w:p>
      <w:pPr>
        <w:pStyle w:val="Heading1"/>
      </w:pPr>
      <w:r>
        <w:t>3. Product context</w:t>
      </w:r>
    </w:p>
    <w:p>
      <w:r>
        <w:t>Navi offers a standard mobile study experience and an AI study companion. Users can open the app, browse learning content, submit prompts to the agent, begin a trial, become paying subscribers, or cancel. The leadership team is interested in questions such as:</w:t>
      </w:r>
    </w:p>
    <w:p>
      <w:pPr>
        <w:pStyle w:val="ListBullet"/>
        <w:spacing w:after="40"/>
        <w:ind w:left="317" w:hanging="202"/>
      </w:pPr>
      <w:r>
        <w:rPr>
          <w:rFonts w:ascii="Arial" w:hAnsi="Arial"/>
          <w:sz w:val="20"/>
        </w:rPr>
        <w:t>Which markets, devices, or acquisition channels are driving daily active users?</w:t>
      </w:r>
    </w:p>
    <w:p>
      <w:pPr>
        <w:pStyle w:val="ListBullet"/>
        <w:spacing w:after="40"/>
        <w:ind w:left="317" w:hanging="202"/>
      </w:pPr>
      <w:r>
        <w:rPr>
          <w:rFonts w:ascii="Arial" w:hAnsi="Arial"/>
          <w:sz w:val="20"/>
        </w:rPr>
        <w:t>How often do active users engage with the AI study companion?</w:t>
      </w:r>
    </w:p>
    <w:p>
      <w:pPr>
        <w:pStyle w:val="ListBullet"/>
        <w:spacing w:after="40"/>
        <w:ind w:left="317" w:hanging="202"/>
      </w:pPr>
      <w:r>
        <w:rPr>
          <w:rFonts w:ascii="Arial" w:hAnsi="Arial"/>
          <w:sz w:val="20"/>
        </w:rPr>
        <w:t>Where is agent quality weak, for example high latency, handoffs, or lower satisfaction?</w:t>
      </w:r>
    </w:p>
    <w:p>
      <w:pPr>
        <w:pStyle w:val="ListBullet"/>
        <w:spacing w:after="40"/>
        <w:ind w:left="317" w:hanging="202"/>
      </w:pPr>
      <w:r>
        <w:rPr>
          <w:rFonts w:ascii="Arial" w:hAnsi="Arial"/>
          <w:sz w:val="20"/>
        </w:rPr>
        <w:t>Which cohorts are more likely to begin a trial or convert to paid?</w:t>
      </w:r>
    </w:p>
    <w:p>
      <w:pPr>
        <w:pStyle w:val="ListBullet"/>
        <w:spacing w:after="40"/>
        <w:ind w:left="317" w:hanging="202"/>
      </w:pPr>
      <w:r>
        <w:rPr>
          <w:rFonts w:ascii="Arial" w:hAnsi="Arial"/>
          <w:sz w:val="20"/>
        </w:rPr>
        <w:t>How can a product manager ask a simple question and receive a metric-backed answer without writing SQL?</w:t>
      </w:r>
    </w:p>
    <w:p>
      <w:pPr>
        <w:pStyle w:val="Heading1"/>
      </w:pPr>
      <w:r>
        <w:t>4. Data assets</w:t>
      </w:r>
    </w:p>
    <w:p>
      <w:r>
        <w:t>The raw files live in data/raw/. The accompanying data dictionary describes field meanings and types. Use the source files as the starting point for your own inspection, rather than assuming that every record should enter a KPI unchanged.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016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File</w:t>
            </w:r>
          </w:p>
        </w:tc>
        <w:tc>
          <w:tcPr>
            <w:tcW w:type="dxa" w:w="446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What it contains</w:t>
            </w:r>
          </w:p>
        </w:tc>
        <w:tc>
          <w:tcPr>
            <w:tcW w:type="dxa" w:w="396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Potential analytical use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users.csv</w:t>
            </w:r>
          </w:p>
        </w:tc>
        <w:tc>
          <w:tcPr>
            <w:tcW w:type="dxa" w:w="44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Account-level attributes such as signup time, country, device, and acquisition channel.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Segment definitions and cohort analysis.</w:t>
            </w:r>
          </w:p>
        </w:tc>
      </w:tr>
      <w:tr>
        <w:trPr>
          <w:cantSplit/>
        </w:trPr>
        <w:tc>
          <w:tcPr>
            <w:tcW w:type="dxa" w:w="2016"/>
            <w:shd w:fill="F4F6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app_events.csv</w:t>
            </w:r>
          </w:p>
        </w:tc>
        <w:tc>
          <w:tcPr>
            <w:tcW w:type="dxa" w:w="4464"/>
            <w:shd w:fill="F4F6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Mobile app behavioral events, session identifiers, app version, and test flags.</w:t>
            </w:r>
          </w:p>
        </w:tc>
        <w:tc>
          <w:tcPr>
            <w:tcW w:type="dxa" w:w="3960"/>
            <w:shd w:fill="F4F6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DAU, feature usage, funnel activity, and retention.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agent_interactions.csv</w:t>
            </w:r>
          </w:p>
        </w:tc>
        <w:tc>
          <w:tcPr>
            <w:tcW w:type="dxa" w:w="44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AI study companion requests, tool usage, latency, resolution, escalation, and optional satisfaction scores.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Agent adoption, reliability, cost, and service quality.</w:t>
            </w:r>
          </w:p>
        </w:tc>
      </w:tr>
      <w:tr>
        <w:trPr>
          <w:cantSplit/>
        </w:trPr>
        <w:tc>
          <w:tcPr>
            <w:tcW w:type="dxa" w:w="2016"/>
            <w:shd w:fill="F4F6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subscriptions.csv</w:t>
            </w:r>
          </w:p>
        </w:tc>
        <w:tc>
          <w:tcPr>
            <w:tcW w:type="dxa" w:w="4464"/>
            <w:shd w:fill="F4F6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Trial, paid conversion, cancellation, price, and subscription status information.</w:t>
            </w:r>
          </w:p>
        </w:tc>
        <w:tc>
          <w:tcPr>
            <w:tcW w:type="dxa" w:w="3960"/>
            <w:shd w:fill="F4F6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Trial starts, paid conversion, and cancellation patterns.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8E1"/>
            <w:tcBorders>
              <w:top w:val="single" w:sz="6" w:color="0E7490"/>
              <w:left w:val="single" w:sz="6" w:color="0E7490"/>
              <w:bottom w:val="single" w:sz="6" w:color="0E7490"/>
              <w:right w:val="single" w:sz="6" w:color="0E7490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17365D"/>
                <w:sz w:val="21"/>
              </w:rPr>
              <w:t>Useful data-quality mindset</w:t>
            </w:r>
          </w:p>
          <w:p>
            <w:pPr>
              <w:spacing w:before="20" w:after="40"/>
            </w:pPr>
            <w:r>
              <w:rPr>
                <w:rFonts w:ascii="Arial" w:hAnsi="Arial"/>
                <w:color w:val="1F2937"/>
                <w:sz w:val="19"/>
              </w:rPr>
              <w:t>Start by profiling row counts, primary-key uniqueness, time coverage, nulls, outliers, unmatched user IDs, and test or debug traffic. Explain your own treatment decisions in a short data-quality note. For product KPIs, test or debug records should stay outside the user-facing metric layer, and duplicate event identifiers should not inflate activity counts.</w:t>
            </w:r>
          </w:p>
        </w:tc>
      </w:tr>
    </w:tbl>
    <w:p>
      <w:pPr>
        <w:spacing w:after="20"/>
      </w:pPr>
    </w:p>
    <w:p>
      <w:pPr>
        <w:pStyle w:val="Heading1"/>
      </w:pPr>
      <w:r>
        <w:t>5. Suggested ETL approach</w:t>
      </w:r>
    </w:p>
    <w:p>
      <w:r>
        <w:t>The provided starter files use Python, pandas, SQLite, and SQL. You can adapt the table design or use a different relational engine if it helps your learning, but the dashboard and agent should read from the same curated analytics layer.</w:t>
      </w:r>
    </w:p>
    <w:p>
      <w:pPr>
        <w:spacing w:after="40"/>
        <w:ind w:left="403" w:hanging="288"/>
      </w:pPr>
      <w:r>
        <w:rPr>
          <w:rFonts w:ascii="Arial" w:hAnsi="Arial"/>
          <w:sz w:val="20"/>
        </w:rPr>
        <w:t>1.  Explore the raw files and create a compact quality report describing important decisions and their impact.</w:t>
      </w:r>
    </w:p>
    <w:p>
      <w:pPr>
        <w:spacing w:after="40"/>
        <w:ind w:left="403" w:hanging="288"/>
      </w:pPr>
      <w:r>
        <w:rPr>
          <w:rFonts w:ascii="Arial" w:hAnsi="Arial"/>
          <w:sz w:val="20"/>
        </w:rPr>
        <w:t>2.  Extract the raw CSVs with reproducible Python code.</w:t>
      </w:r>
    </w:p>
    <w:p>
      <w:pPr>
        <w:spacing w:after="40"/>
        <w:ind w:left="403" w:hanging="288"/>
      </w:pPr>
      <w:r>
        <w:rPr>
          <w:rFonts w:ascii="Arial" w:hAnsi="Arial"/>
          <w:sz w:val="20"/>
        </w:rPr>
        <w:t>3.  Transform timestamps, build calendar fields, standardize categories, treat duplicates and test traffic, and document any exceptional cases.</w:t>
      </w:r>
    </w:p>
    <w:p>
      <w:pPr>
        <w:spacing w:after="40"/>
        <w:ind w:left="403" w:hanging="288"/>
      </w:pPr>
      <w:r>
        <w:rPr>
          <w:rFonts w:ascii="Arial" w:hAnsi="Arial"/>
          <w:sz w:val="20"/>
        </w:rPr>
        <w:t>4.  Load curated tables into warehouse/navi_analytics.db or an equivalent relational database.</w:t>
      </w:r>
    </w:p>
    <w:p>
      <w:pPr>
        <w:spacing w:after="40"/>
        <w:ind w:left="403" w:hanging="288"/>
      </w:pPr>
      <w:r>
        <w:rPr>
          <w:rFonts w:ascii="Arial" w:hAnsi="Arial"/>
          <w:sz w:val="20"/>
        </w:rPr>
        <w:t>5.  Create a user-day or daily metrics layer that makes dashboard queries concise and consistent.</w:t>
      </w:r>
    </w:p>
    <w:p>
      <w:pPr>
        <w:spacing w:after="40"/>
        <w:ind w:left="403" w:hanging="288"/>
      </w:pPr>
      <w:r>
        <w:rPr>
          <w:rFonts w:ascii="Arial" w:hAnsi="Arial"/>
          <w:sz w:val="20"/>
        </w:rPr>
        <w:t>6.  Validate a few KPI calculations with both SQL and a small Python cross-check before building visuals.</w:t>
      </w:r>
    </w:p>
    <w:p>
      <w:pPr>
        <w:pStyle w:val="Heading2"/>
      </w:pPr>
      <w:r>
        <w:t>Recommended warehouse structure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58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460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Suggested tables</w:t>
            </w:r>
          </w:p>
        </w:tc>
        <w:tc>
          <w:tcPr>
            <w:tcW w:type="dxa" w:w="424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Dimensions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dim_users, dim_date</w:t>
            </w:r>
          </w:p>
        </w:tc>
        <w:tc>
          <w:tcPr>
            <w:tcW w:type="dxa" w:w="4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Stable user and calendar attributes.</w:t>
            </w:r>
          </w:p>
        </w:tc>
      </w:tr>
      <w:tr>
        <w:trPr>
          <w:cantSplit/>
        </w:trPr>
        <w:tc>
          <w:tcPr>
            <w:tcW w:type="dxa" w:w="1584"/>
            <w:shd w:fill="F4F6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Facts</w:t>
            </w:r>
          </w:p>
        </w:tc>
        <w:tc>
          <w:tcPr>
            <w:tcW w:type="dxa" w:w="4608"/>
            <w:shd w:fill="F4F6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fact_app_events, fact_agent_interactions, fact_subscriptions</w:t>
            </w:r>
          </w:p>
        </w:tc>
        <w:tc>
          <w:tcPr>
            <w:tcW w:type="dxa" w:w="4248"/>
            <w:shd w:fill="F4F6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Cleaned, analysis-ready source records.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Marts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mart_user_day, daily_product_metrics</w:t>
            </w:r>
          </w:p>
        </w:tc>
        <w:tc>
          <w:tcPr>
            <w:tcW w:type="dxa" w:w="4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Reusable daily and segment-level metrics for the dashboard and agent.</w:t>
            </w:r>
          </w:p>
        </w:tc>
      </w:tr>
      <w:tr>
        <w:trPr>
          <w:cantSplit/>
        </w:trPr>
        <w:tc>
          <w:tcPr>
            <w:tcW w:type="dxa" w:w="1584"/>
            <w:shd w:fill="F4F6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Quality</w:t>
            </w:r>
          </w:p>
        </w:tc>
        <w:tc>
          <w:tcPr>
            <w:tcW w:type="dxa" w:w="4608"/>
            <w:shd w:fill="F4F6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optional quarantine tables or validation outputs</w:t>
            </w:r>
          </w:p>
        </w:tc>
        <w:tc>
          <w:tcPr>
            <w:tcW w:type="dxa" w:w="4248"/>
            <w:shd w:fill="F4F6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A transparent place for records that need special handling.</w:t>
            </w:r>
          </w:p>
        </w:tc>
      </w:tr>
    </w:tbl>
    <w:p>
      <w:pPr>
        <w:spacing w:after="20"/>
      </w:pPr>
    </w:p>
    <w:p>
      <w:pPr>
        <w:pStyle w:val="Heading1"/>
      </w:pPr>
      <w:r>
        <w:t>6. Streamlit dashboard</w:t>
      </w:r>
    </w:p>
    <w:p>
      <w:r>
        <w:t>Use Streamlit to create the product-facing interface. The final design is open, but a useful dashboard typically gives a stakeholder a quick health check, a way to filter by time and segment, and a path to investigate a surprising trend.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376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806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Examples of useful content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Overview</w:t>
            </w:r>
          </w:p>
        </w:tc>
        <w:tc>
          <w:tcPr>
            <w:tcW w:type="dxa" w:w="80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DAU, agent adoption, p50 or p95 latency, agent resolution, paid conversion, and a simple data-quality status.</w:t>
            </w:r>
          </w:p>
        </w:tc>
      </w:tr>
      <w:tr>
        <w:trPr>
          <w:cantSplit/>
        </w:trPr>
        <w:tc>
          <w:tcPr>
            <w:tcW w:type="dxa" w:w="2376"/>
            <w:shd w:fill="F4F6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Active users</w:t>
            </w:r>
          </w:p>
        </w:tc>
        <w:tc>
          <w:tcPr>
            <w:tcW w:type="dxa" w:w="8064"/>
            <w:shd w:fill="F4F6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DAU trend, DAU by country or device, acquisition-channel comparison, and app-version cut.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Agent health</w:t>
            </w:r>
          </w:p>
        </w:tc>
        <w:tc>
          <w:tcPr>
            <w:tcW w:type="dxa" w:w="80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Interaction volume, success or timeout mix, resolution, escalation, CSAT, latency distribution, tool-use mix, and estimated token cost.</w:t>
            </w:r>
          </w:p>
        </w:tc>
      </w:tr>
      <w:tr>
        <w:trPr>
          <w:cantSplit/>
        </w:trPr>
        <w:tc>
          <w:tcPr>
            <w:tcW w:type="dxa" w:w="2376"/>
            <w:shd w:fill="F4F6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Subscription and retention</w:t>
            </w:r>
          </w:p>
        </w:tc>
        <w:tc>
          <w:tcPr>
            <w:tcW w:type="dxa" w:w="8064"/>
            <w:shd w:fill="F4F6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Trial starts, paid conversion, cancellation, D1 or D7 retention, and segment comparisons.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Ask Navi Analytics Agent</w:t>
            </w:r>
          </w:p>
        </w:tc>
        <w:tc>
          <w:tcPr>
            <w:tcW w:type="dxa" w:w="80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A chat-like interaction that uses the same warehouse and current dashboard filters as context.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4F8"/>
            <w:tcBorders>
              <w:top w:val="single" w:sz="6" w:color="0E7490"/>
              <w:left w:val="single" w:sz="6" w:color="0E7490"/>
              <w:bottom w:val="single" w:sz="6" w:color="0E7490"/>
              <w:right w:val="single" w:sz="6" w:color="0E7490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17365D"/>
                <w:sz w:val="21"/>
              </w:rPr>
              <w:t>Consistency check</w:t>
            </w:r>
          </w:p>
          <w:p>
            <w:pPr>
              <w:spacing w:before="20" w:after="40"/>
            </w:pPr>
            <w:r>
              <w:rPr>
                <w:rFonts w:ascii="Arial" w:hAnsi="Arial"/>
                <w:color w:val="1F2937"/>
                <w:sz w:val="19"/>
              </w:rPr>
              <w:t>The dashboard and Analytics Agent should use the same metric definitions and curated tables. A strong submission makes the selected date range and filters visible in both places, so a stakeholder can reproduce the answer.</w:t>
            </w:r>
          </w:p>
        </w:tc>
      </w:tr>
    </w:tbl>
    <w:p>
      <w:pPr>
        <w:spacing w:after="20"/>
      </w:pPr>
    </w:p>
    <w:p>
      <w:pPr>
        <w:pStyle w:val="Heading1"/>
      </w:pPr>
      <w:r>
        <w:t>7. The Analytics Agent feature</w:t>
      </w:r>
    </w:p>
    <w:p>
      <w:r>
        <w:t>The Analytics Agent is more than a Streamlit chat box. It uses an LLM to understand the user’s question, selects an approved read-only Python tool, receives an aggregate result from SQLite, and then explains that result in plain language.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108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936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What happens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1. Ask</w:t>
            </w:r>
          </w:p>
        </w:tc>
        <w:tc>
          <w:tcPr>
            <w:tcW w:type="dxa" w:w="93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A user asks a business question in the dashboard, for example “What was DAU by country last week?”</w:t>
            </w:r>
          </w:p>
        </w:tc>
      </w:tr>
      <w:tr>
        <w:trPr>
          <w:cantSplit/>
        </w:trPr>
        <w:tc>
          <w:tcPr>
            <w:tcW w:type="dxa" w:w="1080"/>
            <w:shd w:fill="F4F6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2. Decide</w:t>
            </w:r>
          </w:p>
        </w:tc>
        <w:tc>
          <w:tcPr>
            <w:tcW w:type="dxa" w:w="9360"/>
            <w:shd w:fill="F4F6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The LLM receives tool descriptions and chooses the most appropriate tool or asks a concise clarification question.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3. Query</w:t>
            </w:r>
          </w:p>
        </w:tc>
        <w:tc>
          <w:tcPr>
            <w:tcW w:type="dxa" w:w="93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A Python tool validates arguments and runs parameterized, read-only SQL against the curated warehouse.</w:t>
            </w:r>
          </w:p>
        </w:tc>
      </w:tr>
      <w:tr>
        <w:trPr>
          <w:cantSplit/>
        </w:trPr>
        <w:tc>
          <w:tcPr>
            <w:tcW w:type="dxa" w:w="1080"/>
            <w:shd w:fill="F4F6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4. Explain</w:t>
            </w:r>
          </w:p>
        </w:tc>
        <w:tc>
          <w:tcPr>
            <w:tcW w:type="dxa" w:w="9360"/>
            <w:shd w:fill="F4F6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The aggregate result returns to the LLM, which summarizes the answer, including the metric, date range, filters, and caveats.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5. Audit</w:t>
            </w:r>
          </w:p>
        </w:tc>
        <w:tc>
          <w:tcPr>
            <w:tcW w:type="dxa" w:w="93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The UI displays a compact tool audit so a reviewer can see which tool was used and what parameters were applied.</w:t>
            </w:r>
          </w:p>
        </w:tc>
      </w:tr>
    </w:tbl>
    <w:p>
      <w:pPr>
        <w:spacing w:after="20"/>
      </w:pPr>
    </w:p>
    <w:p>
      <w:r>
        <w:t>A practical starting set includes three or more read-only tools. One should handle DAU by segment. The other tools can focus on agent health, retention, subscriptions, metric definitions, or another well-defined use case.</w:t>
      </w:r>
    </w:p>
    <w:p>
      <w:pPr>
        <w:pStyle w:val="ListBullet"/>
        <w:spacing w:after="40"/>
        <w:ind w:left="317" w:hanging="202"/>
      </w:pPr>
      <w:r>
        <w:rPr>
          <w:rFonts w:ascii="Arial" w:hAnsi="Arial"/>
          <w:sz w:val="20"/>
        </w:rPr>
        <w:t>get_dau_by_group(start_date, end_date, group_by, filters)</w:t>
      </w:r>
    </w:p>
    <w:p>
      <w:pPr>
        <w:pStyle w:val="ListBullet"/>
        <w:spacing w:after="40"/>
        <w:ind w:left="317" w:hanging="202"/>
      </w:pPr>
      <w:r>
        <w:rPr>
          <w:rFonts w:ascii="Arial" w:hAnsi="Arial"/>
          <w:sz w:val="20"/>
        </w:rPr>
        <w:t>get_agent_health_by_group(start_date, end_date, group_by, filters)</w:t>
      </w:r>
    </w:p>
    <w:p>
      <w:pPr>
        <w:pStyle w:val="ListBullet"/>
        <w:spacing w:after="40"/>
        <w:ind w:left="317" w:hanging="202"/>
      </w:pPr>
      <w:r>
        <w:rPr>
          <w:rFonts w:ascii="Arial" w:hAnsi="Arial"/>
          <w:sz w:val="20"/>
        </w:rPr>
        <w:t>get_subscription_metrics_by_group(start_date, end_date, group_by, filters)</w:t>
      </w:r>
    </w:p>
    <w:p>
      <w:pPr>
        <w:pStyle w:val="ListBullet"/>
        <w:spacing w:after="40"/>
        <w:ind w:left="317" w:hanging="202"/>
      </w:pPr>
      <w:r>
        <w:rPr>
          <w:rFonts w:ascii="Arial" w:hAnsi="Arial"/>
          <w:sz w:val="20"/>
        </w:rPr>
        <w:t>get_metric_definition(metric_name)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1F2"/>
            <w:tcBorders>
              <w:top w:val="single" w:sz="6" w:color="0E7490"/>
              <w:left w:val="single" w:sz="6" w:color="0E7490"/>
              <w:bottom w:val="single" w:sz="6" w:color="0E7490"/>
              <w:right w:val="single" w:sz="6" w:color="0E7490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17365D"/>
                <w:sz w:val="21"/>
              </w:rPr>
              <w:t>Important limitation</w:t>
            </w:r>
          </w:p>
          <w:p>
            <w:pPr>
              <w:spacing w:before="20" w:after="40"/>
            </w:pPr>
            <w:r>
              <w:rPr>
                <w:rFonts w:ascii="Arial" w:hAnsi="Arial"/>
                <w:color w:val="1F2937"/>
                <w:sz w:val="19"/>
              </w:rPr>
              <w:t>Keep data access narrow and auditable. The LLM should not receive unrestricted database access or generate arbitrary SQL. Tools should allow-list valid metric dimensions, validate dates and filters, use parameterized queries, and return aggregate data only. API keys belong in environment variables, not source code or screenshots.</w:t>
            </w:r>
          </w:p>
        </w:tc>
      </w:tr>
    </w:tbl>
    <w:p>
      <w:pPr>
        <w:spacing w:after="20"/>
      </w:pPr>
    </w:p>
    <w:p>
      <w:pPr>
        <w:pStyle w:val="Heading1"/>
      </w:pPr>
      <w:r>
        <w:t>8. Calling an LLM with the OpenAI API</w:t>
      </w:r>
    </w:p>
    <w:p>
      <w:r>
        <w:t>This project uses the OpenAI API, which is separate from the ChatGPT web product. A ChatGPT Plus subscription is not needed for the project. You will need an API account, an API key, and an API billing setup for live model calls.</w:t>
      </w:r>
    </w:p>
    <w:p>
      <w:pPr>
        <w:spacing w:after="40"/>
        <w:ind w:left="403" w:hanging="288"/>
      </w:pPr>
      <w:r>
        <w:rPr>
          <w:rFonts w:ascii="Arial" w:hAnsi="Arial"/>
          <w:sz w:val="20"/>
        </w:rPr>
        <w:t>1.  Create or sign in to an OpenAI Platform account and set up API billing or prepaid credits.</w:t>
      </w:r>
    </w:p>
    <w:p>
      <w:pPr>
        <w:spacing w:after="40"/>
        <w:ind w:left="403" w:hanging="288"/>
      </w:pPr>
      <w:r>
        <w:rPr>
          <w:rFonts w:ascii="Arial" w:hAnsi="Arial"/>
          <w:sz w:val="20"/>
        </w:rPr>
        <w:t>2.  Create an API key for this project.</w:t>
      </w:r>
    </w:p>
    <w:p>
      <w:pPr>
        <w:spacing w:after="40"/>
        <w:ind w:left="403" w:hanging="288"/>
      </w:pPr>
      <w:r>
        <w:rPr>
          <w:rFonts w:ascii="Arial" w:hAnsi="Arial"/>
          <w:sz w:val="20"/>
        </w:rPr>
        <w:t>3.  Copy .env.example to .env and place the key in OPENAI_API_KEY.</w:t>
      </w:r>
    </w:p>
    <w:p>
      <w:pPr>
        <w:spacing w:after="40"/>
        <w:ind w:left="403" w:hanging="288"/>
      </w:pPr>
      <w:r>
        <w:rPr>
          <w:rFonts w:ascii="Arial" w:hAnsi="Arial"/>
          <w:sz w:val="20"/>
        </w:rPr>
        <w:t>4.  Keep .env out of version control. The included .gitignore is designed to help with this.</w:t>
      </w:r>
    </w:p>
    <w:p>
      <w:pPr>
        <w:spacing w:after="40"/>
        <w:ind w:left="403" w:hanging="288"/>
      </w:pPr>
      <w:r>
        <w:rPr>
          <w:rFonts w:ascii="Arial" w:hAnsi="Arial"/>
          <w:sz w:val="20"/>
        </w:rPr>
        <w:t>5.  Use a cost-sensitive model such as gpt-5-mini for the first version, then adjust if your evaluation shows a need for a different model.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color w:val="1F2937"/>
                <w:sz w:val="17"/>
              </w:rPr>
              <w:t>OPENAI_API_KEY=your_key_here</w:t>
              <w:br/>
              <w:t>OPENAI_MODEL=gpt-5-mini</w:t>
            </w:r>
          </w:p>
        </w:tc>
      </w:tr>
    </w:tbl>
    <w:p>
      <w:pPr>
        <w:spacing w:after="20"/>
      </w:pPr>
    </w:p>
    <w:p>
      <w:r>
        <w:rPr>
          <w:b/>
        </w:rPr>
        <w:t xml:space="preserve">Suggested official references: </w:t>
      </w:r>
      <w:hyperlink r:id="rId11">
        <w:r>
          <w:rPr>
            <w:color w:val="0563C1"/>
            <w:u w:val="single"/>
            <w:rFonts w:ascii="Arial" w:hAnsi="Arial"/>
          </w:rPr>
          <w:t>OpenAI API Keys</w:t>
        </w:r>
      </w:hyperlink>
      <w:r>
        <w:t xml:space="preserve"> | </w:t>
      </w:r>
      <w:hyperlink r:id="rId12">
        <w:r>
          <w:rPr>
            <w:color w:val="0563C1"/>
            <w:u w:val="single"/>
            <w:rFonts w:ascii="Arial" w:hAnsi="Arial"/>
          </w:rPr>
          <w:t>Function Calling Guide</w:t>
        </w:r>
      </w:hyperlink>
      <w:r>
        <w:t xml:space="preserve"> | </w:t>
      </w:r>
      <w:hyperlink r:id="rId13">
        <w:r>
          <w:rPr>
            <w:color w:val="0563C1"/>
            <w:u w:val="single"/>
            <w:rFonts w:ascii="Arial" w:hAnsi="Arial"/>
          </w:rPr>
          <w:t>API Pricing</w:t>
        </w:r>
      </w:hyperlink>
    </w:p>
    <w:p>
      <w:pPr>
        <w:pStyle w:val="Heading2"/>
      </w:pPr>
      <w:r>
        <w:t>Estimated API cost for this project</w:t>
      </w:r>
    </w:p>
    <w:p>
      <w:r>
        <w:t>The dashboard agent is intentionally narrow. A short, tool-backed question often results in two model turns: one to select a tool and one to explain the returned aggregate. The example below is a planning estimate, not a guarantee, because prompt length and output length vary.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30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Example setting</w:t>
            </w:r>
          </w:p>
        </w:tc>
        <w:tc>
          <w:tcPr>
            <w:tcW w:type="dxa" w:w="5256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Planning assumption</w:t>
            </w:r>
          </w:p>
        </w:tc>
        <w:tc>
          <w:tcPr>
            <w:tcW w:type="dxa" w:w="288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Approximate gpt-5-mini cost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One short question</w:t>
            </w:r>
          </w:p>
        </w:tc>
        <w:tc>
          <w:tcPr>
            <w:tcW w:type="dxa" w:w="52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About 3,500 input tokens and 300 output tokens across the tool-call flow.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About $0.0015 per question.</w:t>
            </w:r>
          </w:p>
        </w:tc>
      </w:tr>
      <w:tr>
        <w:trPr>
          <w:cantSplit/>
        </w:trPr>
        <w:tc>
          <w:tcPr>
            <w:tcW w:type="dxa" w:w="2304"/>
            <w:shd w:fill="F4F6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100 questions</w:t>
            </w:r>
          </w:p>
        </w:tc>
        <w:tc>
          <w:tcPr>
            <w:tcW w:type="dxa" w:w="5256"/>
            <w:shd w:fill="F4F6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Short answers, no web search, no file tools.</w:t>
            </w:r>
          </w:p>
        </w:tc>
        <w:tc>
          <w:tcPr>
            <w:tcW w:type="dxa" w:w="2880"/>
            <w:shd w:fill="F4F6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About $0.15.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500 questions</w:t>
            </w:r>
          </w:p>
        </w:tc>
        <w:tc>
          <w:tcPr>
            <w:tcW w:type="dxa" w:w="52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Development, testing, and a live demo.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About $0.75.</w:t>
            </w:r>
          </w:p>
        </w:tc>
      </w:tr>
      <w:tr>
        <w:trPr>
          <w:cantSplit/>
        </w:trPr>
        <w:tc>
          <w:tcPr>
            <w:tcW w:type="dxa" w:w="2304"/>
            <w:shd w:fill="F4F6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Suggested buffer</w:t>
            </w:r>
          </w:p>
        </w:tc>
        <w:tc>
          <w:tcPr>
            <w:tcW w:type="dxa" w:w="5256"/>
            <w:shd w:fill="F4F6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A small prepaid balance and a low-output cap during development.</w:t>
            </w:r>
          </w:p>
        </w:tc>
        <w:tc>
          <w:tcPr>
            <w:tcW w:type="dxa" w:w="2880"/>
            <w:shd w:fill="F4F6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$3 to $5 is generally ample for this project.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4F8"/>
            <w:tcBorders>
              <w:top w:val="single" w:sz="6" w:color="0E7490"/>
              <w:left w:val="single" w:sz="6" w:color="0E7490"/>
              <w:bottom w:val="single" w:sz="6" w:color="0E7490"/>
              <w:right w:val="single" w:sz="6" w:color="0E7490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17365D"/>
                <w:sz w:val="21"/>
              </w:rPr>
              <w:t>Cost-control suggestions</w:t>
            </w:r>
          </w:p>
          <w:p>
            <w:pPr>
              <w:spacing w:before="20" w:after="40"/>
            </w:pPr>
            <w:r>
              <w:rPr>
                <w:rFonts w:ascii="Arial" w:hAnsi="Arial"/>
                <w:color w:val="1F2937"/>
                <w:sz w:val="19"/>
              </w:rPr>
              <w:t>Keep the tool set small, return aggregate tables instead of raw event rows, set a concise output limit, avoid web-search tools for this assignment, and review usage during testing. Project budgets can send alerts, but treat them as monitoring rather than a guaranteed hard stop. If you use prepaid billing, review the auto-recharge setting before you begin.</w:t>
            </w:r>
          </w:p>
        </w:tc>
      </w:tr>
    </w:tbl>
    <w:p>
      <w:pPr>
        <w:spacing w:after="20"/>
      </w:pPr>
    </w:p>
    <w:p>
      <w:pPr>
        <w:pStyle w:val="Heading1"/>
      </w:pPr>
      <w:r>
        <w:t>9. Suggested submission package</w:t>
      </w:r>
    </w:p>
    <w:p>
      <w:r>
        <w:t>Your project will be easiest to review when it includes the following materials:</w:t>
      </w:r>
    </w:p>
    <w:p>
      <w:pPr>
        <w:pStyle w:val="ListBullet"/>
        <w:spacing w:after="40"/>
        <w:ind w:left="317" w:hanging="202"/>
      </w:pPr>
      <w:r>
        <w:rPr>
          <w:rFonts w:ascii="Arial" w:hAnsi="Arial"/>
          <w:sz w:val="20"/>
        </w:rPr>
        <w:t>A clean repository or zip with reproducible Python and SQL code.</w:t>
      </w:r>
    </w:p>
    <w:p>
      <w:pPr>
        <w:pStyle w:val="ListBullet"/>
        <w:spacing w:after="40"/>
        <w:ind w:left="317" w:hanging="202"/>
      </w:pPr>
      <w:r>
        <w:rPr>
          <w:rFonts w:ascii="Arial" w:hAnsi="Arial"/>
          <w:sz w:val="20"/>
        </w:rPr>
        <w:t>A short README explaining setup, the ETL flow, the warehouse location, and how to launch Streamlit.</w:t>
      </w:r>
    </w:p>
    <w:p>
      <w:pPr>
        <w:pStyle w:val="ListBullet"/>
        <w:spacing w:after="40"/>
        <w:ind w:left="317" w:hanging="202"/>
      </w:pPr>
      <w:r>
        <w:rPr>
          <w:rFonts w:ascii="Arial" w:hAnsi="Arial"/>
          <w:sz w:val="20"/>
        </w:rPr>
        <w:t>The resulting SQLite database or clear instructions for rebuilding it from raw files.</w:t>
      </w:r>
    </w:p>
    <w:p>
      <w:pPr>
        <w:pStyle w:val="ListBullet"/>
        <w:spacing w:after="40"/>
        <w:ind w:left="317" w:hanging="202"/>
      </w:pPr>
      <w:r>
        <w:rPr>
          <w:rFonts w:ascii="Arial" w:hAnsi="Arial"/>
          <w:sz w:val="20"/>
        </w:rPr>
        <w:t>A data-quality note that explains important decisions and validation checks.</w:t>
      </w:r>
    </w:p>
    <w:p>
      <w:pPr>
        <w:pStyle w:val="ListBullet"/>
        <w:spacing w:after="40"/>
        <w:ind w:left="317" w:hanging="202"/>
      </w:pPr>
      <w:r>
        <w:rPr>
          <w:rFonts w:ascii="Arial" w:hAnsi="Arial"/>
          <w:sz w:val="20"/>
        </w:rPr>
        <w:t>A Streamlit dashboard with the product areas described above.</w:t>
      </w:r>
    </w:p>
    <w:p>
      <w:pPr>
        <w:pStyle w:val="ListBullet"/>
        <w:spacing w:after="40"/>
        <w:ind w:left="317" w:hanging="202"/>
      </w:pPr>
      <w:r>
        <w:rPr>
          <w:rFonts w:ascii="Arial" w:hAnsi="Arial"/>
          <w:sz w:val="20"/>
        </w:rPr>
        <w:t>An Analytics Agent that visibly uses tool calling and provides a compact tool audit.</w:t>
      </w:r>
    </w:p>
    <w:p>
      <w:pPr>
        <w:pStyle w:val="ListBullet"/>
        <w:spacing w:after="40"/>
        <w:ind w:left="317" w:hanging="202"/>
      </w:pPr>
      <w:r>
        <w:rPr>
          <w:rFonts w:ascii="Arial" w:hAnsi="Arial"/>
          <w:sz w:val="20"/>
        </w:rPr>
        <w:t>Several dashboard screenshots and a concise business memo with findings and recommended next steps.</w:t>
      </w:r>
    </w:p>
    <w:p>
      <w:pPr>
        <w:pStyle w:val="Heading1"/>
      </w:pPr>
      <w:r>
        <w:t>10. Sample questions for your Agent tab</w:t>
      </w:r>
    </w:p>
    <w:p>
      <w:pPr>
        <w:pStyle w:val="ListBullet"/>
        <w:spacing w:after="40"/>
        <w:ind w:left="317" w:hanging="202"/>
      </w:pPr>
      <w:r>
        <w:rPr>
          <w:rFonts w:ascii="Arial" w:hAnsi="Arial"/>
          <w:sz w:val="20"/>
        </w:rPr>
        <w:t>What was DAU by country last week?</w:t>
      </w:r>
    </w:p>
    <w:p>
      <w:pPr>
        <w:pStyle w:val="ListBullet"/>
        <w:spacing w:after="40"/>
        <w:ind w:left="317" w:hanging="202"/>
      </w:pPr>
      <w:r>
        <w:rPr>
          <w:rFonts w:ascii="Arial" w:hAnsi="Arial"/>
          <w:sz w:val="20"/>
        </w:rPr>
        <w:t>Which device operating system had the highest agent adoption rate in March?</w:t>
      </w:r>
    </w:p>
    <w:p>
      <w:pPr>
        <w:pStyle w:val="ListBullet"/>
        <w:spacing w:after="40"/>
        <w:ind w:left="317" w:hanging="202"/>
      </w:pPr>
      <w:r>
        <w:rPr>
          <w:rFonts w:ascii="Arial" w:hAnsi="Arial"/>
          <w:sz w:val="20"/>
        </w:rPr>
        <w:t>How did p95 agent latency change month over month?</w:t>
      </w:r>
    </w:p>
    <w:p>
      <w:pPr>
        <w:pStyle w:val="ListBullet"/>
        <w:spacing w:after="40"/>
        <w:ind w:left="317" w:hanging="202"/>
      </w:pPr>
      <w:r>
        <w:rPr>
          <w:rFonts w:ascii="Arial" w:hAnsi="Arial"/>
          <w:sz w:val="20"/>
        </w:rPr>
        <w:t>What was the resolution and escalation rate for Homework Help requests?</w:t>
      </w:r>
    </w:p>
    <w:p>
      <w:pPr>
        <w:pStyle w:val="ListBullet"/>
        <w:spacing w:after="40"/>
        <w:ind w:left="317" w:hanging="202"/>
      </w:pPr>
      <w:r>
        <w:rPr>
          <w:rFonts w:ascii="Arial" w:hAnsi="Arial"/>
          <w:sz w:val="20"/>
        </w:rPr>
        <w:t>Which acquisition channel had the highest paid conversion rate?</w:t>
      </w:r>
    </w:p>
    <w:p>
      <w:pPr>
        <w:pStyle w:val="ListBullet"/>
        <w:spacing w:after="40"/>
        <w:ind w:left="317" w:hanging="202"/>
      </w:pPr>
      <w:r>
        <w:rPr>
          <w:rFonts w:ascii="Arial" w:hAnsi="Arial"/>
          <w:sz w:val="20"/>
        </w:rPr>
        <w:t>What does “agent adoption rate” mean in this dashboard?</w:t>
      </w:r>
    </w:p>
    <w:p>
      <w:r>
        <w:t>You are welcome to add a small set of sensible extra tools or questions. Keep the answers grounded in the warehouse, clear about any ambiguous wording, and appropriately limited to aggregate product analytics.</w:t>
      </w:r>
    </w:p>
    <w:p>
      <w:pPr>
        <w:pStyle w:val="Heading1"/>
      </w:pPr>
      <w:r>
        <w:t>11. Project folder guide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52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Path</w:t>
            </w:r>
          </w:p>
        </w:tc>
        <w:tc>
          <w:tcPr>
            <w:tcW w:type="dxa" w:w="792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data/raw/</w:t>
            </w:r>
          </w:p>
        </w:tc>
        <w:tc>
          <w:tcPr>
            <w:tcW w:type="dxa" w:w="79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Raw source CSV files.</w:t>
            </w:r>
          </w:p>
        </w:tc>
      </w:tr>
      <w:tr>
        <w:trPr>
          <w:cantSplit/>
        </w:trPr>
        <w:tc>
          <w:tcPr>
            <w:tcW w:type="dxa" w:w="2520"/>
            <w:shd w:fill="F4F6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data/</w:t>
            </w:r>
          </w:p>
        </w:tc>
        <w:tc>
          <w:tcPr>
            <w:tcW w:type="dxa" w:w="7920"/>
            <w:shd w:fill="F4F6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Data dictionary and suggested metric definitions.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src/</w:t>
            </w:r>
          </w:p>
        </w:tc>
        <w:tc>
          <w:tcPr>
            <w:tcW w:type="dxa" w:w="79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Starter ETL, agent tool, and LLM orchestration files.</w:t>
            </w:r>
          </w:p>
        </w:tc>
      </w:tr>
      <w:tr>
        <w:trPr>
          <w:cantSplit/>
        </w:trPr>
        <w:tc>
          <w:tcPr>
            <w:tcW w:type="dxa" w:w="2520"/>
            <w:shd w:fill="F4F6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warehouse/</w:t>
            </w:r>
          </w:p>
        </w:tc>
        <w:tc>
          <w:tcPr>
            <w:tcW w:type="dxa" w:w="7920"/>
            <w:shd w:fill="F4F6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Suggested location for your SQLite database.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docs/</w:t>
            </w:r>
          </w:p>
        </w:tc>
        <w:tc>
          <w:tcPr>
            <w:tcW w:type="dxa" w:w="79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API setup notes, sample questions, and submission guidance.</w:t>
            </w:r>
          </w:p>
        </w:tc>
      </w:tr>
      <w:tr>
        <w:trPr>
          <w:cantSplit/>
        </w:trPr>
        <w:tc>
          <w:tcPr>
            <w:tcW w:type="dxa" w:w="2520"/>
            <w:shd w:fill="F4F6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app.py</w:t>
            </w:r>
          </w:p>
        </w:tc>
        <w:tc>
          <w:tcPr>
            <w:tcW w:type="dxa" w:w="7920"/>
            <w:shd w:fill="F4F6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Starter Streamlit entry point.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schema.sql</w:t>
            </w:r>
          </w:p>
        </w:tc>
        <w:tc>
          <w:tcPr>
            <w:tcW w:type="dxa" w:w="79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A suggested warehouse schema that you can adapt.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color w:val="6B7280"/>
        <w:sz w:val="17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/>
        <w:color w:val="6B7280"/>
        <w:sz w:val="17"/>
      </w:rPr>
      <w:t>Navi Analytics Agent | Student Project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 w:eastAsia="Arial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E749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latform.openai.com/api-keys" TargetMode="External"/><Relationship Id="rId12" Type="http://schemas.openxmlformats.org/officeDocument/2006/relationships/hyperlink" Target="https://platform.openai.com/docs/guides/function-calling" TargetMode="External"/><Relationship Id="rId13" Type="http://schemas.openxmlformats.org/officeDocument/2006/relationships/hyperlink" Target="https://openai.com/api/pric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