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184A068">
      <w:pPr>
        <w:pStyle w:val="2"/>
        <w:spacing w:before="0" w:after="0" w:line="960" w:lineRule="auto"/>
        <w:jc w:val="center"/>
        <w:rPr>
          <w:rFonts w:hint="default" w:ascii="Times New Roman" w:hAnsi="Times New Roman" w:eastAsia="宋体" w:cs="Times New Roman"/>
        </w:rPr>
      </w:pPr>
      <w:bookmarkStart w:id="0" w:name="_Toc5973827"/>
      <w:r>
        <w:rPr>
          <w:rFonts w:hint="default" w:ascii="宋体" w:hAnsi="宋体" w:cs="Times New Roman" w:eastAsiaTheme="majorEastAsia" w:eastAsia="宋体"/>
          <w:b/>
          <w:sz w:val="32"/>
          <w:szCs w:val="28"/>
        </w:rPr>
        <w:t>计算机网络  课程教学大纲</w:t>
      </w:r>
      <w:r>
        <w:rPr>
          <w:rFonts w:hint="eastAsia" w:ascii="Times New Roman" w:hAnsi="Times New Roman" w:cs="Times New Roman"/>
          <w:b/>
          <w:sz w:val="28"/>
          <w:szCs w:val="28"/>
          <w:lang w:eastAsia="zh-CN"/>
        </w:rPr>
      </w:r>
      <w:r>
        <w:rPr>
          <w:rFonts w:hint="default" w:ascii="Times New Roman" w:hAnsi="Times New Roman" w:cs="Times New Roman" w:eastAsiaTheme="majorEastAsia"/>
          <w:b/>
          <w:sz w:val="28"/>
          <w:szCs w:val="28"/>
        </w:rPr>
      </w:r>
      <w:r>
        <w:rPr>
          <w:rFonts w:hint="default" w:ascii="Times New Roman" w:hAnsi="Times New Roman" w:cs="Times New Roman" w:eastAsiaTheme="majorEastAsia"/>
          <w:b/>
          <w:sz w:val="28"/>
          <w:szCs w:val="28"/>
        </w:rPr>
      </w:r>
      <w:r>
        <w:rPr>
          <w:rFonts w:hint="default" w:ascii="Times New Roman" w:hAnsi="Times New Roman" w:cs="Times New Roman" w:eastAsiaTheme="majorEastAsia"/>
          <w:b/>
          <w:sz w:val="28"/>
          <w:szCs w:val="28"/>
        </w:rPr>
      </w:r>
      <w:r>
        <w:rPr>
          <w:rFonts w:hint="default" w:ascii="Times New Roman" w:hAnsi="Times New Roman" w:eastAsia="宋体" w:cs="Times New Roman"/>
        </w:rPr>
      </w:r>
      <w:r>
        <w:rPr>
          <w:rFonts w:hint="eastAsia" w:ascii="Times New Roman" w:hAnsi="Times New Roman" w:eastAsia="宋体" w:cs="Times New Roman"/>
          <w:lang w:val="en-US" w:eastAsia="zh-CN"/>
        </w:rPr>
      </w:r>
      <w:r>
        <w:rPr>
          <w:rFonts w:hint="default" w:ascii="Times New Roman" w:hAnsi="Times New Roman" w:eastAsia="宋体" w:cs="Times New Roman"/>
        </w:rPr>
      </w:r>
      <w:bookmarkEnd w:id="0"/>
    </w:p>
    <w:tbl>
      <w:tblPr>
        <w:tblStyle w:val="8"/>
        <w:tblW w:w="4998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099"/>
        <w:gridCol w:w="1354"/>
        <w:gridCol w:w="475"/>
        <w:gridCol w:w="487"/>
        <w:gridCol w:w="399"/>
        <w:gridCol w:w="1143"/>
        <w:gridCol w:w="366"/>
        <w:gridCol w:w="777"/>
        <w:gridCol w:w="517"/>
        <w:gridCol w:w="626"/>
        <w:gridCol w:w="1146"/>
      </w:tblGrid>
      <w:tr w14:paraId="6A5BF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57CA5920">
            <w:pPr>
              <w:jc w:val="center"/>
              <w:rPr>
                <w:rFonts w:hint="default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课程编码</w:t>
            </w:r>
          </w:p>
        </w:tc>
        <w:tc>
          <w:tcPr>
            <w:tcW w:w="807" w:type="pct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CN202602</w:t>
            </w:r>
          </w:p>
        </w:tc>
        <w:tc>
          <w:tcPr>
            <w:tcW w:w="57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计算机网络</w:t>
            </w:r>
          </w:p>
        </w:tc>
        <w:tc>
          <w:tcPr>
            <w:tcW w:w="1137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专业必修课</w:t>
            </w:r>
          </w:p>
        </w:tc>
        <w:tc>
          <w:tcPr>
            <w:tcW w:w="77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w="105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</w:tr>
      <w:tr w14:paraId="00042D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09F409BE">
            <w:pPr>
              <w:jc w:val="center"/>
              <w:rPr>
                <w:rFonts w:ascii="Times New Roman" w:hAnsi="Times New Roman" w:cs="Times New Roman" w:eastAsiaTheme="minorEastAsia"/>
                <w:szCs w:val="21"/>
              </w:rPr>
            </w:pPr>
            <w:r>
              <w:rPr>
                <w:rFonts w:ascii="Times New Roman" w:hAnsi="Times New Roman" w:cs="Times New Roman" w:eastAsiaTheme="minorEastAsia"/>
                <w:szCs w:val="21"/>
              </w:rPr>
              <w:t>课程名称</w:t>
            </w:r>
          </w:p>
        </w:tc>
        <w:tc>
          <w:tcPr>
            <w:tcW w:w="4344" w:type="pct"/>
            <w:gridSpan w:val="1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计算机网络</w:t>
            </w:r>
          </w:p>
        </w:tc>
      </w:tr>
      <w:tr w14:paraId="74C4C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28893769">
            <w:pPr>
              <w:jc w:val="center"/>
              <w:rPr>
                <w:rFonts w:cs="Times New Roman" w:eastAsiaTheme="minorEastAsia"/>
                <w:szCs w:val="21"/>
              </w:rPr>
            </w:pPr>
            <w:r>
              <w:rPr>
                <w:rFonts w:cs="Times New Roman" w:eastAsiaTheme="minorEastAsia"/>
                <w:szCs w:val="21"/>
              </w:rPr>
              <w:t>英文名称</w:t>
            </w:r>
          </w:p>
        </w:tc>
        <w:tc>
          <w:tcPr>
            <w:tcW w:w="4344" w:type="pct"/>
            <w:gridSpan w:val="1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Computer Networks</w:t>
            </w:r>
          </w:p>
        </w:tc>
      </w:tr>
      <w:tr w14:paraId="662B68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66DA3719">
            <w:pPr>
              <w:tabs>
                <w:tab w:val="left" w:pos="638"/>
              </w:tabs>
              <w:jc w:val="center"/>
              <w:rPr>
                <w:rFonts w:hint="eastAsia" w:cs="Times New Roman" w:eastAsiaTheme="minorEastAsia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学分</w:t>
            </w:r>
          </w:p>
        </w:tc>
        <w:tc>
          <w:tcPr>
            <w:tcW w:w="1090" w:type="pct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</w:t>
            </w:r>
          </w:p>
        </w:tc>
        <w:tc>
          <w:tcPr>
            <w:tcW w:w="528" w:type="pct"/>
            <w:gridSpan w:val="2"/>
            <w:vAlign w:val="center"/>
          </w:tcPr>
          <w:p w14:paraId="4F0A7020">
            <w:pPr>
              <w:jc w:val="center"/>
              <w:rPr>
                <w:rFonts w:cs="Times New Roman" w:eastAsiaTheme="minorEastAsia"/>
                <w:szCs w:val="21"/>
              </w:rPr>
            </w:pPr>
            <w:r>
              <w:rPr>
                <w:rFonts w:cs="Times New Roman" w:eastAsiaTheme="minorEastAsia"/>
                <w:szCs w:val="21"/>
              </w:rPr>
              <w:t>总学时</w:t>
            </w:r>
          </w:p>
        </w:tc>
        <w:tc>
          <w:tcPr>
            <w:tcW w:w="681" w:type="pct"/>
            <w:vAlign w:val="center"/>
          </w:tcPr>
          <w:p w14:paraId="5E7C5CCE">
            <w:pPr>
              <w:jc w:val="center"/>
              <w:rPr>
                <w:rFonts w:hint="eastAsia" w:cs="Times New Roman" w:eastAsiaTheme="minorEastAsia"/>
                <w:szCs w:val="21"/>
                <w:lang w:val="en-US" w:eastAsia="zh-CN"/>
              </w:rPr>
            </w:pPr>
            <w:r>
              <w:rPr>
                <w:rFonts w:cs="Times New Roman" w:eastAsiaTheme="minorEastAsia"/>
                <w:szCs w:val="21"/>
              </w:rPr>
              <w:t>讲</w:t>
            </w: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课</w:t>
            </w:r>
          </w:p>
        </w:tc>
        <w:tc>
          <w:tcPr>
            <w:tcW w:w="681" w:type="pct"/>
            <w:gridSpan w:val="2"/>
            <w:vAlign w:val="center"/>
          </w:tcPr>
          <w:p w14:paraId="64013B3A">
            <w:pPr>
              <w:jc w:val="center"/>
              <w:rPr>
                <w:rFonts w:cs="Times New Roman" w:eastAsiaTheme="minorEastAsia"/>
                <w:szCs w:val="21"/>
              </w:rPr>
            </w:pPr>
            <w:r>
              <w:rPr>
                <w:rFonts w:cs="Times New Roman" w:eastAsiaTheme="minorEastAsia"/>
                <w:szCs w:val="21"/>
              </w:rPr>
              <w:t>实验</w:t>
            </w:r>
          </w:p>
        </w:tc>
        <w:tc>
          <w:tcPr>
            <w:tcW w:w="681" w:type="pct"/>
            <w:gridSpan w:val="2"/>
            <w:vAlign w:val="center"/>
          </w:tcPr>
          <w:p w14:paraId="1E4A0B98">
            <w:pPr>
              <w:jc w:val="center"/>
              <w:rPr>
                <w:rFonts w:cs="Times New Roman" w:eastAsiaTheme="minorEastAsia"/>
                <w:szCs w:val="21"/>
              </w:rPr>
            </w:pPr>
            <w:r>
              <w:rPr>
                <w:rFonts w:cs="Times New Roman" w:eastAsiaTheme="minorEastAsia"/>
                <w:szCs w:val="21"/>
              </w:rPr>
              <w:t>上机</w:t>
            </w:r>
          </w:p>
        </w:tc>
        <w:tc>
          <w:tcPr>
            <w:tcW w:w="683" w:type="pct"/>
            <w:vAlign w:val="center"/>
          </w:tcPr>
          <w:p w14:paraId="19AB92CC">
            <w:pPr>
              <w:jc w:val="center"/>
              <w:rPr>
                <w:rFonts w:cs="Times New Roman" w:eastAsiaTheme="minorEastAsia"/>
                <w:szCs w:val="21"/>
              </w:rPr>
            </w:pPr>
            <w:r>
              <w:rPr>
                <w:rFonts w:cs="Times New Roman" w:eastAsiaTheme="minorEastAsia"/>
                <w:szCs w:val="21"/>
              </w:rPr>
              <w:t>实践</w:t>
            </w:r>
          </w:p>
        </w:tc>
      </w:tr>
      <w:tr w14:paraId="192D54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2A421501">
            <w:pPr>
              <w:jc w:val="center"/>
              <w:rPr>
                <w:rFonts w:cs="Times New Roman" w:eastAsiaTheme="minorEastAsia"/>
                <w:szCs w:val="21"/>
              </w:rPr>
            </w:pPr>
            <w:r>
              <w:rPr>
                <w:rFonts w:cs="Times New Roman" w:eastAsiaTheme="minorEastAsia"/>
                <w:szCs w:val="21"/>
              </w:rPr>
              <w:t>执行学期</w:t>
            </w:r>
          </w:p>
        </w:tc>
        <w:tc>
          <w:tcPr>
            <w:tcW w:w="1090" w:type="pct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第5学期</w:t>
            </w:r>
          </w:p>
        </w:tc>
        <w:tc>
          <w:tcPr>
            <w:tcW w:w="528" w:type="pct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52</w:t>
            </w:r>
          </w:p>
        </w:tc>
        <w:tc>
          <w:tcPr>
            <w:tcW w:w="681" w:type="pc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44</w:t>
            </w:r>
          </w:p>
        </w:tc>
        <w:tc>
          <w:tcPr>
            <w:tcW w:w="681" w:type="pct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  <w:tc>
          <w:tcPr>
            <w:tcW w:w="681" w:type="pct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  <w:tc>
          <w:tcPr>
            <w:tcW w:w="683" w:type="pc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0</w:t>
            </w:r>
          </w:p>
        </w:tc>
      </w:tr>
      <w:tr w14:paraId="0EC69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7B015B37">
            <w:pPr>
              <w:jc w:val="center"/>
              <w:rPr>
                <w:rFonts w:cs="Times New Roman" w:eastAsiaTheme="minorEastAsia"/>
                <w:szCs w:val="21"/>
              </w:rPr>
            </w:pPr>
            <w:r>
              <w:rPr>
                <w:rFonts w:cs="Times New Roman" w:eastAsiaTheme="minorEastAsia"/>
                <w:szCs w:val="21"/>
              </w:rPr>
              <w:t>考核方式</w:t>
            </w:r>
          </w:p>
        </w:tc>
        <w:tc>
          <w:tcPr>
            <w:tcW w:w="4344" w:type="pct"/>
            <w:gridSpan w:val="1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考试（过程考核50%+期末考试50%）</w:t>
            </w:r>
          </w:p>
        </w:tc>
      </w:tr>
      <w:tr w14:paraId="3BE15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74A2C960">
            <w:pPr>
              <w:jc w:val="center"/>
              <w:rPr>
                <w:rFonts w:hint="default" w:cs="Times New Roman" w:eastAsiaTheme="minorEastAsia"/>
                <w:szCs w:val="21"/>
                <w:lang w:val="en-US" w:eastAsia="zh-CN"/>
              </w:rPr>
            </w:pPr>
            <w:r>
              <w:rPr>
                <w:rFonts w:hint="eastAsia" w:cs="Times New Roman" w:eastAsiaTheme="minorEastAsia"/>
                <w:szCs w:val="21"/>
                <w:lang w:val="en-US" w:eastAsia="zh-CN"/>
              </w:rPr>
              <w:t>学生对象</w:t>
            </w:r>
          </w:p>
        </w:tc>
        <w:tc>
          <w:tcPr>
            <w:tcW w:w="4344" w:type="pct"/>
            <w:gridSpan w:val="1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智能科学与技术专业本科生</w:t>
            </w:r>
          </w:p>
        </w:tc>
      </w:tr>
      <w:tr w14:paraId="0E3DA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4DD9EA1C">
            <w:pPr>
              <w:jc w:val="center"/>
              <w:rPr>
                <w:rFonts w:cs="Times New Roman" w:eastAsiaTheme="minorEastAsia"/>
                <w:szCs w:val="21"/>
              </w:rPr>
            </w:pPr>
            <w:r>
              <w:rPr>
                <w:rFonts w:cs="Times New Roman" w:eastAsiaTheme="minorEastAsia"/>
                <w:szCs w:val="21"/>
              </w:rPr>
              <w:t>先修课程</w:t>
            </w:r>
          </w:p>
        </w:tc>
        <w:tc>
          <w:tcPr>
            <w:tcW w:w="4344" w:type="pct"/>
            <w:gridSpan w:val="1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C语言程序设计基础，数据结构与算法，计算机组成原理</w:t>
            </w:r>
          </w:p>
        </w:tc>
      </w:tr>
      <w:tr w14:paraId="3DCF2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40" w:hRule="atLeast"/>
          <w:jc w:val="center"/>
        </w:trPr>
        <w:tc>
          <w:tcPr>
            <w:tcW w:w="655" w:type="pct"/>
            <w:vAlign w:val="center"/>
          </w:tcPr>
          <w:p w14:paraId="6F3B6031">
            <w:pPr>
              <w:jc w:val="center"/>
              <w:rPr>
                <w:rFonts w:cs="Times New Roman" w:eastAsiaTheme="minorEastAsia"/>
                <w:szCs w:val="21"/>
              </w:rPr>
            </w:pPr>
            <w:r>
              <w:rPr>
                <w:rFonts w:cs="Times New Roman" w:eastAsiaTheme="minorEastAsia"/>
                <w:szCs w:val="21"/>
              </w:rPr>
              <w:t>后续课程</w:t>
            </w:r>
          </w:p>
        </w:tc>
        <w:tc>
          <w:tcPr>
            <w:tcW w:w="4344" w:type="pct"/>
            <w:gridSpan w:val="1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物联网技术，云计算与大数据处理，网络与信息安全，分布式系统</w:t>
            </w:r>
          </w:p>
        </w:tc>
      </w:tr>
    </w:tbl>
    <w:p w14:paraId="445F06CC">
      <w:pPr>
        <w:pStyle w:val="14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lang w:val="en-US" w:eastAsia="zh-CN"/>
        </w:rPr>
        <w:t>一、课程的性质、任务和目标</w:t>
      </w:r>
      <w:r>
        <w:rPr>
          <w:rFonts w:hint="eastAsia" w:ascii="宋体" w:hAnsi="宋体" w:eastAsia="宋体" w:cs="宋体"/>
          <w:b/>
          <w:bCs/>
          <w:lang w:val="en-US" w:eastAsia="zh-CN"/>
        </w:rPr>
      </w:r>
      <w:r>
        <w:rPr>
          <w:rFonts w:hint="default" w:ascii="宋体" w:hAnsi="宋体" w:eastAsia="宋体" w:cs="宋体"/>
          <w:b/>
          <w:bCs/>
          <w:lang w:val="en-US" w:eastAsia="zh-CN"/>
        </w:rPr>
      </w:r>
      <w:r>
        <w:rPr>
          <w:rFonts w:hint="eastAsia" w:ascii="宋体" w:hAnsi="宋体" w:eastAsia="宋体" w:cs="宋体"/>
          <w:b/>
          <w:bCs/>
          <w:lang w:val="en-US" w:eastAsia="zh-CN"/>
        </w:rPr>
      </w:r>
    </w:p>
    <w:p w14:paraId="0CABBDB9">
      <w:pPr>
        <w:snapToGrid w:val="0"/>
        <w:spacing w:line="300" w:lineRule="auto"/>
        <w:ind w:firstLine="482" w:firstLineChars="200"/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Times New Roman"/>
          <w:b w:val="0"/>
          <w:bCs/>
          <w:color w:val="FF0000"/>
          <w:sz w:val="24"/>
          <w:szCs w:val="24"/>
          <w:lang w:eastAsia="zh-CN"/>
        </w:rPr>
      </w:r>
      <w:r>
        <w:rPr>
          <w:rFonts w:hint="eastAsia" w:ascii="Times New Roman" w:hAnsi="Times New Roman" w:eastAsia="宋体" w:cs="Times New Roman"/>
          <w:b/>
          <w:bCs/>
          <w:color w:val="FF0000"/>
          <w:sz w:val="24"/>
          <w:szCs w:val="24"/>
          <w:lang w:val="en-US" w:eastAsia="zh-CN"/>
        </w:rPr>
      </w:r>
    </w:p>
    <w:p w14:paraId="3FE1B37B">
      <w:pPr>
        <w:snapToGrid w:val="0"/>
        <w:spacing w:line="300" w:lineRule="auto"/>
        <w:ind w:firstLine="482" w:firstLineChars="20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1. 课程性质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</w:r>
    </w:p>
    <w:p w14:paraId="671EA4EA">
      <w:pPr>
        <w:snapToGrid w:val="0"/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本课程是智能科学与技术专业的一门专业必修课，是该专业学生构建计算机网络知识体系的核心课程。课程以计算机网络的体系结构为主线，系统讲授物理层、数据链路层、网络层、运输层和应用层的基本概念、基本原理和关键技术，使学生掌握计算机网络的设计思想和协议机制，为后续学习分布式系统、云计算、物联网等课程以及从事网络应用开发和智能系统集成奠定坚实基础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</w:p>
    <w:p w14:paraId="75D097A4">
      <w:pPr>
        <w:numPr>
          <w:ilvl w:val="0"/>
          <w:numId w:val="2"/>
        </w:numPr>
        <w:snapToGrid w:val="0"/>
        <w:spacing w:line="300" w:lineRule="auto"/>
        <w:ind w:firstLine="482" w:firstLineChars="20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2. 课程任务</w:t>
      </w:r>
    </w:p>
    <w:p w14:paraId="2EE10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本课程的主要任务是通过系统讲授计算机网络的体系结构、各层协议的工作原理及网络互联技术，使学生理解数据在网络中的传输过程，掌握TCP/IP协议族核心协议的功能与交互机制，具备网络拓扑分析、协议报文解析和网络应用设计的基本能力。结合课程思政，将家国情怀、科技自立自强意识融入教学全过程，引导学生树立正确的网络安全观和科技伦理观。</w:t>
      </w:r>
    </w:p>
    <w:p w14:paraId="701E079E">
      <w:pPr>
        <w:numPr>
          <w:ilvl w:val="0"/>
          <w:numId w:val="2"/>
        </w:numPr>
        <w:snapToGrid w:val="0"/>
        <w:spacing w:line="300" w:lineRule="auto"/>
        <w:ind w:left="0" w:leftChars="0" w:firstLine="482" w:firstLineChars="20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3. 课程目标</w:t>
      </w:r>
    </w:p>
    <w:p w14:paraId="783CB1CC">
      <w:pPr>
        <w:spacing w:line="300" w:lineRule="auto"/>
        <w:ind w:firstLine="48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课程目标1：掌握计算机网络的体系结构（OSI和TCP/IP参考模型），理解物理层、数据链路层、网络层、运输层和应用层的基本概念、核心协议及工作原理。能够运用网络分层思想分析复杂网络工程问题，识别和判断通信过程中的关键环节与性能瓶颈，支撑毕业要求2（问题分析，H）。</w:t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</w:p>
    <w:p w14:paraId="30265EAF">
      <w:pPr>
        <w:spacing w:line="300" w:lineRule="auto"/>
        <w:ind w:firstLine="48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课程目标2：掌握IP地址规划与子网划分、路由选择算法、拥塞控制机制、可靠传输原理等网络核心技术与方法，能够针对具体的网络通信需求设计合理的网络拓扑与协议配置方案，初步具备网络系统设计与开发的能力，支撑毕业要求3（设计/开发解决方案，M）。</w:t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</w:p>
    <w:p w14:paraId="5E044F7B">
      <w:pPr>
        <w:spacing w:line="30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课程目标3：熟练使用Wireshark等网络协议分析工具进行数据包捕获与协议分析，掌握Cisco Packet Tracer或GNS3等网络仿真平台进行网络拓扑设计与协议验证，能够利用现代工具和仿真环境进行网络性能测试与故障诊断，支撑毕业要求5（使用现代工具，H）。</w:t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</w:p>
    <w:p w14:paraId="501AD245">
      <w:pPr>
        <w:spacing w:line="300" w:lineRule="auto"/>
        <w:ind w:firstLine="48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课程目标与毕业要求的对应关系如表1所示。</w:t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</w:p>
    <w:p w14:paraId="53B516C4">
      <w:pPr>
        <w:spacing w:line="300" w:lineRule="auto"/>
        <w:ind w:firstLine="48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表1 课程目标与毕业要求的对应关系</w:t>
      </w:r>
    </w:p>
    <w:p w14:paraId="57EFBAB4">
      <w:pPr>
        <w:pStyle w:val="3"/>
        <w:autoSpaceDE/>
        <w:autoSpaceDN/>
        <w:spacing w:line="300" w:lineRule="auto"/>
        <w:ind w:firstLine="0"/>
        <w:jc w:val="center"/>
        <w:rPr>
          <w:rFonts w:hint="default" w:ascii="Times New Roman" w:hAnsi="Times New Roman" w:cs="Times New Roman"/>
          <w:b/>
          <w:bCs/>
          <w:szCs w:val="21"/>
        </w:rPr>
      </w:pPr>
      <w:r>
        <w:rPr>
          <w:rFonts w:hint="default" w:ascii="宋体" w:hAnsi="宋体" w:cs="Times New Roman" w:eastAsia="宋体"/>
          <w:b w:val="0"/>
          <w:bCs/>
          <w:sz w:val="24"/>
          <w:szCs w:val="21"/>
        </w:rPr>
        <w:t>二、课程教学内容的基本要求、重点和难点及学时分配</w:t>
      </w:r>
      <w:r>
        <w:rPr>
          <w:rFonts w:hint="default" w:ascii="Times New Roman" w:hAnsi="Times New Roman" w:cs="Times New Roman"/>
          <w:b/>
          <w:bCs/>
          <w:szCs w:val="21"/>
          <w:lang w:val="en-US" w:eastAsia="zh-CN"/>
        </w:rPr>
      </w:r>
      <w:r>
        <w:rPr>
          <w:rFonts w:hint="default" w:ascii="Times New Roman" w:hAnsi="Times New Roman" w:cs="Times New Roman"/>
          <w:b/>
          <w:bCs/>
          <w:color w:val="000000"/>
          <w:szCs w:val="21"/>
        </w:rPr>
      </w:r>
    </w:p>
    <w:tbl>
      <w:tblPr>
        <w:tblStyle w:val="8"/>
        <w:tblW w:w="83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5674"/>
        <w:gridCol w:w="1222"/>
      </w:tblGrid>
      <w:tr w14:paraId="7646B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59" w:type="dxa"/>
            <w:shd w:val="clear" w:color="auto" w:fill="FFFFFF" w:themeFill="background1"/>
            <w:vAlign w:val="center"/>
          </w:tcPr>
          <w:p w14:paraId="62951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毕业要求</w:t>
            </w:r>
          </w:p>
        </w:tc>
        <w:tc>
          <w:tcPr>
            <w:tcW w:w="5674" w:type="dxa"/>
            <w:shd w:val="clear" w:color="auto" w:fill="FFFFFF" w:themeFill="background1"/>
            <w:vAlign w:val="center"/>
          </w:tcPr>
          <w:p w14:paraId="5EC04C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指标点</w:t>
            </w:r>
          </w:p>
        </w:tc>
        <w:tc>
          <w:tcPr>
            <w:tcW w:w="1222" w:type="dxa"/>
            <w:shd w:val="clear" w:color="auto" w:fill="FFFFFF" w:themeFill="background1"/>
            <w:vAlign w:val="center"/>
          </w:tcPr>
          <w:p w14:paraId="3B581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</w:rPr>
              <w:t>课程目标</w:t>
            </w:r>
          </w:p>
        </w:tc>
      </w:tr>
      <w:tr w14:paraId="6F87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459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2. 问题分析</w:t>
              <w:br/>
              <w:t>（H）</w:t>
            </w:r>
          </w:p>
        </w:tc>
        <w:tc>
          <w:tcPr>
            <w:tcW w:w="5674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2.1 能够运用数学、自然科学和工程科学的基本原理，识别和判断复杂智能系统工程问题的关键环节与核心要素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</w:tr>
      <w:tr w14:paraId="50D8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3. 设计/开发解决方案</w:t>
              <w:br/>
              <w:t>（M）</w:t>
            </w:r>
          </w:p>
        </w:tc>
        <w:tc>
          <w:tcPr>
            <w:tcW w:w="5674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3.1 能够针对复杂智能系统工程问题，设计满足特定需求的解决方案或系统模块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</w:tr>
      <w:tr w14:paraId="4DE8F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5. 使用现代工具</w:t>
              <w:br/>
              <w:t>（H）</w:t>
            </w:r>
          </w:p>
        </w:tc>
        <w:tc>
          <w:tcPr>
            <w:tcW w:w="5674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5.1 能够选择与使用合适的网络协议分析工具、仿真平台等现代工具，对复杂智能系统工程问题进行模拟与预测</w:t>
            </w:r>
          </w:p>
        </w:tc>
        <w:tc>
          <w:tcPr>
            <w:tcW w:w="1222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</w:t>
            </w:r>
          </w:p>
        </w:tc>
      </w:tr>
      <w:tr w14:paraId="3FEDC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9" w:type="dxa"/>
            <w:vAlign w:val="center"/>
          </w:tcPr>
          <w:p w14:paraId="0B9E93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 xml:space="preserve">4. 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研究</w:t>
            </w:r>
          </w:p>
        </w:tc>
        <w:tc>
          <w:tcPr>
            <w:tcW w:w="5674" w:type="dxa"/>
          </w:tcPr>
          <w:p w14:paraId="6866F9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cs="Times New Roman" w:eastAsiaTheme="minorEastAsia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 xml:space="preserve">4.3 </w:t>
            </w:r>
            <w:r>
              <w:rPr>
                <w:rFonts w:hint="default" w:ascii="Times New Roman" w:hAnsi="Times New Roman" w:eastAsia="宋体" w:cs="Times New Roman"/>
                <w:szCs w:val="21"/>
                <w:highlight w:val="none"/>
              </w:rPr>
              <w:t>能够根据实验方案选择科学的实验方法，构建合理的实验系统，安全地开展实验，正确地采集实验数据。</w:t>
            </w:r>
          </w:p>
        </w:tc>
        <w:tc>
          <w:tcPr>
            <w:tcW w:w="1222" w:type="dxa"/>
            <w:vAlign w:val="center"/>
          </w:tcPr>
          <w:p w14:paraId="15D9F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cs="Times New Roman" w:eastAsiaTheme="minorEastAsia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课程目标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4</w:t>
            </w:r>
          </w:p>
        </w:tc>
      </w:tr>
    </w:tbl>
    <w:p w14:paraId="2FC3D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line="300" w:lineRule="auto"/>
        <w:textAlignment w:val="auto"/>
        <w:rPr>
          <w:rFonts w:hint="default" w:ascii="Times New Roman" w:hAnsi="Times New Roman" w:eastAsia="宋体" w:cs="Times New Roman"/>
          <w:b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第1章 计算机网络概述（4学时）</w:t>
      </w:r>
    </w:p>
    <w:p w14:paraId="5B4E99B9">
      <w:pPr>
        <w:spacing w:after="0" w:line="300" w:lineRule="auto"/>
        <w:ind w:firstLine="482" w:firstLineChars="200"/>
        <w:jc w:val="both"/>
        <w:rPr>
          <w:rFonts w:hint="default" w:ascii="Times New Roman" w:hAnsi="Times New Roman" w:eastAsia="宋体" w:cs="Times New Roman"/>
          <w:b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基本要求</w:t>
      </w:r>
      <w:r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b/>
          <w:sz w:val="24"/>
          <w:szCs w:val="24"/>
        </w:rPr>
      </w:r>
      <w:r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b/>
          <w:sz w:val="24"/>
          <w:szCs w:val="24"/>
        </w:rPr>
      </w:r>
      <w:r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b/>
          <w:sz w:val="24"/>
          <w:szCs w:val="24"/>
        </w:rPr>
      </w:r>
    </w:p>
    <w:p w14:paraId="653D5A49">
      <w:pPr>
        <w:spacing w:after="0" w:line="300" w:lineRule="auto"/>
        <w:ind w:firstLine="482" w:firstLineChars="20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（1）了解计算机网络在信息时代中的作用与发展历程，理解互联网的标准化工作。</w:t>
        <w:br/>
        <w:t>（2）掌握计算机网络的组成与分类，理解电路交换、报文交换和分组交换的基本原理与区别。</w:t>
        <w:br/>
        <w:t>（3）掌握计算机网络的性能指标（速率、带宽、吞吐量、时延、时延带宽积、往返时间RTT、利用率）。</w:t>
        <w:br/>
        <w:t>（4）掌握计算机网络的体系结构——OSI七层模型与TCP/IP四层模型，理解协议与服务的概念。</w:t>
      </w:r>
    </w:p>
    <w:p w14:paraId="53923DBD">
      <w:pPr>
        <w:spacing w:after="0" w:line="30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重点和难点</w:t>
      </w:r>
    </w:p>
    <w:p w14:paraId="00FCEAF8">
      <w:pPr>
        <w:spacing w:after="0" w:line="30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重点是分组交换原理和TCP/IP体系结构；难点是网络性能指标的综合计算与协议分层思想的深刻理解。</w:t>
      </w:r>
    </w:p>
    <w:p w14:paraId="77274D35">
      <w:pPr>
        <w:spacing w:after="0" w:line="30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教学方法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</w:p>
    <w:p w14:paraId="6561091B">
      <w:pPr>
        <w:spacing w:after="0" w:line="300" w:lineRule="auto"/>
        <w:ind w:firstLine="482" w:firstLineChars="20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教学方法</w:t>
      </w:r>
      <w:r>
        <w:rPr>
          <w:rFonts w:hint="default" w:ascii="Times New Roman" w:hAnsi="Times New Roman" w:cs="Times New Roman" w:eastAsiaTheme="minorEastAsia"/>
          <w:b/>
          <w:bCs/>
          <w:sz w:val="24"/>
          <w:szCs w:val="24"/>
        </w:rPr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</w:r>
    </w:p>
    <w:p w14:paraId="153F51F8">
      <w:pPr>
        <w:spacing w:after="0" w:line="30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</w:r>
    </w:p>
    <w:p w14:paraId="35EA37CC">
      <w:pPr>
        <w:spacing w:after="0" w:line="300" w:lineRule="auto"/>
        <w:ind w:firstLine="482" w:firstLineChars="20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</w:r>
    </w:p>
    <w:p w14:paraId="567ADAA8">
      <w:pPr>
        <w:spacing w:after="0" w:line="30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表2 课程教学内容与课程目标的对应关系及学时分配</w:t>
      </w:r>
    </w:p>
    <w:p w14:paraId="538509CA">
      <w:pPr>
        <w:spacing w:after="0" w:line="30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第2章 物理层（6学时）</w:t>
      </w:r>
    </w:p>
    <w:p w14:paraId="4A03C290">
      <w:pPr>
        <w:spacing w:after="0" w:line="300" w:lineRule="auto"/>
        <w:ind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基本要求</w:t>
      </w:r>
    </w:p>
    <w:p w14:paraId="73325571">
      <w:pPr>
        <w:spacing w:after="0" w:line="300" w:lineRule="auto"/>
        <w:ind w:firstLine="480" w:firstLineChars="200"/>
        <w:jc w:val="both"/>
        <w:rPr>
          <w:rFonts w:hint="eastAsia" w:cs="Times New Roman"/>
          <w:color w:val="FF0000"/>
          <w:sz w:val="24"/>
          <w:szCs w:val="24"/>
          <w:lang w:eastAsia="zh-CN"/>
        </w:rPr>
      </w:pPr>
      <w:r>
        <w:rPr>
          <w:rFonts w:hint="eastAsia" w:cs="Times New Roman" w:ascii="宋体" w:hAnsi="宋体" w:eastAsia="宋体"/>
          <w:b w:val="0"/>
          <w:color w:val="FF0000"/>
          <w:sz w:val="24"/>
          <w:szCs w:val="24"/>
          <w:lang w:eastAsia="zh-CN"/>
        </w:rPr>
        <w:t>（1）理解物理层的基本概念和主要任务，掌握数据通信的基础知识（信道的极限容量、奈奎斯特定理和香农公式）。</w:t>
        <w:br/>
        <w:t>（2）掌握物理层下面的传输媒体（双绞线、同轴电缆、光纤、无线信道）的特性与应用场景。</w:t>
        <w:br/>
        <w:t>（3）理解信道复用技术（频分复用FDM、时分复用TDM、波分复用WDM、码分复用CDM）的基本原理。</w:t>
        <w:br/>
        <w:t>（4）了解宽带接入技术（ADSL、光纤同轴混合网HFC、FTTx）。</w:t>
      </w:r>
    </w:p>
    <w:p w14:paraId="1EB2F393">
      <w:pPr>
        <w:spacing w:after="0" w:line="300" w:lineRule="auto"/>
        <w:ind w:firstLine="480" w:firstLineChars="200"/>
        <w:jc w:val="both"/>
        <w:rPr>
          <w:rFonts w:hint="eastAsia" w:cs="Times New Roman"/>
          <w:color w:val="FF0000"/>
          <w:sz w:val="24"/>
          <w:szCs w:val="24"/>
          <w:lang w:eastAsia="zh-CN"/>
        </w:rPr>
      </w:pPr>
      <w:r>
        <w:rPr>
          <w:rFonts w:hint="eastAsia" w:cs="Times New Roman"/>
          <w:color w:val="FF0000"/>
          <w:sz w:val="24"/>
          <w:szCs w:val="24"/>
          <w:lang w:eastAsia="zh-CN"/>
        </w:rPr>
        <w:t>……</w:t>
      </w:r>
    </w:p>
    <w:p w14:paraId="460AA535">
      <w:pPr>
        <w:pStyle w:val="3"/>
        <w:spacing w:line="300" w:lineRule="auto"/>
        <w:ind w:left="1202" w:firstLine="0"/>
        <w:jc w:val="center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Times New Roman" w:hAnsi="Times New Roman" w:cs="Times New Roman"/>
          <w:b/>
          <w:szCs w:val="21"/>
        </w:rPr>
        <w:t>表 2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szCs w:val="21"/>
        </w:rPr>
        <w:t>课程教学内容与课程目标的对应关系</w:t>
      </w:r>
    </w:p>
    <w:tbl>
      <w:tblPr>
        <w:tblStyle w:val="8"/>
        <w:tblW w:w="386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4110"/>
        <w:gridCol w:w="805"/>
      </w:tblGrid>
      <w:tr w14:paraId="5AED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</w:t>
            </w:r>
          </w:p>
        </w:tc>
        <w:tc>
          <w:tcPr>
            <w:tcW w:w="3130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教学内容</w:t>
            </w:r>
          </w:p>
        </w:tc>
        <w:tc>
          <w:tcPr>
            <w:tcW w:w="613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学时</w:t>
            </w:r>
          </w:p>
        </w:tc>
      </w:tr>
      <w:tr w14:paraId="12600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pct"/>
            <w:vMerge w:val="restar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  <w:tc>
          <w:tcPr>
            <w:tcW w:w="3130" w:type="pct"/>
            <w:shd w:val="clear" w:color="auto" w:fill="auto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第1章 计算机网络概述</w:t>
            </w:r>
          </w:p>
        </w:tc>
        <w:tc>
          <w:tcPr>
            <w:tcW w:w="613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</w:t>
            </w:r>
          </w:p>
        </w:tc>
      </w:tr>
      <w:tr w14:paraId="2120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pct"/>
            <w:vMerge w:val="continue"/>
            <w:shd w:val="clear" w:color="auto" w:fill="auto"/>
            <w:vAlign w:val="center"/>
          </w:tcPr>
          <w:p w14:paraId="673018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contextualSpacing/>
              <w:jc w:val="center"/>
              <w:textAlignment w:val="auto"/>
              <w:rPr>
                <w:rFonts w:hint="default" w:ascii="Times New Roman" w:hAnsi="Times New Roman" w:cs="Times New Roman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30" w:type="pct"/>
            <w:shd w:val="clear" w:color="auto" w:fill="auto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第2章 物理层</w:t>
            </w:r>
          </w:p>
        </w:tc>
        <w:tc>
          <w:tcPr>
            <w:tcW w:w="613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</w:tr>
      <w:tr w14:paraId="0160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  <w:tc>
          <w:tcPr>
            <w:tcW w:w="3130" w:type="pct"/>
            <w:shd w:val="clear" w:color="auto" w:fill="auto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第3章 数据链路层（含实验1：2学时）</w:t>
            </w:r>
          </w:p>
        </w:tc>
        <w:tc>
          <w:tcPr>
            <w:tcW w:w="613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  <w:tr w14:paraId="01F30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课程目标1/2/3</w:t>
            </w:r>
          </w:p>
        </w:tc>
        <w:tc>
          <w:tcPr>
            <w:tcW w:w="3130" w:type="pct"/>
            <w:shd w:val="clear" w:color="auto" w:fill="auto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第4章 网络层（含实验2：3学时）</w:t>
            </w:r>
          </w:p>
        </w:tc>
        <w:tc>
          <w:tcPr>
            <w:tcW w:w="613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12</w:t>
            </w:r>
          </w:p>
        </w:tc>
      </w:tr>
      <w:tr w14:paraId="488F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课程目标1/2/3</w:t>
            </w:r>
          </w:p>
        </w:tc>
        <w:tc>
          <w:tcPr>
            <w:tcW w:w="3130" w:type="pct"/>
            <w:shd w:val="clear" w:color="auto" w:fill="auto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第5章 运输层（含实验3：3学时）</w:t>
            </w:r>
          </w:p>
        </w:tc>
        <w:tc>
          <w:tcPr>
            <w:tcW w:w="613" w:type="pc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</w:tr>
    </w:tbl>
    <w:p w14:paraId="48E72CD1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Chars="0"/>
        <w:textAlignment w:val="auto"/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lang w:val="en-US" w:eastAsia="zh-CN"/>
        </w:rPr>
        <w:t>三、建议教材与学习资源</w:t>
      </w:r>
      <w:r>
        <w:rPr>
          <w:rFonts w:hint="default" w:ascii="宋体" w:hAnsi="宋体" w:eastAsia="宋体" w:cs="宋体"/>
          <w:b/>
          <w:bCs/>
          <w:lang w:val="en-US" w:eastAsia="zh-CN"/>
        </w:rPr>
      </w:r>
      <w:r>
        <w:rPr>
          <w:rFonts w:hint="eastAsia" w:ascii="宋体" w:hAnsi="宋体" w:eastAsia="宋体" w:cs="宋体"/>
          <w:b/>
          <w:bCs/>
          <w:color w:val="FF0000"/>
          <w:lang w:val="en-US" w:eastAsia="zh-CN"/>
        </w:rPr>
      </w:r>
    </w:p>
    <w:p w14:paraId="1EBA7438">
      <w:pPr>
        <w:pStyle w:val="13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color w:val="FF0000"/>
          <w:sz w:val="24"/>
          <w:szCs w:val="24"/>
          <w:lang w:val="en-US" w:eastAsia="zh-CN"/>
        </w:rPr>
      </w:r>
      <w:r>
        <w:rPr>
          <w:rFonts w:hint="eastAsia" w:ascii="宋体" w:hAnsi="宋体" w:eastAsia="宋体" w:cs="宋体"/>
          <w:color w:val="FF0000"/>
          <w:sz w:val="24"/>
          <w:szCs w:val="24"/>
        </w:rPr>
      </w:r>
      <w:r>
        <w:rPr>
          <w:rFonts w:hint="eastAsia" w:ascii="宋体" w:hAnsi="宋体" w:eastAsia="宋体" w:cs="宋体"/>
          <w:color w:val="FF0000"/>
          <w:sz w:val="24"/>
          <w:szCs w:val="24"/>
          <w:lang w:eastAsia="zh-CN"/>
        </w:rPr>
      </w:r>
    </w:p>
    <w:p w14:paraId="55A3DC2C">
      <w:pPr>
        <w:pStyle w:val="18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-CN"/>
        </w:rPr>
        <w:t>建议教材</w:t>
      </w:r>
      <w:r>
        <w:rPr>
          <w:rFonts w:hint="eastAsia" w:ascii="宋体" w:hAnsi="宋体" w:eastAsia="宋体" w:cs="宋体"/>
          <w:sz w:val="24"/>
          <w:szCs w:val="24"/>
        </w:rPr>
      </w:r>
    </w:p>
    <w:p w14:paraId="1ADF97B7">
      <w:pPr>
        <w:adjustRightInd w:val="0"/>
        <w:snapToGrid w:val="0"/>
        <w:spacing w:line="30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[1] 谢希仁.《计算机网络（第8版）》. 电子工业出版社, 2021.（"十二五"普通高等教育本科国家级规划教材）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</w:p>
    <w:p w14:paraId="434AAF5D">
      <w:pPr>
        <w:spacing w:after="0" w:line="300" w:lineRule="auto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</w:p>
    <w:p w14:paraId="6204192A">
      <w:pPr>
        <w:pStyle w:val="18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eastAsia="宋体" w:cs="宋体"/>
          <w:b w:val="0"/>
          <w:color w:val="FF0000"/>
          <w:sz w:val="24"/>
          <w:szCs w:val="24"/>
          <w:lang w:val="en-US" w:eastAsia="zh-CN"/>
        </w:rPr>
        <w:t>参考教材</w:t>
      </w:r>
      <w:r>
        <w:rPr>
          <w:rFonts w:hint="eastAsia" w:ascii="宋体" w:hAnsi="宋体" w:eastAsia="宋体" w:cs="宋体"/>
          <w:color w:val="FF0000"/>
          <w:sz w:val="24"/>
          <w:szCs w:val="24"/>
        </w:rPr>
      </w:r>
    </w:p>
    <w:p w14:paraId="72A81B7B">
      <w:pPr>
        <w:adjustRightInd w:val="0"/>
        <w:snapToGrid w:val="0"/>
        <w:spacing w:line="30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  <w:t>[1] James F. Kurose, Keith W. Ross. Computer Networking: A Top-Down Approach (8th Edition). Pearson, 2020.</w:t>
        <w:br/>
        <w:t>[2] Andrew S. Tanenbaum, David J. Wetherall. Computer Networks (6th Edition). Pearson, 2020.</w:t>
        <w:br/>
        <w:t>[3] 吴功宜.《计算机网络（第4版）》. 清华大学出版社, 2019.</w:t>
        <w:br/>
        <w:t>[4] 王卫东, 傅宇凡.《计算机网络习题解析与同步辅导》. 电子工业出版社, 2022.</w:t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</w:p>
    <w:p w14:paraId="2907CBE8">
      <w:pPr>
        <w:adjustRightInd w:val="0"/>
        <w:snapToGrid w:val="0"/>
        <w:spacing w:line="30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</w:p>
    <w:p w14:paraId="4BC5EC30">
      <w:pPr>
        <w:adjustRightInd w:val="0"/>
        <w:snapToGrid w:val="0"/>
        <w:spacing w:line="300" w:lineRule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cs="宋体"/>
          <w:kern w:val="2"/>
          <w:sz w:val="24"/>
          <w:szCs w:val="24"/>
          <w:lang w:val="en-US" w:eastAsia="zh-CN" w:bidi="ar-SA"/>
        </w:rPr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r>
    </w:p>
    <w:p w14:paraId="7801128A">
      <w:pPr>
        <w:pStyle w:val="18"/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color w:val="FF0000"/>
          <w:sz w:val="24"/>
          <w:szCs w:val="24"/>
          <w:highlight w:val="none"/>
          <w:lang w:val="en-US" w:eastAsia="zh-CN"/>
        </w:rPr>
      </w:r>
      <w:r>
        <w:rPr>
          <w:rFonts w:hint="eastAsia" w:ascii="宋体" w:hAnsi="宋体" w:eastAsia="宋体" w:cs="宋体"/>
          <w:color w:val="FF0000"/>
          <w:sz w:val="24"/>
          <w:szCs w:val="24"/>
          <w:highlight w:val="none"/>
          <w:lang w:val="en-US" w:eastAsia="zh-CN"/>
        </w:rPr>
      </w:r>
    </w:p>
    <w:p w14:paraId="56F5BAD3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lang w:val="en-US" w:eastAsia="zh-CN"/>
        </w:rPr>
        <w:t>四、考核形式与成绩构成</w:t>
      </w:r>
    </w:p>
    <w:p w14:paraId="25888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</w:r>
    </w:p>
    <w:p w14:paraId="38432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课程总成绩由过程考核成绩（占50%）和期末考试成绩（占50%）两部分组成。过程考核包括平时作业（20%）、课堂测验（15%）和实验（15%）三项。</w:t>
      </w:r>
    </w:p>
    <w:p w14:paraId="66F4ACA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（1）平时作业（占总成绩20%）</w:t>
      </w:r>
    </w:p>
    <w:p w14:paraId="667C6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  <w:t>共5次作业，每次满分100分，5次作业取平均分。作业内容涵盖作业1（体系结构与性能指标）、作业2（信道容量与复用）、作业3（CRC与CSMA/CD）、作业4（IP规划与子网划分）、作业5（TCP拥塞控制与可靠传输）。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</w:p>
    <w:p w14:paraId="373921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平时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作业共5次，每次计100分，5次取平均值即为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作业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成绩，占考核成绩的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20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</w:rPr>
        <w:t>%</w:t>
      </w: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。</w:t>
      </w:r>
    </w:p>
    <w:p w14:paraId="10361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依据各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教学内容</w:t>
      </w:r>
      <w:r>
        <w:rPr>
          <w:rFonts w:hint="default" w:ascii="Times New Roman" w:hAnsi="Times New Roman" w:eastAsia="宋体" w:cs="Times New Roman"/>
          <w:sz w:val="24"/>
          <w:szCs w:val="24"/>
        </w:rPr>
        <w:t>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课程</w:t>
      </w:r>
      <w:r>
        <w:rPr>
          <w:rFonts w:hint="default" w:ascii="Times New Roman" w:hAnsi="Times New Roman" w:eastAsia="宋体" w:cs="Times New Roman"/>
          <w:sz w:val="24"/>
          <w:szCs w:val="24"/>
        </w:rPr>
        <w:t>目标的支撑情况，结合平时作业的形式和内容，确定平时作业对各个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课程目标</w:t>
      </w:r>
      <w:r>
        <w:rPr>
          <w:rFonts w:hint="default" w:ascii="Times New Roman" w:hAnsi="Times New Roman" w:eastAsia="宋体" w:cs="Times New Roman"/>
          <w:sz w:val="24"/>
          <w:szCs w:val="24"/>
        </w:rPr>
        <w:t>的支撑情况，如表3所示。</w:t>
      </w:r>
    </w:p>
    <w:p w14:paraId="013F86DE">
      <w:pPr>
        <w:spacing w:line="300" w:lineRule="auto"/>
        <w:ind w:firstLine="422" w:firstLineChars="200"/>
        <w:jc w:val="center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Times New Roman" w:hAnsi="Times New Roman" w:cs="Times New Roman"/>
          <w:b/>
          <w:szCs w:val="21"/>
        </w:rPr>
        <w:t>表3平时作业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与</w:t>
      </w:r>
      <w:r>
        <w:rPr>
          <w:rFonts w:hint="default" w:ascii="Times New Roman" w:hAnsi="Times New Roman" w:cs="Times New Roman"/>
          <w:b/>
          <w:szCs w:val="21"/>
        </w:rPr>
        <w:t>课程目标对应关系</w:t>
      </w:r>
    </w:p>
    <w:tbl>
      <w:tblPr>
        <w:tblStyle w:val="8"/>
        <w:tblW w:w="71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214"/>
        <w:gridCol w:w="3524"/>
        <w:gridCol w:w="1212"/>
      </w:tblGrid>
      <w:tr w14:paraId="0DB41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 w14:paraId="57E4EC87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课程目标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6FEEDA5C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教学内容</w:t>
            </w:r>
          </w:p>
        </w:tc>
        <w:tc>
          <w:tcPr>
            <w:tcW w:w="3524" w:type="dxa"/>
            <w:shd w:val="clear" w:color="auto" w:fill="auto"/>
            <w:vAlign w:val="center"/>
          </w:tcPr>
          <w:p w14:paraId="62FFF3D4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平时作业内容</w:t>
            </w:r>
          </w:p>
        </w:tc>
        <w:tc>
          <w:tcPr>
            <w:tcW w:w="1212" w:type="dxa"/>
            <w:shd w:val="clear" w:color="auto" w:fill="auto"/>
            <w:vAlign w:val="center"/>
          </w:tcPr>
          <w:p w14:paraId="6DF9055A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所占比例</w:t>
            </w:r>
          </w:p>
        </w:tc>
      </w:tr>
      <w:tr w14:paraId="02424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Merge w:val="restar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  <w:tc>
          <w:tcPr>
            <w:tcW w:w="1214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第1-2章</w:t>
            </w:r>
          </w:p>
        </w:tc>
        <w:tc>
          <w:tcPr>
            <w:tcW w:w="3524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作业1：体系结构与性能指标计算</w:t>
            </w:r>
          </w:p>
        </w:tc>
        <w:tc>
          <w:tcPr>
            <w:tcW w:w="1212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  <w:tr w14:paraId="3369F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Merge w:val="continue"/>
            <w:shd w:val="clear" w:color="auto" w:fill="auto"/>
            <w:vAlign w:val="center"/>
          </w:tcPr>
          <w:p w14:paraId="5FA183EE">
            <w:pPr>
              <w:spacing w:line="300" w:lineRule="auto"/>
              <w:contextualSpacing/>
              <w:jc w:val="center"/>
              <w:rPr>
                <w:rFonts w:hint="default" w:ascii="Times New Roman" w:hAnsi="Times New Roman" w:cs="Times New Roman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第2章</w:t>
            </w:r>
          </w:p>
        </w:tc>
        <w:tc>
          <w:tcPr>
            <w:tcW w:w="3524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作业2：信道容量与复用技术</w:t>
            </w:r>
          </w:p>
        </w:tc>
        <w:tc>
          <w:tcPr>
            <w:tcW w:w="1212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  <w:tr w14:paraId="489BC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Merge w:val="restar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w="1214" w:type="dxa"/>
            <w:vMerge w:val="restart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第4章</w:t>
            </w:r>
          </w:p>
        </w:tc>
        <w:tc>
          <w:tcPr>
            <w:tcW w:w="3524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作业3：CRC校验与CSMA/CD分析</w:t>
            </w:r>
          </w:p>
        </w:tc>
        <w:tc>
          <w:tcPr>
            <w:tcW w:w="1212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  <w:tr w14:paraId="6814A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vMerge w:val="continue"/>
            <w:shd w:val="clear" w:color="auto" w:fill="auto"/>
            <w:vAlign w:val="center"/>
          </w:tcPr>
          <w:p w14:paraId="119213E5">
            <w:pPr>
              <w:spacing w:line="300" w:lineRule="auto"/>
              <w:contextualSpacing/>
              <w:jc w:val="center"/>
              <w:rPr>
                <w:rFonts w:hint="default" w:ascii="Times New Roman" w:hAnsi="Times New Roman" w:cs="Times New Roman"/>
                <w:color w:val="000000" w:themeColor="text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14" w:type="dxa"/>
            <w:vMerge w:val="continue"/>
            <w:shd w:val="clear" w:color="auto" w:fill="auto"/>
            <w:vAlign w:val="top"/>
          </w:tcPr>
          <w:p w14:paraId="4F0B1430">
            <w:pPr>
              <w:spacing w:line="300" w:lineRule="auto"/>
              <w:contextualSpacing/>
              <w:jc w:val="left"/>
              <w:rPr>
                <w:rFonts w:hint="default" w:ascii="Times New Roman" w:hAnsi="Times New Roman" w:cs="Times New Roman" w:eastAsiaTheme="minorEastAsia"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24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作业4：IP地址规划与子网划分</w:t>
            </w:r>
          </w:p>
        </w:tc>
        <w:tc>
          <w:tcPr>
            <w:tcW w:w="1212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  <w:tr w14:paraId="18CF9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4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w="1214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第5章</w:t>
            </w:r>
          </w:p>
        </w:tc>
        <w:tc>
          <w:tcPr>
            <w:tcW w:w="3524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作业5：TCP拥塞控制与可靠传输</w:t>
            </w:r>
          </w:p>
        </w:tc>
        <w:tc>
          <w:tcPr>
            <w:tcW w:w="1212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</w:tbl>
    <w:p w14:paraId="2D3F8077">
      <w:pPr>
        <w:spacing w:line="30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平时</w:t>
      </w:r>
      <w:r>
        <w:rPr>
          <w:rFonts w:hint="default" w:ascii="Times New Roman" w:hAnsi="Times New Roman" w:eastAsia="宋体" w:cs="Times New Roman"/>
          <w:sz w:val="24"/>
          <w:szCs w:val="24"/>
        </w:rPr>
        <w:t>作业的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评分</w:t>
      </w:r>
      <w:r>
        <w:rPr>
          <w:rFonts w:hint="default" w:ascii="Times New Roman" w:hAnsi="Times New Roman" w:eastAsia="宋体" w:cs="Times New Roman"/>
          <w:sz w:val="24"/>
          <w:szCs w:val="24"/>
        </w:rPr>
        <w:t>标准如表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4"/>
        </w:rPr>
        <w:t>所示。</w:t>
      </w:r>
    </w:p>
    <w:p w14:paraId="3D2810DD">
      <w:pPr>
        <w:spacing w:line="300" w:lineRule="auto"/>
        <w:ind w:firstLine="422" w:firstLineChars="200"/>
        <w:jc w:val="center"/>
        <w:rPr>
          <w:rFonts w:hint="default" w:ascii="Times New Roman" w:hAnsi="Times New Roman" w:eastAsia="宋体" w:cs="Times New Roman"/>
          <w:b/>
          <w:bCs/>
          <w:szCs w:val="21"/>
        </w:rPr>
      </w:pPr>
      <w:r>
        <w:rPr>
          <w:rFonts w:hint="default" w:ascii="Times New Roman" w:hAnsi="Times New Roman" w:eastAsia="宋体" w:cs="Times New Roman"/>
          <w:b/>
          <w:bCs/>
          <w:szCs w:val="21"/>
        </w:rPr>
        <w:t>表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szCs w:val="21"/>
        </w:rPr>
        <w:t>平时作业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评分</w:t>
      </w:r>
      <w:r>
        <w:rPr>
          <w:rFonts w:hint="default" w:ascii="Times New Roman" w:hAnsi="Times New Roman" w:eastAsia="宋体" w:cs="Times New Roman"/>
          <w:b/>
          <w:bCs/>
          <w:szCs w:val="21"/>
        </w:rPr>
        <w:t>标准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822"/>
        <w:gridCol w:w="7002"/>
      </w:tblGrid>
      <w:tr w14:paraId="23BC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7" w:type="dxa"/>
            <w:vAlign w:val="center"/>
          </w:tcPr>
          <w:p w14:paraId="5447F0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课程目标</w:t>
            </w:r>
          </w:p>
        </w:tc>
        <w:tc>
          <w:tcPr>
            <w:tcW w:w="1247" w:type="dxa"/>
            <w:vAlign w:val="center"/>
          </w:tcPr>
          <w:p w14:paraId="27F9E5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分数等级</w:t>
            </w:r>
          </w:p>
        </w:tc>
        <w:tc>
          <w:tcPr>
            <w:tcW w:w="5669" w:type="dxa"/>
            <w:vAlign w:val="center"/>
          </w:tcPr>
          <w:p w14:paraId="08F0D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评分标准</w:t>
            </w:r>
          </w:p>
        </w:tc>
      </w:tr>
      <w:tr w14:paraId="4C232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  <w:br/>
              <w:t>（作业1、2）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完全掌握网络体系结构的分层思想，正确绘制OSI和TCP/IP参考模型，准确计算网络性能指标（速率、时延、RTT等），正确计算信道容量并选择适当的复用技术。</w:t>
            </w:r>
          </w:p>
        </w:tc>
      </w:tr>
      <w:tr w14:paraId="09F68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468C4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较好掌握网络体系结构，能基本正确地绘制参考模型，能较准确计算网络性能指标和信道容量，复用技术选择基本恰当。</w:t>
            </w:r>
          </w:p>
        </w:tc>
      </w:tr>
      <w:tr w14:paraId="4804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45750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基本理解网络体系结构，能画出大致分层结构，能进行简单的性能指标计算，但对综合性计算和复用技术原理理解有偏差。</w:t>
            </w:r>
          </w:p>
        </w:tc>
      </w:tr>
      <w:tr w14:paraId="000D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56DE4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对网络体系结构理解不够完整，分层模型绘制有较多错误，性能指标计算存在较多问题，对复用技术理解较为模糊。</w:t>
            </w:r>
          </w:p>
        </w:tc>
      </w:tr>
      <w:tr w14:paraId="507B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31B47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未能理解网络体系结构的分层思想，不能正确绘制参考模型，不能完成性能指标计算和复用技术分析。</w:t>
            </w:r>
          </w:p>
        </w:tc>
      </w:tr>
      <w:tr w14:paraId="33F7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  <w:br/>
              <w:t>（作业3、4）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完全掌握CRC校验计算方法，正确分析CSMA/CD协议的争用期和碰撞检测过程；准确完成IP地址的子网划分和CIDR聚合计算，正确分析TCP拥塞控制各阶段窗口变化。</w:t>
            </w:r>
          </w:p>
        </w:tc>
      </w:tr>
      <w:tr w14:paraId="259A0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1E00F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较好掌握CRC计算和CSMA/CD分析，能较准确完成子网划分和CIDR计算，能基本正确分析TCP拥塞控制过程，存在少量计算错误。</w:t>
            </w:r>
          </w:p>
        </w:tc>
      </w:tr>
      <w:tr w14:paraId="7E687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2D742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基本掌握CRC计算方法和CSMA/CD概念，能进行基本子网划分但对CIDR聚合理解有偏差，能描述TCP拥塞控制算法但对具体窗口计算有一定困难。</w:t>
            </w:r>
          </w:p>
        </w:tc>
      </w:tr>
      <w:tr w14:paraId="0F85C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38B6E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对CRC计算和CSMA/CD原理理解不完整，子网划分存在较多错误，TCP拥塞控制分析仅能定性描述，不能完成定量计算。</w:t>
            </w:r>
          </w:p>
        </w:tc>
      </w:tr>
      <w:tr w14:paraId="6D49B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5B9D7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未能掌握CRC计算方法，不能分析CSMA/CD协议工作过程，不能完成IP子网划分和TCP拥塞控制分析。</w:t>
            </w:r>
          </w:p>
        </w:tc>
      </w:tr>
      <w:tr w14:paraId="5BA32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  <w:br/>
              <w:t>（作业5）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完全掌握CRC校验计算方法，正确分析CSMA/CD协议的争用期和碰撞检测过程；准确完成IP地址的子网划分和CIDR聚合计算，正确分析TCP拥塞控制各阶段窗口变化。</w:t>
            </w:r>
          </w:p>
        </w:tc>
      </w:tr>
      <w:tr w14:paraId="75F0F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13561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较好掌握CRC计算和CSMA/CD分析，能较准确完成子网划分和CIDR计算，能基本正确分析TCP拥塞控制过程，存在少量计算错误。</w:t>
            </w:r>
          </w:p>
        </w:tc>
      </w:tr>
      <w:tr w14:paraId="25965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04484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基本掌握CRC计算方法和CSMA/CD概念，能进行基本子网划分但对CIDR聚合理解有偏差，能描述TCP拥塞控制算法但对具体窗口计算有一定困难。</w:t>
            </w:r>
          </w:p>
        </w:tc>
      </w:tr>
      <w:tr w14:paraId="09424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0660F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对CRC计算和CSMA/CD原理理解不完整，子网划分存在较多错误，TCP拥塞控制分析仅能定性描述，不能完成定量计算。</w:t>
            </w:r>
          </w:p>
        </w:tc>
      </w:tr>
      <w:tr w14:paraId="67BE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94" w:type="dxa"/>
            <w:vMerge w:val="continue"/>
            <w:vAlign w:val="center"/>
          </w:tcPr>
          <w:p w14:paraId="30EDB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Cs w:val="21"/>
                <w:highlight w:val="none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未能掌握CRC计算方法，不能分析CSMA/CD协议工作过程，不能完成IP子网划分和TCP拥塞控制分析。</w:t>
            </w:r>
          </w:p>
        </w:tc>
      </w:tr>
    </w:tbl>
    <w:p w14:paraId="128D0F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随堂测试</w:t>
      </w:r>
      <w:r>
        <w:rPr>
          <w:rFonts w:hint="default" w:ascii="Times New Roman" w:hAnsi="Times New Roman" w:eastAsia="宋体" w:cs="Times New Roman"/>
          <w:sz w:val="24"/>
          <w:szCs w:val="24"/>
        </w:rPr>
        <w:t>考查学生对基础知识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基本方法</w:t>
      </w:r>
      <w:r>
        <w:rPr>
          <w:rFonts w:hint="default" w:ascii="Times New Roman" w:hAnsi="Times New Roman" w:eastAsia="宋体" w:cs="Times New Roman"/>
          <w:sz w:val="24"/>
          <w:szCs w:val="24"/>
        </w:rPr>
        <w:t>的掌握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程度</w:t>
      </w:r>
      <w:r>
        <w:rPr>
          <w:rFonts w:hint="default" w:ascii="Times New Roman" w:hAnsi="Times New Roman" w:eastAsia="宋体" w:cs="Times New Roman"/>
          <w:sz w:val="24"/>
          <w:szCs w:val="24"/>
        </w:rPr>
        <w:t>，采用选择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题</w:t>
      </w:r>
      <w:r>
        <w:rPr>
          <w:rFonts w:hint="default" w:ascii="Times New Roman" w:hAnsi="Times New Roman" w:eastAsia="宋体" w:cs="Times New Roman"/>
          <w:sz w:val="24"/>
          <w:szCs w:val="24"/>
        </w:rPr>
        <w:t>和判断题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等方式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共</w:t>
      </w:r>
      <w:r>
        <w:rPr>
          <w:rFonts w:hint="default" w:ascii="Times New Roman" w:hAnsi="Times New Roman" w:eastAsia="宋体" w:cs="Times New Roman"/>
          <w:sz w:val="24"/>
          <w:szCs w:val="24"/>
        </w:rPr>
        <w:t>3次，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每次按</w:t>
      </w:r>
      <w:r>
        <w:rPr>
          <w:rFonts w:hint="default" w:ascii="Times New Roman" w:hAnsi="Times New Roman" w:eastAsia="宋体" w:cs="Times New Roman"/>
          <w:sz w:val="24"/>
          <w:szCs w:val="24"/>
        </w:rPr>
        <w:t>100分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计</w:t>
      </w:r>
      <w:r>
        <w:rPr>
          <w:rFonts w:hint="default" w:ascii="Times New Roman" w:hAnsi="Times New Roman" w:eastAsia="宋体" w:cs="Times New Roman"/>
          <w:sz w:val="24"/>
          <w:szCs w:val="24"/>
        </w:rPr>
        <w:t>，占课程考核成绩的15%。依据各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教学内容</w:t>
      </w:r>
      <w:r>
        <w:rPr>
          <w:rFonts w:hint="default" w:ascii="Times New Roman" w:hAnsi="Times New Roman" w:eastAsia="宋体" w:cs="Times New Roman"/>
          <w:sz w:val="24"/>
          <w:szCs w:val="24"/>
        </w:rPr>
        <w:t>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课程</w:t>
      </w:r>
      <w:r>
        <w:rPr>
          <w:rFonts w:hint="default" w:ascii="Times New Roman" w:hAnsi="Times New Roman" w:eastAsia="宋体" w:cs="Times New Roman"/>
          <w:sz w:val="24"/>
          <w:szCs w:val="24"/>
        </w:rPr>
        <w:t>目标的支撑情况，结合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随堂</w:t>
      </w:r>
      <w:r>
        <w:rPr>
          <w:rFonts w:hint="default" w:ascii="Times New Roman" w:hAnsi="Times New Roman" w:eastAsia="宋体" w:cs="Times New Roman"/>
          <w:sz w:val="24"/>
          <w:szCs w:val="24"/>
        </w:rPr>
        <w:t>测试的形式和内容，确定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随堂</w:t>
      </w:r>
      <w:r>
        <w:rPr>
          <w:rFonts w:hint="default" w:ascii="Times New Roman" w:hAnsi="Times New Roman" w:eastAsia="宋体" w:cs="Times New Roman"/>
          <w:sz w:val="24"/>
          <w:szCs w:val="24"/>
        </w:rPr>
        <w:t>测试对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课程目标</w:t>
      </w:r>
      <w:r>
        <w:rPr>
          <w:rFonts w:hint="default" w:ascii="Times New Roman" w:hAnsi="Times New Roman" w:eastAsia="宋体" w:cs="Times New Roman"/>
          <w:sz w:val="24"/>
          <w:szCs w:val="24"/>
        </w:rPr>
        <w:t>的支撑情况如表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24"/>
          <w:szCs w:val="24"/>
        </w:rPr>
        <w:t>所示。</w:t>
      </w:r>
    </w:p>
    <w:p w14:paraId="35075BC6">
      <w:pPr>
        <w:spacing w:line="300" w:lineRule="auto"/>
        <w:ind w:firstLine="422" w:firstLineChars="200"/>
        <w:jc w:val="center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Times New Roman" w:hAnsi="Times New Roman" w:cs="Times New Roman"/>
          <w:b/>
          <w:szCs w:val="21"/>
        </w:rPr>
        <w:t>表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5随堂</w:t>
      </w:r>
      <w:r>
        <w:rPr>
          <w:rFonts w:hint="default" w:ascii="Times New Roman" w:hAnsi="Times New Roman" w:cs="Times New Roman"/>
          <w:b/>
          <w:szCs w:val="21"/>
        </w:rPr>
        <w:t>测试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与</w:t>
      </w:r>
      <w:r>
        <w:rPr>
          <w:rFonts w:hint="default" w:ascii="Times New Roman" w:hAnsi="Times New Roman" w:cs="Times New Roman"/>
          <w:b/>
          <w:szCs w:val="21"/>
        </w:rPr>
        <w:t>课程目标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的</w:t>
      </w:r>
      <w:r>
        <w:rPr>
          <w:rFonts w:hint="default" w:ascii="Times New Roman" w:hAnsi="Times New Roman" w:cs="Times New Roman"/>
          <w:b/>
          <w:szCs w:val="21"/>
        </w:rPr>
        <w:t>对应关系</w:t>
      </w:r>
    </w:p>
    <w:tbl>
      <w:tblPr>
        <w:tblStyle w:val="8"/>
        <w:tblW w:w="75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1218"/>
        <w:gridCol w:w="3916"/>
        <w:gridCol w:w="1186"/>
      </w:tblGrid>
      <w:tr w14:paraId="27D9B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1218" w:type="dxa"/>
            <w:shd w:val="clear" w:color="auto" w:fill="auto"/>
            <w:vAlign w:val="center"/>
          </w:tcPr>
          <w:p w14:paraId="0CA96705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en-US"/>
                <w14:textFill>
                  <w14:solidFill>
                    <w14:schemeClr w14:val="tx1"/>
                  </w14:solidFill>
                </w14:textFill>
              </w:rPr>
              <w:t>课程目标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588B8105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教学内容</w:t>
            </w:r>
          </w:p>
        </w:tc>
        <w:tc>
          <w:tcPr>
            <w:tcW w:w="3916" w:type="dxa"/>
            <w:shd w:val="clear" w:color="auto" w:fill="auto"/>
            <w:vAlign w:val="center"/>
          </w:tcPr>
          <w:p w14:paraId="6CA67C10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szCs w:val="21"/>
                <w:lang w:val="en-US" w:eastAsia="zh-CN"/>
              </w:rPr>
              <w:t>随堂</w:t>
            </w:r>
            <w:r>
              <w:rPr>
                <w:rFonts w:hint="default" w:ascii="Times New Roman" w:hAnsi="Times New Roman" w:cs="Times New Roman"/>
                <w:b/>
                <w:szCs w:val="21"/>
              </w:rPr>
              <w:t>测试</w:t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1186" w:type="dxa"/>
            <w:shd w:val="clear" w:color="auto" w:fill="auto"/>
            <w:vAlign w:val="center"/>
          </w:tcPr>
          <w:p w14:paraId="2A8C8606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所占比例</w:t>
            </w:r>
          </w:p>
        </w:tc>
      </w:tr>
      <w:tr w14:paraId="2371E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1218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  <w:tc>
          <w:tcPr>
            <w:tcW w:w="1218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第1-2章</w:t>
            </w:r>
          </w:p>
        </w:tc>
        <w:tc>
          <w:tcPr>
            <w:tcW w:w="3916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测验1：概述+物理层</w:t>
            </w:r>
          </w:p>
        </w:tc>
        <w:tc>
          <w:tcPr>
            <w:tcW w:w="1186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  <w:tr w14:paraId="169C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1218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课程目标1/2</w:t>
            </w:r>
          </w:p>
        </w:tc>
        <w:tc>
          <w:tcPr>
            <w:tcW w:w="1218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第3-4章</w:t>
            </w:r>
          </w:p>
        </w:tc>
        <w:tc>
          <w:tcPr>
            <w:tcW w:w="3916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测验2：数据链路层+网络层</w:t>
            </w:r>
          </w:p>
        </w:tc>
        <w:tc>
          <w:tcPr>
            <w:tcW w:w="1186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60</w:t>
            </w:r>
          </w:p>
        </w:tc>
      </w:tr>
      <w:tr w14:paraId="5E97F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218" w:type="dxa"/>
            <w:shd w:val="clear" w:color="auto" w:fill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w="1218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第5-6章</w:t>
            </w:r>
          </w:p>
        </w:tc>
        <w:tc>
          <w:tcPr>
            <w:tcW w:w="3916" w:type="dxa"/>
            <w:shd w:val="clear" w:color="auto" w:fill="auto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测验3：运输层+应用层</w:t>
            </w:r>
          </w:p>
        </w:tc>
        <w:tc>
          <w:tcPr>
            <w:tcW w:w="1186" w:type="dxa"/>
            <w:shd w:val="clear" w:color="auto" w:fill="auto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</w:tbl>
    <w:p w14:paraId="2638B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随堂</w:t>
      </w:r>
      <w:r>
        <w:rPr>
          <w:rFonts w:hint="default" w:ascii="Times New Roman" w:hAnsi="Times New Roman" w:eastAsia="宋体" w:cs="Times New Roman"/>
          <w:sz w:val="24"/>
          <w:szCs w:val="24"/>
        </w:rPr>
        <w:t>测试评分标准如表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sz w:val="24"/>
          <w:szCs w:val="24"/>
        </w:rPr>
        <w:t>所示。</w:t>
      </w:r>
    </w:p>
    <w:p w14:paraId="7A2CC2B4">
      <w:pPr>
        <w:spacing w:line="300" w:lineRule="auto"/>
        <w:ind w:firstLine="422" w:firstLineChars="200"/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szCs w:val="21"/>
        </w:rPr>
        <w:t>表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 xml:space="preserve">6 </w:t>
      </w:r>
      <w:r>
        <w:rPr>
          <w:rFonts w:hint="default" w:ascii="Times New Roman" w:hAnsi="Times New Roman" w:cs="Times New Roman"/>
          <w:b/>
          <w:szCs w:val="21"/>
        </w:rPr>
        <w:t>随堂测试</w:t>
      </w:r>
      <w:r>
        <w:rPr>
          <w:rFonts w:hint="default" w:ascii="Times New Roman" w:hAnsi="Times New Roman" w:eastAsia="宋体" w:cs="Times New Roman"/>
          <w:b/>
          <w:bCs/>
          <w:szCs w:val="21"/>
          <w:lang w:val="en-US" w:eastAsia="zh-CN"/>
        </w:rPr>
        <w:t>评分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标准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837"/>
        <w:gridCol w:w="6907"/>
      </w:tblGrid>
      <w:tr w14:paraId="5000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87" w:type="dxa"/>
            <w:vAlign w:val="center"/>
          </w:tcPr>
          <w:p w14:paraId="381DCC55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目标</w:t>
            </w:r>
          </w:p>
        </w:tc>
        <w:tc>
          <w:tcPr>
            <w:tcW w:w="1247" w:type="dxa"/>
            <w:vAlign w:val="center"/>
          </w:tcPr>
          <w:p w14:paraId="7463B685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分数等级</w:t>
            </w:r>
          </w:p>
        </w:tc>
        <w:tc>
          <w:tcPr>
            <w:tcW w:w="5669" w:type="dxa"/>
            <w:vAlign w:val="center"/>
          </w:tcPr>
          <w:p w14:paraId="4486F25D">
            <w:pPr>
              <w:spacing w:line="300" w:lineRule="auto"/>
              <w:contextualSpacing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评分标准</w:t>
            </w:r>
          </w:p>
        </w:tc>
      </w:tr>
      <w:tr w14:paraId="4198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  <w:br/>
              <w:t>（测验1）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完全掌握计算机网络概念与分类，正确理解分组交换原理，准确计算各类网络性能指标，掌握OSI和TCP/IP模型各层功能，准确运用香农公式进行信道容量分析。</w:t>
            </w:r>
          </w:p>
        </w:tc>
      </w:tr>
      <w:tr w14:paraId="612D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18B6C261">
            <w:pPr>
              <w:spacing w:line="300" w:lineRule="auto"/>
              <w:contextualSpacing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较好掌握网络基本概念，正确理解分组交换，能较准确计算网络性能指标，能正确描述OSI和TCP/IP模型，基本掌握香农公式应用。</w:t>
            </w:r>
          </w:p>
        </w:tc>
      </w:tr>
      <w:tr w14:paraId="401B0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48963AA4">
            <w:pPr>
              <w:spacing w:line="300" w:lineRule="auto"/>
              <w:contextualSpacing/>
              <w:jc w:val="left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基本理解网络概念和分组交换原理，能进行简单的性能指标计算，能描述OSI和TCP/IP模型的主要层次，对香农公式应用存在部分困难。</w:t>
            </w:r>
          </w:p>
        </w:tc>
      </w:tr>
      <w:tr w14:paraId="3AC99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4B43197A">
            <w:pPr>
              <w:spacing w:line="300" w:lineRule="auto"/>
              <w:contextualSpacing/>
              <w:jc w:val="left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对网络基本概念理解不够完整，对分组交换与电路交换的区分模糊，性能指标计算存在较多错误，对体系结构的分层理解不清晰。</w:t>
            </w:r>
          </w:p>
        </w:tc>
      </w:tr>
      <w:tr w14:paraId="2BCD9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2006C7E3">
            <w:pPr>
              <w:spacing w:line="300" w:lineRule="auto"/>
              <w:contextualSpacing/>
              <w:jc w:val="left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未能掌握计算机网络基本概念，不理解分组交换原理，不能计算网络性能指标，不能描述网络体系结构。</w:t>
            </w:r>
          </w:p>
        </w:tc>
      </w:tr>
      <w:tr w14:paraId="589A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  <w:br/>
              <w:t>（测验2、3）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完全掌握CRC和CSMA/CD的工作原理与计算，正确完成任意复杂度的子网划分和CIDR聚合，准确掌握RIP和OSPF路由算法及路由表生成过程，正确分析TCP连接管理和拥塞控制全过程。</w:t>
            </w:r>
          </w:p>
        </w:tc>
      </w:tr>
      <w:tr w14:paraId="2BD79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37D3BD3B">
            <w:pPr>
              <w:spacing w:line="30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较好掌握数据链路层和网络层核心协议原理，能较准确完成子网划分和路由表分析，基本掌握TCP拥塞控制算法，存在少量计算错误。</w:t>
            </w:r>
          </w:p>
        </w:tc>
      </w:tr>
      <w:tr w14:paraId="61A35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6C4BD47C">
            <w:pPr>
              <w:spacing w:line="30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基本理解数据链路层和网络层主要协议功能，能进行基本子网划分，能描述路由算法原理，能定性描述TCP拥塞控制过程。</w:t>
            </w:r>
          </w:p>
        </w:tc>
      </w:tr>
      <w:tr w14:paraId="68676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5F01A3F8">
            <w:pPr>
              <w:spacing w:line="30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对数据链路层和网络层协议理解不完整，子网划分存在较多错误，对路由算法理解模糊，TCP拥塞控制分析能力较弱。</w:t>
            </w:r>
          </w:p>
        </w:tc>
      </w:tr>
      <w:tr w14:paraId="50B50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2DADD0A5">
            <w:pPr>
              <w:spacing w:line="30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未能掌握数据链路层和网络层核心协议，不能完成子网划分，不能理解路由算法，不能分析TCP拥塞控制。</w:t>
            </w:r>
          </w:p>
        </w:tc>
      </w:tr>
      <w:tr w14:paraId="764CC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  <w:br/>
              <w:t>（测验2、3）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完全掌握CRC和CSMA/CD的工作原理与计算，正确完成任意复杂度的子网划分和CIDR聚合，准确掌握RIP和OSPF路由算法及路由表生成过程，正确分析TCP连接管理和拥塞控制全过程。</w:t>
            </w:r>
          </w:p>
        </w:tc>
      </w:tr>
      <w:tr w14:paraId="77E6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0E9AAA34">
            <w:pPr>
              <w:spacing w:line="30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较好掌握数据链路层和网络层核心协议原理，能较准确完成子网划分和路由表分析，基本掌握TCP拥塞控制算法，存在少量计算错误。</w:t>
            </w:r>
          </w:p>
        </w:tc>
      </w:tr>
      <w:tr w14:paraId="47C0B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5990ACDF">
            <w:pPr>
              <w:spacing w:line="30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基本理解数据链路层和网络层主要协议功能，能进行基本子网划分，能描述路由算法原理，能定性描述TCP拥塞控制过程。</w:t>
            </w:r>
          </w:p>
        </w:tc>
      </w:tr>
      <w:tr w14:paraId="6C3E3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6D0A7AA8">
            <w:pPr>
              <w:spacing w:line="30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对数据链路层和网络层协议理解不完整，子网划分存在较多错误，对路由算法理解模糊，TCP拥塞控制分析能力较弱。</w:t>
            </w:r>
          </w:p>
        </w:tc>
      </w:tr>
      <w:tr w14:paraId="3C603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40" w:type="pct"/>
            <w:vMerge w:val="continue"/>
            <w:vAlign w:val="center"/>
          </w:tcPr>
          <w:p w14:paraId="74CA2B76">
            <w:pPr>
              <w:spacing w:line="300" w:lineRule="auto"/>
              <w:jc w:val="left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未能掌握数据链路层和网络层核心协议，不能完成子网划分，不能理解路由算法，不能分析TCP拥塞控制。</w:t>
            </w:r>
          </w:p>
        </w:tc>
      </w:tr>
    </w:tbl>
    <w:p w14:paraId="13263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实验共3次，每次计100分，3次实验取平均值即为实验成绩，占课程考核成绩的15%。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sz w:val="24"/>
          <w:szCs w:val="24"/>
        </w:rPr>
        <w:t>内容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及其</w:t>
      </w:r>
      <w:r>
        <w:rPr>
          <w:rFonts w:hint="default" w:ascii="Times New Roman" w:hAnsi="Times New Roman" w:eastAsia="宋体" w:cs="Times New Roman"/>
          <w:sz w:val="24"/>
          <w:szCs w:val="24"/>
        </w:rPr>
        <w:t>对各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课程</w:t>
      </w:r>
      <w:r>
        <w:rPr>
          <w:rFonts w:hint="default" w:ascii="Times New Roman" w:hAnsi="Times New Roman" w:eastAsia="宋体" w:cs="Times New Roman"/>
          <w:sz w:val="24"/>
          <w:szCs w:val="24"/>
        </w:rPr>
        <w:t>目标的支撑情况，如表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sz w:val="24"/>
          <w:szCs w:val="24"/>
        </w:rPr>
        <w:t>所示。</w:t>
      </w:r>
    </w:p>
    <w:p w14:paraId="2689F46E">
      <w:pPr>
        <w:spacing w:line="300" w:lineRule="auto"/>
        <w:ind w:firstLine="422" w:firstLineChars="200"/>
        <w:jc w:val="center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cs="Times New Roman"/>
          <w:b/>
          <w:szCs w:val="21"/>
        </w:rPr>
        <w:t>表</w:t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  <w:t>7实验与</w:t>
      </w:r>
      <w:r>
        <w:rPr>
          <w:rFonts w:hint="default" w:ascii="Times New Roman" w:hAnsi="Times New Roman" w:cs="Times New Roman"/>
          <w:b/>
          <w:szCs w:val="21"/>
        </w:rPr>
        <w:t>课程目标对应关系</w:t>
      </w:r>
    </w:p>
    <w:tbl>
      <w:tblPr>
        <w:tblStyle w:val="8"/>
        <w:tblW w:w="82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1443"/>
        <w:gridCol w:w="4275"/>
        <w:gridCol w:w="1258"/>
      </w:tblGrid>
      <w:tr w14:paraId="2264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4" w:type="dxa"/>
            <w:vAlign w:val="center"/>
          </w:tcPr>
          <w:p w14:paraId="525D7A33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教学目标</w:t>
            </w:r>
          </w:p>
        </w:tc>
        <w:tc>
          <w:tcPr>
            <w:tcW w:w="1443" w:type="dxa"/>
            <w:vAlign w:val="center"/>
          </w:tcPr>
          <w:p w14:paraId="4C6185F3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教学内容</w:t>
            </w:r>
          </w:p>
        </w:tc>
        <w:tc>
          <w:tcPr>
            <w:tcW w:w="4275" w:type="dxa"/>
            <w:vAlign w:val="center"/>
          </w:tcPr>
          <w:p w14:paraId="0180899F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实验内容</w:t>
            </w:r>
          </w:p>
        </w:tc>
        <w:tc>
          <w:tcPr>
            <w:tcW w:w="1258" w:type="dxa"/>
            <w:vAlign w:val="top"/>
          </w:tcPr>
          <w:p w14:paraId="6FB5A11B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所占比例</w:t>
            </w:r>
          </w:p>
        </w:tc>
      </w:tr>
      <w:tr w14:paraId="094A7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4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课程目标2/3</w:t>
            </w:r>
          </w:p>
        </w:tc>
        <w:tc>
          <w:tcPr>
            <w:tcW w:w="1443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实验1</w:t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实验1：网络协议分析与以太网帧格式观测（2学时）</w:t>
            </w:r>
          </w:p>
        </w:tc>
        <w:tc>
          <w:tcPr>
            <w:tcW w:w="1258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33.3</w:t>
            </w:r>
          </w:p>
        </w:tc>
      </w:tr>
      <w:tr w14:paraId="061C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64" w:type="dxa"/>
            <w:vMerge w:val="continue"/>
          </w:tcPr>
          <w:p w14:paraId="2967D32A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实验2</w:t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实验2：IP地址规划与路由协议配置仿真（3学时）</w:t>
            </w:r>
          </w:p>
        </w:tc>
        <w:tc>
          <w:tcPr>
            <w:tcW w:w="1258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33.3</w:t>
            </w:r>
          </w:p>
        </w:tc>
      </w:tr>
      <w:tr w14:paraId="3B65E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4" w:type="dxa"/>
            <w:vMerge w:val="continue"/>
          </w:tcPr>
          <w:p w14:paraId="143F7C2B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实验3</w:t>
            </w:r>
          </w:p>
        </w:tc>
        <w:tc>
          <w:tcPr>
            <w:tcW w:w="4275" w:type="dxa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实验3：TCP协议分析与拥塞控制观测（3学时）</w:t>
            </w:r>
          </w:p>
        </w:tc>
        <w:tc>
          <w:tcPr>
            <w:tcW w:w="1258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33.4</w:t>
            </w:r>
          </w:p>
        </w:tc>
      </w:tr>
    </w:tbl>
    <w:p w14:paraId="056F7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highlight w:val="none"/>
          <w:lang w:val="en-US" w:eastAsia="zh-CN"/>
        </w:rPr>
        <w:t>实验支撑的课程目标及评分标准，如表8所示。实验报告应独立完成，只有完成实际操作后的实验报告才有效，若只有实验报告但无实际操作，则实验报告成绩为0分。</w:t>
      </w:r>
    </w:p>
    <w:p w14:paraId="61C21EAF">
      <w:pPr>
        <w:spacing w:line="300" w:lineRule="auto"/>
        <w:ind w:firstLine="422" w:firstLineChars="200"/>
        <w:jc w:val="center"/>
        <w:rPr>
          <w:rFonts w:hint="default" w:ascii="Times New Roman" w:hAnsi="Times New Roman" w:eastAsia="宋体" w:cs="Times New Roman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cs="Times New Roman"/>
          <w:b/>
          <w:szCs w:val="21"/>
          <w:highlight w:val="none"/>
        </w:rPr>
        <w:t>表</w:t>
      </w:r>
      <w:r>
        <w:rPr>
          <w:rFonts w:hint="default" w:ascii="Times New Roman" w:hAnsi="Times New Roman" w:cs="Times New Roman"/>
          <w:b/>
          <w:szCs w:val="21"/>
          <w:highlight w:val="none"/>
          <w:lang w:val="en-US" w:eastAsia="zh-CN"/>
        </w:rPr>
        <w:t>8实验评分标准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820"/>
        <w:gridCol w:w="7040"/>
      </w:tblGrid>
      <w:tr w14:paraId="49671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587" w:type="dxa"/>
            <w:vAlign w:val="center"/>
          </w:tcPr>
          <w:p w14:paraId="647D6D5B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课程目标</w:t>
            </w:r>
          </w:p>
        </w:tc>
        <w:tc>
          <w:tcPr>
            <w:tcW w:w="1247" w:type="dxa"/>
            <w:vAlign w:val="center"/>
          </w:tcPr>
          <w:p w14:paraId="243EAF88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分数等级</w:t>
            </w:r>
          </w:p>
        </w:tc>
        <w:tc>
          <w:tcPr>
            <w:tcW w:w="5669" w:type="dxa"/>
            <w:vAlign w:val="center"/>
          </w:tcPr>
          <w:p w14:paraId="48DD9496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评分标准</w:t>
            </w:r>
          </w:p>
        </w:tc>
      </w:tr>
      <w:tr w14:paraId="4976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课程目标2/3</w:t>
              <w:br/>
              <w:t>（实验1、2、3）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能够独立完成实验操作，熟练使用Wireshark/Packet Tracer等工具，准确捕获和分析协议数据包，正确完成网络拓扑配置与路由协议设置，实验报告内容完整、数据详实、分析深入。</w:t>
            </w:r>
          </w:p>
        </w:tc>
      </w:tr>
      <w:tr w14:paraId="638FE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661" w:type="dxa"/>
            <w:vMerge w:val="continue"/>
            <w:vAlign w:val="center"/>
          </w:tcPr>
          <w:p w14:paraId="3D9CFD48">
            <w:pPr>
              <w:spacing w:line="300" w:lineRule="auto"/>
              <w:jc w:val="lef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能够较独立地完成实验操作，较熟练地使用工具，较准确地完成协议分析和网络配置，实验报告内容较完整、分析较合理。</w:t>
            </w:r>
          </w:p>
        </w:tc>
      </w:tr>
      <w:tr w14:paraId="6CBFA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661" w:type="dxa"/>
            <w:vMerge w:val="continue"/>
            <w:vAlign w:val="center"/>
          </w:tcPr>
          <w:p w14:paraId="5EE0F5DF">
            <w:pPr>
              <w:spacing w:line="300" w:lineRule="auto"/>
              <w:jc w:val="lef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能够在教师指导下完成实验操作，基本掌握工具使用方法，能完成基本的协议分析和网络配置，实验报告内容基本完整但分析深度不足。</w:t>
            </w:r>
          </w:p>
        </w:tc>
      </w:tr>
      <w:tr w14:paraId="0E6EC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661" w:type="dxa"/>
            <w:vMerge w:val="continue"/>
            <w:vAlign w:val="center"/>
          </w:tcPr>
          <w:p w14:paraId="60B386BA">
            <w:pPr>
              <w:spacing w:line="300" w:lineRule="auto"/>
              <w:jc w:val="lef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仅能在教师帮助下完成部分实验操作，工具使用不够熟练，协议分析和网络配置存在较多问题，实验报告内容不够完整。</w:t>
            </w:r>
          </w:p>
        </w:tc>
      </w:tr>
      <w:tr w14:paraId="7016E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661" w:type="dxa"/>
            <w:vMerge w:val="continue"/>
            <w:vAlign w:val="center"/>
          </w:tcPr>
          <w:p w14:paraId="4BD5C28C">
            <w:pPr>
              <w:spacing w:line="300" w:lineRule="auto"/>
              <w:jc w:val="lef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无法独立完成实验操作，不能正确使用工具，不能完成协议分析和网络配置，未提交实验报告或报告质量极差。</w:t>
            </w:r>
          </w:p>
        </w:tc>
      </w:tr>
    </w:tbl>
    <w:p w14:paraId="1E2C6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300" w:lineRule="auto"/>
        <w:ind w:firstLine="482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bCs/>
          <w:sz w:val="24"/>
          <w:szCs w:val="24"/>
        </w:rPr>
        <w:t>期末考试采用闭卷笔试形式，满分100分，占总成绩50%。试题涵盖全部教学内容，题型包括选择题（约20%）、填空题（约10%）、简答题（约30%）、计算与分析题（约40%），注重考查学生对网络协议原理的理解和运用能力，以及对网络问题的分析与解决能力。</w:t>
      </w:r>
    </w:p>
    <w:p w14:paraId="25FC8B15">
      <w:pPr>
        <w:spacing w:line="300" w:lineRule="auto"/>
        <w:ind w:firstLine="480" w:firstLineChars="200"/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</w:p>
    <w:p w14:paraId="6DA50316">
      <w:pPr>
        <w:spacing w:line="300" w:lineRule="auto"/>
        <w:ind w:firstLine="422" w:firstLineChars="200"/>
        <w:jc w:val="center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宋体" w:hAnsi="宋体" w:cs="Times New Roman" w:eastAsia="宋体"/>
          <w:b w:val="0"/>
          <w:sz w:val="24"/>
          <w:szCs w:val="21"/>
        </w:rPr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</w:r>
      <w:r>
        <w:rPr>
          <w:rFonts w:hint="default" w:ascii="Times New Roman" w:hAnsi="Times New Roman" w:cs="Times New Roman"/>
          <w:b/>
          <w:szCs w:val="21"/>
        </w:rPr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</w:r>
      <w:r>
        <w:rPr>
          <w:rFonts w:hint="default" w:ascii="Times New Roman" w:hAnsi="Times New Roman" w:cs="Times New Roman"/>
          <w:b/>
          <w:szCs w:val="21"/>
        </w:rPr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319"/>
        <w:gridCol w:w="3576"/>
        <w:gridCol w:w="1060"/>
      </w:tblGrid>
      <w:tr w14:paraId="04E66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31C1598E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课程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目标</w:t>
            </w:r>
          </w:p>
        </w:tc>
        <w:tc>
          <w:tcPr>
            <w:tcW w:w="1319" w:type="dxa"/>
            <w:vAlign w:val="center"/>
          </w:tcPr>
          <w:p w14:paraId="6EA8D4D2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教学内容</w:t>
            </w:r>
          </w:p>
        </w:tc>
        <w:tc>
          <w:tcPr>
            <w:tcW w:w="3576" w:type="dxa"/>
            <w:vAlign w:val="center"/>
          </w:tcPr>
          <w:p w14:paraId="1E1C7CC3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期末考试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内容</w:t>
            </w:r>
          </w:p>
        </w:tc>
        <w:tc>
          <w:tcPr>
            <w:tcW w:w="1060" w:type="dxa"/>
          </w:tcPr>
          <w:p w14:paraId="14FFFCCA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</w:rPr>
              <w:t>所占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比例</w:t>
            </w:r>
          </w:p>
        </w:tc>
      </w:tr>
      <w:tr w14:paraId="2968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  <w:tc>
          <w:tcPr>
            <w:tcW w:w="1319" w:type="dxa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第1-2章</w:t>
            </w:r>
          </w:p>
        </w:tc>
        <w:tc>
          <w:tcPr>
            <w:tcW w:w="3576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计算机网络概述、物理层基础知识</w:t>
            </w:r>
          </w:p>
        </w:tc>
        <w:tc>
          <w:tcPr>
            <w:tcW w:w="106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  <w:tr w14:paraId="42B78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0" w:type="auto"/>
            <w:vMerge w:val="continue"/>
            <w:vAlign w:val="center"/>
          </w:tcPr>
          <w:p w14:paraId="479AA3A7">
            <w:pPr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1319" w:type="dxa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第3章</w:t>
            </w:r>
          </w:p>
        </w:tc>
        <w:tc>
          <w:tcPr>
            <w:tcW w:w="3576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数据链路层协议与机制</w:t>
            </w:r>
          </w:p>
        </w:tc>
        <w:tc>
          <w:tcPr>
            <w:tcW w:w="106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16</w:t>
            </w:r>
          </w:p>
        </w:tc>
      </w:tr>
      <w:tr w14:paraId="23D23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0" w:type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w="1319" w:type="dxa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第4章</w:t>
            </w:r>
          </w:p>
        </w:tc>
        <w:tc>
          <w:tcPr>
            <w:tcW w:w="3576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网络层IP规划与路由协议</w:t>
            </w:r>
          </w:p>
        </w:tc>
        <w:tc>
          <w:tcPr>
            <w:tcW w:w="106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44</w:t>
            </w:r>
          </w:p>
        </w:tc>
      </w:tr>
      <w:tr w14:paraId="614EC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w="1319" w:type="dxa"/>
            <w:vAlign w:val="top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第5-6章</w:t>
            </w:r>
          </w:p>
        </w:tc>
        <w:tc>
          <w:tcPr>
            <w:tcW w:w="3576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运输层与应用层协议</w:t>
            </w:r>
          </w:p>
        </w:tc>
        <w:tc>
          <w:tcPr>
            <w:tcW w:w="106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20</w:t>
            </w:r>
          </w:p>
        </w:tc>
      </w:tr>
    </w:tbl>
    <w:p w14:paraId="51231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ind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宋体" w:hAnsi="宋体" w:eastAsia="宋体" w:cs="Times New Roman"/>
          <w:b w:val="0"/>
          <w:sz w:val="24"/>
          <w:szCs w:val="24"/>
          <w:lang w:val="en-US" w:eastAsia="zh-CN"/>
        </w:rPr>
      </w:r>
      <w:r>
        <w:rPr>
          <w:rFonts w:hint="eastAsia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</w:p>
    <w:p w14:paraId="0CF98277">
      <w:pPr>
        <w:spacing w:line="300" w:lineRule="auto"/>
        <w:ind w:firstLine="422" w:firstLineChars="200"/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宋体" w:hAnsi="宋体" w:cs="Times New Roman" w:eastAsia="宋体"/>
          <w:b w:val="0"/>
          <w:sz w:val="24"/>
          <w:szCs w:val="21"/>
        </w:rPr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7"/>
        <w:gridCol w:w="1085"/>
        <w:gridCol w:w="6219"/>
      </w:tblGrid>
      <w:tr w14:paraId="7F477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87" w:type="dxa"/>
            <w:vAlign w:val="center"/>
          </w:tcPr>
          <w:p w14:paraId="7AEF9B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contextualSpacing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课程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目标</w:t>
            </w:r>
          </w:p>
        </w:tc>
        <w:tc>
          <w:tcPr>
            <w:tcW w:w="1247" w:type="dxa"/>
            <w:vAlign w:val="center"/>
          </w:tcPr>
          <w:p w14:paraId="2620D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分数等级</w:t>
            </w:r>
          </w:p>
        </w:tc>
        <w:tc>
          <w:tcPr>
            <w:tcW w:w="5669" w:type="dxa"/>
            <w:vAlign w:val="center"/>
          </w:tcPr>
          <w:p w14:paraId="3A72D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评分标准</w:t>
            </w:r>
          </w:p>
        </w:tc>
      </w:tr>
      <w:tr w14:paraId="6120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完全掌握计算机网络体系结构、物理层信道容量计算、数据链路层协议机制（CSMA/CD、CRC），正确回答所有基础概念题和分析题，答案准确完整。</w:t>
            </w:r>
          </w:p>
        </w:tc>
      </w:tr>
      <w:tr w14:paraId="702A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73F96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较好掌握体系结构和下层协议原理，能较准确回答基础概念题和分析题，存在少量概念表述不精确。</w:t>
            </w:r>
          </w:p>
        </w:tc>
      </w:tr>
      <w:tr w14:paraId="4786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5EAAE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基本掌握体系结构和下层协议主要概念，能回答大部分基础题，但对部分协议细节和分析题理解有偏差。</w:t>
            </w:r>
          </w:p>
        </w:tc>
      </w:tr>
      <w:tr w14:paraId="675C7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543E6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对体系结构和下层协议理解不够完整，仅能回答简单概念题，分析题和计算题困难较大。</w:t>
            </w:r>
          </w:p>
        </w:tc>
      </w:tr>
      <w:tr w14:paraId="5DCE6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29824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未能掌握体系结构和下层协议基础知识，不能正确回答基础概念题。</w:t>
            </w:r>
          </w:p>
        </w:tc>
      </w:tr>
      <w:tr w14:paraId="3812B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完全掌握IP地址规划、子网划分、CIDR聚合、RIP/OSPF路由算法，正确完成所有计算题和分析题，TCP拥塞控制和可靠传输分析准确无误。</w:t>
            </w:r>
          </w:p>
        </w:tc>
      </w:tr>
      <w:tr w14:paraId="0C8F5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3109F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contextualSpacing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较好掌握网络层和运输层核心内容，能较准确完成计算题和分析题，存在少量计算偏差或分析不够深入。</w:t>
            </w:r>
          </w:p>
        </w:tc>
      </w:tr>
      <w:tr w14:paraId="29C53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25276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contextualSpacing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基本掌握IP规划和路由算法，能完成基本计算题，但对复杂子网划分和拥塞控制定量分析有一定困难。</w:t>
            </w:r>
          </w:p>
        </w:tc>
      </w:tr>
      <w:tr w14:paraId="6B656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5A244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contextualSpacing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对IP规划和路由算法理解不完整，仅能完成简单计算题，复杂分析题和综合题困难较大。</w:t>
            </w:r>
          </w:p>
        </w:tc>
      </w:tr>
      <w:tr w14:paraId="7480E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0CE9E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contextualSpacing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未能掌握IP规划、路由算法和运输层核心内容，不能完成计算题和分析题。</w:t>
            </w:r>
          </w:p>
        </w:tc>
      </w:tr>
      <w:tr w14:paraId="4BE9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8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优 90-100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完全掌握IP地址规划、子网划分、CIDR聚合、RIP/OSPF路由算法，正确完成所有计算题和分析题，TCP拥塞控制和可靠传输分析准确无误。</w:t>
            </w:r>
          </w:p>
        </w:tc>
      </w:tr>
      <w:tr w14:paraId="64D6B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03555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良 80-90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较好掌握网络层和运输层核心内容，能较准确完成计算题和分析题，存在少量计算偏差或分析不够深入。</w:t>
            </w:r>
          </w:p>
        </w:tc>
      </w:tr>
      <w:tr w14:paraId="0696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3D691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中 70-80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基本掌握IP规划和路由算法，能完成基本计算题，但对复杂子网划分和拥塞控制定量分析有一定困难。</w:t>
            </w:r>
          </w:p>
        </w:tc>
      </w:tr>
      <w:tr w14:paraId="3ECF6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00553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及格 60-70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对IP规划和路由算法理解不完整，仅能完成简单计算题，复杂分析题和综合题困难较大。</w:t>
            </w:r>
          </w:p>
        </w:tc>
      </w:tr>
      <w:tr w14:paraId="1930F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99" w:type="pct"/>
            <w:vMerge w:val="continue"/>
            <w:vAlign w:val="center"/>
          </w:tcPr>
          <w:p w14:paraId="0DC949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Times New Roman" w:hAnsi="Times New Roman" w:cs="Times New Roman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不及格 0-60</w:t>
            </w:r>
          </w:p>
        </w:tc>
        <w:tc>
          <w:tcPr>
            <w:tcW w:w="5669" w:type="dxa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未能掌握IP规划、路由算法和运输层核心内容，不能完成计算题和分析题。</w:t>
            </w:r>
          </w:p>
        </w:tc>
      </w:tr>
    </w:tbl>
    <w:p w14:paraId="66D9C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宋体" w:hAnsi="宋体" w:eastAsia="宋体" w:cs="Times New Roman"/>
          <w:b w:val="0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r>
      <w:r>
        <w:rPr>
          <w:rFonts w:hint="default" w:ascii="Times New Roman" w:hAnsi="Times New Roman" w:eastAsia="宋体" w:cs="Times New Roman"/>
          <w:sz w:val="24"/>
          <w:szCs w:val="24"/>
        </w:rPr>
      </w:r>
    </w:p>
    <w:p w14:paraId="2B135BF8">
      <w:pPr>
        <w:spacing w:line="300" w:lineRule="auto"/>
        <w:ind w:left="0" w:leftChars="0" w:firstLine="0" w:firstLineChars="0"/>
        <w:jc w:val="center"/>
        <w:rPr>
          <w:rFonts w:hint="default" w:ascii="Times New Roman" w:hAnsi="Times New Roman" w:cs="Times New Roman"/>
          <w:b/>
          <w:szCs w:val="21"/>
        </w:rPr>
      </w:pPr>
      <w:r>
        <w:rPr>
          <w:rFonts w:hint="default" w:ascii="宋体" w:hAnsi="宋体" w:cs="Times New Roman" w:eastAsia="宋体"/>
          <w:b w:val="0"/>
          <w:sz w:val="24"/>
          <w:szCs w:val="21"/>
        </w:rPr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</w:r>
      <w:r>
        <w:rPr>
          <w:rFonts w:hint="default" w:ascii="Times New Roman" w:hAnsi="Times New Roman" w:cs="Times New Roman"/>
          <w:b/>
          <w:szCs w:val="21"/>
        </w:rPr>
      </w:r>
      <w:r>
        <w:rPr>
          <w:rFonts w:hint="default" w:ascii="Times New Roman" w:hAnsi="Times New Roman" w:cs="Times New Roman"/>
          <w:b/>
          <w:szCs w:val="21"/>
          <w:lang w:val="en-US" w:eastAsia="zh-CN"/>
        </w:rPr>
      </w:r>
      <w:r>
        <w:rPr>
          <w:rFonts w:hint="default" w:ascii="Times New Roman" w:hAnsi="Times New Roman" w:cs="Times New Roman"/>
          <w:b/>
          <w:szCs w:val="21"/>
        </w:rPr>
      </w:r>
    </w:p>
    <w:tbl>
      <w:tblPr>
        <w:tblStyle w:val="8"/>
        <w:tblW w:w="85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1287"/>
        <w:gridCol w:w="1135"/>
        <w:gridCol w:w="1134"/>
        <w:gridCol w:w="949"/>
        <w:gridCol w:w="1157"/>
        <w:gridCol w:w="1090"/>
      </w:tblGrid>
      <w:tr w14:paraId="0C05C4F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毕业要求指标点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课程目标</w:t>
            </w:r>
          </w:p>
        </w:tc>
        <w:tc>
          <w:tcPr>
            <w:tcW w:w="1020" w:type="dxa"/>
            <w:gridSpan w:val="4"/>
            <w:vAlign w:val="center"/>
          </w:tcPr>
          <w:p w14:paraId="3047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考核与评价方式及成绩评价比例(%)</w:t>
            </w:r>
          </w:p>
        </w:tc>
        <w:tc>
          <w:tcPr>
            <w:tcW w:w="1020" w:type="dxa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总比例</w:t>
            </w:r>
          </w:p>
        </w:tc>
      </w:tr>
      <w:tr w14:paraId="58E1AF2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8" w:type="dxa"/>
            <w:vMerge w:val="continue"/>
            <w:vAlign w:val="center"/>
          </w:tcPr>
          <w:p w14:paraId="11C0C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000000" w:themeColor="text1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7" w:type="dxa"/>
            <w:vMerge w:val="continue"/>
            <w:vAlign w:val="center"/>
          </w:tcPr>
          <w:p w14:paraId="36B54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000000" w:themeColor="text1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平时作业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课堂测验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实验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期末考试</w:t>
            </w:r>
          </w:p>
        </w:tc>
        <w:tc>
          <w:tcPr>
            <w:tcW w:w="1090" w:type="dxa"/>
            <w:vMerge w:val="continue"/>
            <w:vAlign w:val="center"/>
          </w:tcPr>
          <w:p w14:paraId="3B814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color w:val="000000" w:themeColor="text1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E925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2.1（H）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课程目标1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6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18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32</w:t>
            </w:r>
          </w:p>
        </w:tc>
      </w:tr>
      <w:tr w14:paraId="7D0E2D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3.1（M）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课程目标2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12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9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7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22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50</w:t>
            </w:r>
          </w:p>
        </w:tc>
      </w:tr>
      <w:tr w14:paraId="37703A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5.1（H）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课程目标3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8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10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4"/>
              </w:rPr>
              <w:t>18</w:t>
            </w:r>
          </w:p>
        </w:tc>
      </w:tr>
      <w:tr w14:paraId="04F069E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7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合计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合计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20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15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15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50</w:t>
            </w:r>
          </w:p>
        </w:tc>
        <w:tc>
          <w:tcPr>
            <w:tcW w:w="1020" w:type="dxa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4"/>
              </w:rPr>
              <w:t>100</w:t>
            </w:r>
          </w:p>
        </w:tc>
      </w:tr>
      <w:tr w14:paraId="33A06D0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gridSpan w:val="2"/>
            <w:vAlign w:val="center"/>
          </w:tcPr>
          <w:p w14:paraId="1EF74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:lang w:eastAsia="en-US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  <w:tc>
          <w:tcPr>
            <w:tcW w:w="1020" w:type="dxa"/>
            <w:vAlign w:val="center"/>
          </w:tcPr>
          <w:p w14:paraId="1FAD6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1020" w:type="dxa"/>
            <w:vAlign w:val="center"/>
          </w:tcPr>
          <w:p w14:paraId="1E035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020" w:type="dxa"/>
            <w:vAlign w:val="center"/>
          </w:tcPr>
          <w:p w14:paraId="36B4E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1020" w:type="dxa"/>
            <w:vAlign w:val="center"/>
          </w:tcPr>
          <w:p w14:paraId="69E812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50</w:t>
            </w:r>
          </w:p>
        </w:tc>
        <w:tc>
          <w:tcPr>
            <w:tcW w:w="1020" w:type="dxa"/>
            <w:vAlign w:val="center"/>
          </w:tcPr>
          <w:p w14:paraId="58064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64" w:lineRule="auto"/>
              <w:contextualSpacing/>
              <w:jc w:val="center"/>
              <w:textAlignment w:val="auto"/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 w:eastAsiaTheme="minor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</w:tr>
    </w:tbl>
    <w:p w14:paraId="18E21222">
      <w:pPr>
        <w:pStyle w:val="13"/>
        <w:rPr>
          <w:rFonts w:hint="eastAsia"/>
          <w:lang w:val="en-US" w:eastAsia="zh-CN"/>
        </w:rPr>
      </w:pPr>
      <w:r>
        <w:rPr>
          <w:rFonts w:ascii="宋体" w:hAnsi="宋体" w:eastAsia="宋体"/>
          <w:b w:val="0"/>
          <w:sz w:val="24"/>
        </w:rPr>
      </w:r>
    </w:p>
    <w:p w14:paraId="6E8102DE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lang w:val="en-US" w:eastAsia="zh-CN"/>
        </w:rPr>
        <w:t>五、有关说明</w:t>
      </w:r>
    </w:p>
    <w:p w14:paraId="6CC19AB2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 w:val="0"/>
          <w:bCs/>
          <w:sz w:val="24"/>
          <w:lang w:val="en-US" w:eastAsia="zh-CN"/>
        </w:rPr>
        <w:t>1. 先修衔接：本课程以《C语言程序设计基础》中的基本编程能力和《数据结构与算法》中的逻辑思维训练为必备基础，以《计算机组成原理》中的计算机硬件体系结构与数据表示知识为前置支撑。学生须具备C语言编程调试能力和计算机硬件基础知识方可顺利修读本课程。</w:t>
        <w:br/>
        <w:br/>
        <w:t>2. 后续承接：本课程为后续《物联网技术》《云计算与大数据处理》《网络与信息安全》《分布式系统》《软件定义网络》《智能嵌入式系统设计》等课程提供计算机网络体系结构、TCP/IP协议族、网络通信机制等核心知识支撑。</w:t>
        <w:br/>
        <w:br/>
        <w:t>3. 开课学期建议：本课程在第5学期开设。此时学生已在前4学期完成程序设计、数据结构、计算机组成原理等前置课程的学习，具备较好的编程基础和计算机系统认知能力。</w:t>
        <w:br/>
        <w:br/>
        <w:t>4. 修读建议：本课程理论性强、概念密集，学生须在课堂学习之外每周投入不少于4小时的课外学习时间（含教材精读、习题练习和实验准备）。建议学生充分利用Wireshark等工具对日常网络通信进行实际观察以加深理解，利用Packet Tracer进行自主组网实验以提升实践能力。</w:t>
        <w:br/>
        <w:br/>
        <w:t>5. 教学调整机制：如遇教学内容更新需要调整章节学时分配，由任课教师在开课前提出调整方案，经课程组讨论通过后报系教学主任审批。</w:t>
        <w:br/>
        <w:br/>
        <w:t>6. 免修条件：获得HCIA及以上或CCNA及以上网络相关认证证书，或在省级及以上网络技术竞赛中获得二等奖及以上奖励的学生，可申请免修。</w:t>
        <w:br/>
        <w:br/>
        <w:t>7. 学术诚信要求：实验报告和作业必须独立完成，如有抄袭行为，当次作业或实验成绩记为0分，并按学校相关学术诚信管理规定处理。</w:t>
      </w:r>
    </w:p>
    <w:p w14:paraId="630EC13F">
      <w:pPr>
        <w:pStyle w:val="13"/>
        <w:rPr>
          <w:rFonts w:hint="eastAsia"/>
          <w:lang w:val="en-US" w:eastAsia="zh-CN"/>
        </w:rPr>
      </w:pPr>
      <w:r>
        <w:rPr>
          <w:rFonts w:ascii="宋体" w:hAnsi="宋体" w:eastAsia="宋体"/>
          <w:b w:val="0"/>
          <w:sz w:val="24"/>
        </w:rPr>
      </w:r>
    </w:p>
    <w:p w14:paraId="718F4E2A">
      <w:pPr>
        <w:pStyle w:val="1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/>
        <w:ind w:leftChars="0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lang w:val="en-US" w:eastAsia="zh-CN"/>
        </w:rPr>
        <w:t>六、课程建设与改革摘要</w:t>
      </w:r>
    </w:p>
    <w:p w14:paraId="4452DF8C">
      <w:pPr>
        <w:pStyle w:val="13"/>
        <w:rPr>
          <w:rFonts w:hint="default" w:eastAsia="宋体"/>
          <w:color w:val="FF0000"/>
          <w:lang w:val="en-US" w:eastAsia="zh-CN"/>
        </w:rPr>
      </w:pPr>
      <w:r>
        <w:rPr>
          <w:rFonts w:hint="eastAsia" w:ascii="宋体" w:hAnsi="宋体" w:eastAsia="宋体"/>
          <w:b w:val="0"/>
          <w:color w:val="FF0000"/>
          <w:sz w:val="24"/>
          <w:lang w:eastAsia="zh-CN"/>
        </w:rPr>
        <w:t>1. 立德树人</w:t>
      </w:r>
      <w:r>
        <w:rPr>
          <w:rFonts w:hint="eastAsia"/>
          <w:color w:val="FF0000"/>
          <w:lang w:val="en-US" w:eastAsia="zh-CN"/>
        </w:rPr>
      </w:r>
    </w:p>
    <w:p w14:paraId="64CE9638">
      <w:pPr>
        <w:adjustRightInd w:val="0"/>
        <w:snapToGrid w:val="0"/>
        <w:spacing w:line="300" w:lineRule="auto"/>
        <w:ind w:firstLine="5529"/>
        <w:jc w:val="right"/>
        <w:rPr>
          <w:rFonts w:hint="eastAsia" w:ascii="宋体" w:hAnsi="宋体"/>
          <w:sz w:val="24"/>
          <w:szCs w:val="24"/>
        </w:rPr>
      </w:pPr>
      <w:bookmarkStart w:id="1" w:name="_Hlk53016726"/>
      <w:r>
        <w:rPr>
          <w:rFonts w:ascii="宋体" w:hAnsi="宋体" w:eastAsia="宋体"/>
          <w:b w:val="0"/>
          <w:sz w:val="24"/>
        </w:rPr>
        <w:t>本课程牢牢把握立德树人根本任务，深度挖掘计算机网络课程中的思政元素与科学精神，将思想政治教育有机融入专业知识教学中。在讲授计算机网络发展史时，通过介绍中国在5G通信标准制定中的核心贡献（如华为Polar码入选5G控制信道编码方案），培养学生的民族自豪感和科技报国情怀；在讲授网络安全内容时，结合“没有网络安全就没有国家安全”的重要论断，引导学生树立正确的网络安全观和科技伦理意识；在网络协议标准制定的教学内容中，强调中国从标准跟随者到标准引领者的转变历程，激发学生自主创新、攻坚克难的奋斗精神。通过实验环节的团队协作要求，培养学生的合作意识、责任担当和职业道德素养。</w:t>
      </w:r>
    </w:p>
    <w:p w14:paraId="2E385A37">
      <w:pPr>
        <w:adjustRightInd w:val="0"/>
        <w:snapToGrid w:val="0"/>
        <w:spacing w:line="300" w:lineRule="auto"/>
        <w:ind w:firstLine="5529"/>
        <w:jc w:val="right"/>
        <w:rPr>
          <w:rFonts w:hint="eastAsia" w:ascii="宋体" w:hAnsi="宋体"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2. 教学思想</w:t>
      </w:r>
    </w:p>
    <w:p w14:paraId="72211D27">
      <w:pPr>
        <w:adjustRightInd w:val="0"/>
        <w:snapToGrid w:val="0"/>
        <w:spacing w:line="300" w:lineRule="auto"/>
        <w:ind w:firstLine="5529"/>
        <w:jc w:val="righ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本课程坚持以学生为中心、以产出为导向、以质量为核心的教学理念，系统设计课程目标、教学内容与评价方式的反向映射关系。以毕业要求指标点（问题分析H、设计/开发方案M、使用现代工具H）为顶层导向，细化课程目标与教学内容的对应矩阵，确保每项教学活动都有明确的产出指向。学生中心理念体现于：根据学生前置知识基础和个体差异进行分层教学，基础薄弱学生配备额外辅导和补充材料，能力突出学生提供进阶阅读（如RFC文档研读）和挑战任务。面对AI时代人才培养新需求，本课程在原有知识传授基础上，强化AI赋能网络的前沿视角，引导学生理解人工智能技术对网络工程范式的影响。通过“知识传授+能力培养+价值引领”三位一体的教学设计，实现学生核心素养与关键能力的全面提升。</w:t>
      </w:r>
      <w:r>
        <w:rPr>
          <w:rFonts w:ascii="宋体" w:hAnsi="宋体"/>
          <w:sz w:val="24"/>
          <w:szCs w:val="24"/>
        </w:rPr>
      </w:r>
    </w:p>
    <w:p w14:paraId="0B758B91">
      <w:pPr>
        <w:adjustRightInd w:val="0"/>
        <w:snapToGrid w:val="0"/>
        <w:spacing w:line="300" w:lineRule="auto"/>
        <w:ind w:firstLine="5529"/>
        <w:jc w:val="right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3. 教学方法</w:t>
      </w:r>
      <w:r>
        <w:rPr>
          <w:rFonts w:ascii="宋体" w:hAnsi="宋体"/>
          <w:sz w:val="24"/>
          <w:szCs w:val="24"/>
        </w:rPr>
      </w:r>
    </w:p>
    <w:p w14:paraId="75D4186A">
      <w:pPr>
        <w:adjustRightInd w:val="0"/>
        <w:snapToGrid w:val="0"/>
        <w:spacing w:line="300" w:lineRule="auto"/>
        <w:ind w:firstLine="5529"/>
        <w:jc w:val="right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b w:val="0"/>
          <w:sz w:val="24"/>
          <w:szCs w:val="24"/>
        </w:rPr>
        <w:t>本课程构建“理论+实践+创新”三维教学模式，综合运用多种教学方法以适应不同教学内容的特点。（1）理论讲授+案例教学：用于概念原理密集的教学内容（如TCP/IP体系结构、各层协议工作原理），以实际网络通信场景为案例切入点，将抽象协议转化为可感知的通信过程。（2）问题驱动+研讨互动：用于重点难点内容（如子网划分、路由算法、拥塞控制），以典型工程问题为驱动，组织课堂分组讨论，使学生在争议和辨析中深化理解。（3）项目驱动实验教学：用于实验环节（Wireshark抓包分析、Packet Tracer网络设计、TCP行为观测），学生以完成具体实验任务为目标，在实际操作中验证理论并发现问题。（4）翻转课堂：用于应用层部分章节（如HTTP/HTTPS协议、DNS体系），学生课前通过视频与文献自主学习基础知识，课堂时间用于深度研讨和案例分析。</w:t>
      </w:r>
      <w:r>
        <w:rPr>
          <w:rFonts w:ascii="宋体" w:hAnsi="宋体"/>
          <w:sz w:val="24"/>
          <w:szCs w:val="24"/>
        </w:rPr>
      </w:r>
    </w:p>
    <w:p w14:paraId="7E319BE1">
      <w:pPr>
        <w:adjustRightInd w:val="0"/>
        <w:snapToGrid w:val="0"/>
        <w:spacing w:line="300" w:lineRule="auto"/>
        <w:ind w:firstLine="5529"/>
        <w:jc w:val="center"/>
        <w:rPr>
          <w:rFonts w:hint="eastAsia"/>
        </w:rPr>
      </w:pPr>
      <w:r>
        <w:rPr>
          <w:rFonts w:hint="eastAsia" w:ascii="宋体" w:hAnsi="宋体" w:eastAsia="宋体"/>
          <w:b w:val="0"/>
          <w:sz w:val="24"/>
          <w:szCs w:val="24"/>
          <w:lang w:val="en-US" w:eastAsia="zh-CN"/>
        </w:rPr>
        <w:t>4. 教学手段</w:t>
      </w:r>
      <w:r>
        <w:rPr>
          <w:rFonts w:hint="eastAsia" w:ascii="宋体" w:hAnsi="宋体"/>
          <w:sz w:val="24"/>
          <w:szCs w:val="24"/>
        </w:rPr>
      </w:r>
      <w:bookmarkEnd w:id="1"/>
    </w:p>
    <w:p w:rsidR="00D92C7B" w:rsidRDefault="00D92C7B">
      <w:r>
        <w:rPr>
          <w:rFonts w:eastAsia="宋体"/>
          <w:sz w:val="24"/>
        </w:rPr>
        <w:t>本课程深入推进教育数字化转型，依托智慧教学平台与AI工具构建全流程智能化教学生态。（1）智慧教学平台：使用超星学习通作为课程主平台，承载课件发布、作业提交与批改、在线测验、讨论互动等功能；利用雨课堂进行课堂实时互动（弹幕提问、随堂测试、签到考勤），提升课堂参与度。（2）AI教学工具：引入Wireshark协议分析工具和Cisco Packet Tracer/GNS3网络仿真环境作为核心实验平台；推荐学生使用大语言模型（如智谱清言、Kimi）作为个性化学习助手，用于协议原理的交互式问答和疑难知识点解析。（3）数字化教学资源：整合中国大学MOOC平台国家精品课程视频、CS 144（Stanford）公开课视频、RFC标准文档等优质数字化教学资源，构建“教材+MOOC+公开课+技术文档”四位一体的资源体系。（4）“课前-课中-课后”闭环管理：课前通过学习通发布预习任务和自测题；课中利用雨课堂实时互动收集学情数据，动态调整教学节奏；课后通过学习通布置分层作业，利用平台自动批改和统计分析功能实现精准反馈。教师定期分析教学过程数据，精准识别学习困难学生并给予个性化指导，以数智赋能推动教学质量的持续提升。</w:t>
      </w:r>
    </w:p>
    <w:sectPr>
      <w:pgSz w:w="11906" w:h="16838"/>
      <w:pgMar w:top="1418" w:right="1814" w:bottom="1418" w:left="181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2E50FF"/>
    <w:multiLevelType w:val="singleLevel"/>
    <w:tmpl w:val="0F2E50F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606E3BF"/>
    <w:multiLevelType w:val="singleLevel"/>
    <w:tmpl w:val="3606E3BF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7272CE61"/>
    <w:multiLevelType w:val="singleLevel"/>
    <w:tmpl w:val="7272CE61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  <w:b/>
        <w:bCs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46490"/>
    <w:rsid w:val="00062437"/>
    <w:rsid w:val="00065AE5"/>
    <w:rsid w:val="00084505"/>
    <w:rsid w:val="001662E4"/>
    <w:rsid w:val="001B39C3"/>
    <w:rsid w:val="001B5D45"/>
    <w:rsid w:val="001E0EB9"/>
    <w:rsid w:val="002735ED"/>
    <w:rsid w:val="002A7C49"/>
    <w:rsid w:val="0030083C"/>
    <w:rsid w:val="0034795D"/>
    <w:rsid w:val="00365497"/>
    <w:rsid w:val="003932B1"/>
    <w:rsid w:val="003969F8"/>
    <w:rsid w:val="003A7920"/>
    <w:rsid w:val="003F40A6"/>
    <w:rsid w:val="00431CCB"/>
    <w:rsid w:val="004F4284"/>
    <w:rsid w:val="005C5B8D"/>
    <w:rsid w:val="00634122"/>
    <w:rsid w:val="00654632"/>
    <w:rsid w:val="00687137"/>
    <w:rsid w:val="006A0466"/>
    <w:rsid w:val="006C64AC"/>
    <w:rsid w:val="006C758E"/>
    <w:rsid w:val="00700540"/>
    <w:rsid w:val="007133C6"/>
    <w:rsid w:val="007B70E9"/>
    <w:rsid w:val="007E1CF9"/>
    <w:rsid w:val="007F1605"/>
    <w:rsid w:val="007F32F6"/>
    <w:rsid w:val="00894F06"/>
    <w:rsid w:val="00966388"/>
    <w:rsid w:val="00997BA7"/>
    <w:rsid w:val="009E63CA"/>
    <w:rsid w:val="00A2156B"/>
    <w:rsid w:val="00A33215"/>
    <w:rsid w:val="00A34B5E"/>
    <w:rsid w:val="00AC31E6"/>
    <w:rsid w:val="00AE5488"/>
    <w:rsid w:val="00B30692"/>
    <w:rsid w:val="00B66B11"/>
    <w:rsid w:val="00BC10C2"/>
    <w:rsid w:val="00C031D2"/>
    <w:rsid w:val="00C54EA2"/>
    <w:rsid w:val="00C70E86"/>
    <w:rsid w:val="00CB46A1"/>
    <w:rsid w:val="00D06130"/>
    <w:rsid w:val="00D2209A"/>
    <w:rsid w:val="00D604D5"/>
    <w:rsid w:val="00D66E14"/>
    <w:rsid w:val="00D90ECD"/>
    <w:rsid w:val="00DC3602"/>
    <w:rsid w:val="00E76ABA"/>
    <w:rsid w:val="00E806E6"/>
    <w:rsid w:val="00F741E4"/>
    <w:rsid w:val="00FC555E"/>
    <w:rsid w:val="00FD4917"/>
    <w:rsid w:val="01932EF4"/>
    <w:rsid w:val="04295816"/>
    <w:rsid w:val="07835161"/>
    <w:rsid w:val="086D1880"/>
    <w:rsid w:val="0CDB6B10"/>
    <w:rsid w:val="14DD66B8"/>
    <w:rsid w:val="1629525B"/>
    <w:rsid w:val="195C5947"/>
    <w:rsid w:val="1E0F6B57"/>
    <w:rsid w:val="23575157"/>
    <w:rsid w:val="239A70AF"/>
    <w:rsid w:val="242A6833"/>
    <w:rsid w:val="24A563F4"/>
    <w:rsid w:val="24EE3609"/>
    <w:rsid w:val="26B13852"/>
    <w:rsid w:val="2A2757D3"/>
    <w:rsid w:val="2D37726D"/>
    <w:rsid w:val="2F302D5E"/>
    <w:rsid w:val="307434B2"/>
    <w:rsid w:val="307470C6"/>
    <w:rsid w:val="368F218C"/>
    <w:rsid w:val="36F7087E"/>
    <w:rsid w:val="37C36E66"/>
    <w:rsid w:val="3AB14612"/>
    <w:rsid w:val="41BA352F"/>
    <w:rsid w:val="44EE6424"/>
    <w:rsid w:val="49AA2CC7"/>
    <w:rsid w:val="49CE07C3"/>
    <w:rsid w:val="4FB8672C"/>
    <w:rsid w:val="58DE25B5"/>
    <w:rsid w:val="596F60AE"/>
    <w:rsid w:val="5C621EFA"/>
    <w:rsid w:val="5EE54443"/>
    <w:rsid w:val="603E2C7E"/>
    <w:rsid w:val="6BF905D1"/>
    <w:rsid w:val="6FAD1EDF"/>
    <w:rsid w:val="710F61AD"/>
    <w:rsid w:val="72251111"/>
    <w:rsid w:val="722577FA"/>
    <w:rsid w:val="72A1689B"/>
    <w:rsid w:val="741E6BF6"/>
    <w:rsid w:val="765D4F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autoSpaceDE w:val="0"/>
      <w:autoSpaceDN w:val="0"/>
      <w:adjustRightInd w:val="0"/>
      <w:ind w:firstLine="480"/>
    </w:pPr>
    <w:rPr>
      <w:rFonts w:ascii="宋体" w:hAnsi="Times New Roman" w:eastAsia="宋体" w:cs="Times New Roman"/>
      <w:szCs w:val="24"/>
      <w:lang w:val="zh-CN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7">
    <w:name w:val="Normal (Web)"/>
    <w:basedOn w:val="1"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hAnsi="宋体" w:cs="宋体"/>
      <w:color w:val="000000"/>
      <w:kern w:val="0"/>
      <w:sz w:val="24"/>
      <w:szCs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age number"/>
    <w:basedOn w:val="10"/>
    <w:qFormat/>
    <w:uiPriority w:val="0"/>
  </w:style>
  <w:style w:type="paragraph" w:customStyle="1" w:styleId="12">
    <w:name w:val="大纲标题"/>
    <w:next w:val="13"/>
    <w:qFormat/>
    <w:uiPriority w:val="0"/>
    <w:pPr>
      <w:widowControl w:val="0"/>
      <w:spacing w:line="300" w:lineRule="auto"/>
      <w:jc w:val="center"/>
      <w:outlineLvl w:val="0"/>
    </w:pPr>
    <w:rPr>
      <w:rFonts w:ascii="Times New Roman" w:hAnsi="Times New Roman" w:eastAsia="黑体" w:cs="Times New Roman"/>
      <w:kern w:val="2"/>
      <w:sz w:val="44"/>
      <w:szCs w:val="28"/>
      <w:lang w:val="en-US" w:eastAsia="zh-CN" w:bidi="ar-SA"/>
    </w:rPr>
  </w:style>
  <w:style w:type="paragraph" w:customStyle="1" w:styleId="13">
    <w:name w:val="大纲正文"/>
    <w:link w:val="21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  <w:style w:type="paragraph" w:customStyle="1" w:styleId="14">
    <w:name w:val="节标题"/>
    <w:next w:val="13"/>
    <w:qFormat/>
    <w:uiPriority w:val="0"/>
    <w:pPr>
      <w:widowControl w:val="0"/>
      <w:spacing w:before="100" w:beforeLines="100" w:line="300" w:lineRule="auto"/>
      <w:jc w:val="both"/>
      <w:outlineLvl w:val="1"/>
    </w:pPr>
    <w:rPr>
      <w:rFonts w:ascii="Times New Roman" w:hAnsi="Times New Roman" w:eastAsia="黑体" w:cs="Times New Roman"/>
      <w:kern w:val="2"/>
      <w:sz w:val="24"/>
      <w:szCs w:val="28"/>
      <w:lang w:val="en-US" w:eastAsia="zh-CN" w:bidi="ar-SA"/>
    </w:rPr>
  </w:style>
  <w:style w:type="paragraph" w:customStyle="1" w:styleId="15">
    <w:name w:val="表格标题"/>
    <w:basedOn w:val="16"/>
    <w:next w:val="16"/>
    <w:qFormat/>
    <w:uiPriority w:val="0"/>
    <w:pPr>
      <w:jc w:val="center"/>
    </w:pPr>
    <w:rPr>
      <w:b/>
    </w:rPr>
  </w:style>
  <w:style w:type="paragraph" w:customStyle="1" w:styleId="16">
    <w:name w:val="表格字体"/>
    <w:basedOn w:val="13"/>
    <w:next w:val="13"/>
    <w:qFormat/>
    <w:uiPriority w:val="0"/>
    <w:pPr>
      <w:spacing w:line="240" w:lineRule="auto"/>
    </w:pPr>
    <w:rPr>
      <w:sz w:val="18"/>
    </w:rPr>
  </w:style>
  <w:style w:type="paragraph" w:customStyle="1" w:styleId="17">
    <w:name w:val="内容标题"/>
    <w:basedOn w:val="13"/>
    <w:next w:val="13"/>
    <w:qFormat/>
    <w:uiPriority w:val="0"/>
    <w:pPr>
      <w:spacing w:before="100" w:beforeLines="100"/>
      <w:jc w:val="center"/>
      <w:outlineLvl w:val="2"/>
    </w:pPr>
    <w:rPr>
      <w:rFonts w:eastAsia="黑体"/>
      <w:sz w:val="24"/>
    </w:rPr>
  </w:style>
  <w:style w:type="paragraph" w:customStyle="1" w:styleId="18">
    <w:name w:val="大纲强调"/>
    <w:basedOn w:val="13"/>
    <w:next w:val="13"/>
    <w:qFormat/>
    <w:uiPriority w:val="0"/>
    <w:rPr>
      <w:b/>
    </w:rPr>
  </w:style>
  <w:style w:type="paragraph" w:customStyle="1" w:styleId="19">
    <w:name w:val="大纲正文缩进"/>
    <w:basedOn w:val="13"/>
    <w:link w:val="20"/>
    <w:qFormat/>
    <w:uiPriority w:val="0"/>
    <w:pPr>
      <w:ind w:firstLine="200" w:firstLineChars="200"/>
    </w:pPr>
  </w:style>
  <w:style w:type="character" w:customStyle="1" w:styleId="20">
    <w:name w:val="大纲正文缩进 字符"/>
    <w:basedOn w:val="21"/>
    <w:link w:val="19"/>
    <w:qFormat/>
    <w:uiPriority w:val="0"/>
  </w:style>
  <w:style w:type="character" w:customStyle="1" w:styleId="21">
    <w:name w:val="大纲正文 字符"/>
    <w:basedOn w:val="10"/>
    <w:link w:val="13"/>
    <w:qFormat/>
    <w:uiPriority w:val="0"/>
    <w:rPr>
      <w:rFonts w:ascii="Times New Roman" w:hAnsi="Times New Roman" w:eastAsia="宋体" w:cs="Times New Roman"/>
      <w:kern w:val="2"/>
      <w:sz w:val="21"/>
      <w:szCs w:val="28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Program%20Files\wps\WPS%20Office\12.1.0.25865\office6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8102</Words>
  <Characters>8453</Characters>
  <Lines>20</Lines>
  <Paragraphs>5</Paragraphs>
  <TotalTime>148</TotalTime>
  <ScaleCrop>false</ScaleCrop>
  <LinksUpToDate>false</LinksUpToDate>
  <CharactersWithSpaces>8500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2015-04-24T02:52:00Z</dcterms:created>
  <dc:creator>wangjiwei</dc:creator>
  <cp:lastModifiedBy>邓晓平</cp:lastModifiedBy>
  <cp:lastPrinted>2018-03-21T01:43:00Z</cp:lastPrinted>
  <dcterms:modified xsi:type="dcterms:W3CDTF">2026-06-21T06:04:32Z</dcterms:modified>
  <dc:title>一．教学大纲的格式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eyJoZGlkIjoiMDY5NmFjMmM4ZTljMGJiZDAxN2JmYTc0NGI0NmFiNDgiLCJ1c2VySWQiOiIxNjUxNzYzMTk2In0=</vt:lpwstr>
  </property>
  <property fmtid="{D5CDD505-2E9C-101B-9397-08002B2CF9AE}" pid="4" name="ICV">
    <vt:lpwstr>AC62CFE0D3114DCAB06243BE0E4CA85B_13</vt:lpwstr>
  </property>
</Properties>
</file>