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1400"/>
        <w:ind w:firstLine="0"/>
        <w:jc w:val="center"/>
      </w:pPr>
      <w:r>
        <w:rPr>
          <w:sz w:val="28"/>
        </w:rPr>
        <w:t>挑战杯大学生课外学术科技作品竞赛</w:t>
      </w:r>
    </w:p>
    <w:p>
      <w:pPr>
        <w:pStyle w:val="Title"/>
        <w:ind w:firstLine="0"/>
        <w:jc w:val="center"/>
      </w:pPr>
      <w:r>
        <w:t>主动澄清让谁受益</w:t>
      </w:r>
    </w:p>
    <w:p>
      <w:pPr>
        <w:pStyle w:val="Subtitle"/>
        <w:ind w:firstLine="0"/>
        <w:jc w:val="center"/>
      </w:pPr>
      <w:r>
        <w:t>社会调查报告</w:t>
      </w:r>
    </w:p>
    <w:p>
      <w:pPr>
        <w:spacing w:before="360" w:after="1000"/>
        <w:ind w:firstLine="0"/>
        <w:jc w:val="center"/>
      </w:pPr>
      <w:r>
        <w:rPr>
          <w:sz w:val="28"/>
        </w:rPr>
        <w:t>大学生AI信息素养差异下生成式人工智能</w:t>
        <w:br/>
        <w:t>信息公平性与低负担自适应干预调查研究</w:t>
        <w:br/>
        <w:t>基于文献调查与实验工具审查的阶段性报告</w:t>
      </w:r>
    </w:p>
    <w:p>
      <w:pPr>
        <w:ind w:firstLine="0"/>
        <w:jc w:val="center"/>
      </w:pPr>
      <w:r>
        <w:t>申报类别  哲学社会科学类社会调查报告</w:t>
      </w:r>
    </w:p>
    <w:p>
      <w:pPr>
        <w:ind w:firstLine="0"/>
        <w:jc w:val="center"/>
      </w:pPr>
      <w:r>
        <w:t>学校与学院  [待填写]</w:t>
      </w:r>
    </w:p>
    <w:p>
      <w:pPr>
        <w:ind w:firstLine="0"/>
        <w:jc w:val="center"/>
      </w:pPr>
      <w:r>
        <w:t>团队成员  [待填写]</w:t>
      </w:r>
    </w:p>
    <w:p>
      <w:pPr>
        <w:ind w:firstLine="0"/>
        <w:jc w:val="center"/>
      </w:pPr>
      <w:r>
        <w:t>指导教师  [待填写]</w:t>
      </w:r>
    </w:p>
    <w:p>
      <w:pPr>
        <w:ind w:firstLine="0"/>
        <w:jc w:val="center"/>
      </w:pPr>
      <w:r>
        <w:t>二〇二六年十月</w:t>
      </w:r>
    </w:p>
    <w:p>
      <w:pPr>
        <w:sectPr>
          <w:pgSz w:w="12240" w:h="15840"/>
          <w:pgMar w:top="1296" w:right="1440" w:bottom="1224" w:left="1440" w:header="504" w:footer="576" w:gutter="0"/>
          <w:cols w:space="720"/>
          <w:docGrid w:linePitch="360"/>
        </w:sectPr>
      </w:pPr>
    </w:p>
    <w:p>
      <w:pPr>
        <w:pStyle w:val="FrontHeading"/>
        <w:ind w:firstLine="0"/>
        <w:jc w:val="center"/>
      </w:pPr>
      <w:r>
        <w:t>摘 要</w:t>
      </w:r>
    </w:p>
    <w:p>
      <w:r>
        <w:t>生成式人工智能正在成为大学生获取资料、理解规则和辅助决策的重要工具。系统能够回答问题，并不意味着不同能力背景的用户能够同等有效地利用回答。主动澄清通过追问缺失条件改善信息匹配，但也要求用户理解问题、补充事实和评价反馈，其收益与负担可能存在群体差异。</w:t>
      </w:r>
    </w:p>
    <w:p>
      <w:r>
        <w:t>本报告将研究对象限定为18—25岁在读专科生和本科生，以校园信息任务为研究情境，结合国内外文献调查与LENS Lab实验工具审查，区分语言表达方式、AI信息素养和任务熟悉程度，建立涵盖任务质量、群体收益、澄清必要性及交互成本的评价框架，并提出后续真实用户调查与对照实验方案。</w:t>
      </w:r>
    </w:p>
    <w:p>
      <w:r>
        <w:t>材料分析形成三点认识：第一，已有研究分别提供了用户能力差异和澄清效果具有条件性的证据，尚不能据此判定本项目存在不公平效应；第二，统一追问可能在理解、回应和反馈利用环节形成不同负担，平均成绩不足以概括受益分布；第三，现有平台能够记录两种交互条件和任务过程，但候选测验、评分及样本独立性仍需验证。整体表现改善与群体差距扩大可以同时出现，在本研究中应作为待检验命题。</w:t>
      </w:r>
    </w:p>
    <w:p>
      <w:r>
        <w:t>据此，报告提出面向AI信息素养差异的低负担自适应澄清与支持机制，通过关键条件检查、交互困难识别、可选解释及负担限制提供帮助。其价值在于将“帮助是否有效”推进到“帮助如何被不同用户利用”的可检验问题，为高校AI素养教育和校园信息服务试点提供评价工具与改进路径。干预效果仍须由真实原始记录验证。</w:t>
      </w:r>
    </w:p>
    <w:p>
      <w:pPr>
        <w:spacing w:before="240"/>
        <w:ind w:firstLine="0"/>
      </w:pPr>
      <w:r>
        <w:t>关键词  生成式人工智能；AI信息素养；主动澄清；信息公平性；大学生</w:t>
      </w:r>
    </w:p>
    <w:p>
      <w:r>
        <w:br w:type="page"/>
      </w:r>
    </w:p>
    <w:p>
      <w:pPr>
        <w:pStyle w:val="FrontHeading"/>
        <w:ind w:firstLine="0"/>
        <w:jc w:val="center"/>
      </w:pPr>
      <w:r>
        <w:t>目 录</w:t>
      </w:r>
    </w:p>
    <w:p>
      <w:pPr>
        <w:keepNext w:val="0"/>
        <w:tabs>
          <w:tab w:pos="9144" w:val="right" w:leader="dot"/>
        </w:tabs>
        <w:spacing w:line="276" w:lineRule="auto" w:after="60"/>
        <w:ind w:firstLine="0" w:left="0"/>
      </w:pPr>
      <w:r>
        <w:fldChar w:fldCharType="begin" w:dirty="false"/>
      </w:r>
      <w:r>
        <w:instrText xml:space="preserve"> TOC \o "1-3" \h \z \u </w:instrText>
      </w:r>
      <w:r>
        <w:fldChar w:fldCharType="separate"/>
      </w:r>
      <w:r>
        <w:rPr>
          <w:b/>
          <w:sz w:val="21"/>
        </w:rPr>
        <w:t>第一章 导论</w:t>
        <w:tab/>
        <w:t>4</w:t>
      </w:r>
    </w:p>
    <w:p>
      <w:pPr>
        <w:keepNext w:val="0"/>
        <w:tabs>
          <w:tab w:pos="9144" w:val="right" w:leader="dot"/>
        </w:tabs>
        <w:spacing w:line="276" w:lineRule="auto" w:after="60"/>
        <w:ind w:firstLine="0" w:left="240"/>
      </w:pPr>
      <w:r>
        <w:rPr>
          <w:b w:val="0"/>
          <w:sz w:val="21"/>
        </w:rPr>
        <w:t>1.1 研究背景与问题提出</w:t>
        <w:tab/>
        <w:t>4</w:t>
      </w:r>
    </w:p>
    <w:p>
      <w:pPr>
        <w:keepNext w:val="0"/>
        <w:tabs>
          <w:tab w:pos="9144" w:val="right" w:leader="dot"/>
        </w:tabs>
        <w:spacing w:line="276" w:lineRule="auto" w:after="60"/>
        <w:ind w:firstLine="0" w:left="240"/>
      </w:pPr>
      <w:r>
        <w:rPr>
          <w:b w:val="0"/>
          <w:sz w:val="21"/>
        </w:rPr>
        <w:t>1.2 国内外研究进展与评述</w:t>
        <w:tab/>
        <w:t>5</w:t>
      </w:r>
    </w:p>
    <w:p>
      <w:pPr>
        <w:keepNext w:val="0"/>
        <w:tabs>
          <w:tab w:pos="9144" w:val="right" w:leader="dot"/>
        </w:tabs>
        <w:spacing w:line="276" w:lineRule="auto" w:after="60"/>
        <w:ind w:firstLine="0" w:left="480"/>
      </w:pPr>
      <w:r>
        <w:rPr>
          <w:b w:val="0"/>
          <w:sz w:val="21"/>
        </w:rPr>
        <w:t>1.2.1 用户能力与表达差异研究</w:t>
        <w:tab/>
        <w:t>5</w:t>
      </w:r>
    </w:p>
    <w:p>
      <w:pPr>
        <w:keepNext w:val="0"/>
        <w:tabs>
          <w:tab w:pos="9144" w:val="right" w:leader="dot"/>
        </w:tabs>
        <w:spacing w:line="276" w:lineRule="auto" w:after="60"/>
        <w:ind w:firstLine="0" w:left="480"/>
      </w:pPr>
      <w:r>
        <w:rPr>
          <w:b w:val="0"/>
          <w:sz w:val="21"/>
        </w:rPr>
        <w:t>1.2.2 主动澄清与用户收益研究</w:t>
        <w:tab/>
        <w:t>5</w:t>
      </w:r>
    </w:p>
    <w:p>
      <w:pPr>
        <w:keepNext w:val="0"/>
        <w:tabs>
          <w:tab w:pos="9144" w:val="right" w:leader="dot"/>
        </w:tabs>
        <w:spacing w:line="276" w:lineRule="auto" w:after="60"/>
        <w:ind w:firstLine="0" w:left="240"/>
      </w:pPr>
      <w:r>
        <w:rPr>
          <w:b w:val="0"/>
          <w:sz w:val="21"/>
        </w:rPr>
        <w:t>1.3 研究目标与可能贡献</w:t>
        <w:tab/>
        <w:t>6</w:t>
      </w:r>
    </w:p>
    <w:p>
      <w:pPr>
        <w:keepNext w:val="0"/>
        <w:tabs>
          <w:tab w:pos="9144" w:val="right" w:leader="dot"/>
        </w:tabs>
        <w:spacing w:line="276" w:lineRule="auto" w:after="60"/>
        <w:ind w:firstLine="0" w:left="0"/>
      </w:pPr>
      <w:r>
        <w:rPr>
          <w:b/>
          <w:sz w:val="21"/>
        </w:rPr>
        <w:t>第二章 研究设计</w:t>
        <w:tab/>
        <w:t>6</w:t>
      </w:r>
    </w:p>
    <w:p>
      <w:pPr>
        <w:keepNext w:val="0"/>
        <w:tabs>
          <w:tab w:pos="9144" w:val="right" w:leader="dot"/>
        </w:tabs>
        <w:spacing w:line="276" w:lineRule="auto" w:after="60"/>
        <w:ind w:firstLine="0" w:left="240"/>
      </w:pPr>
      <w:r>
        <w:rPr>
          <w:b w:val="0"/>
          <w:sz w:val="21"/>
        </w:rPr>
        <w:t>2.1 核心概念与分析框架</w:t>
        <w:tab/>
        <w:t>6</w:t>
      </w:r>
    </w:p>
    <w:p>
      <w:pPr>
        <w:keepNext w:val="0"/>
        <w:tabs>
          <w:tab w:pos="9144" w:val="right" w:leader="dot"/>
        </w:tabs>
        <w:spacing w:line="276" w:lineRule="auto" w:after="60"/>
        <w:ind w:firstLine="0" w:left="240"/>
      </w:pPr>
      <w:r>
        <w:rPr>
          <w:b w:val="0"/>
          <w:sz w:val="21"/>
        </w:rPr>
        <w:t>2.2 材料调查与后续用户实验</w:t>
        <w:tab/>
        <w:t>7</w:t>
      </w:r>
    </w:p>
    <w:p>
      <w:pPr>
        <w:keepNext w:val="0"/>
        <w:tabs>
          <w:tab w:pos="9144" w:val="right" w:leader="dot"/>
        </w:tabs>
        <w:spacing w:line="276" w:lineRule="auto" w:after="60"/>
        <w:ind w:firstLine="0" w:left="480"/>
      </w:pPr>
      <w:r>
        <w:rPr>
          <w:b w:val="0"/>
          <w:sz w:val="21"/>
        </w:rPr>
        <w:t>2.2.1 已完成材料调查的范围</w:t>
        <w:tab/>
        <w:t>7</w:t>
      </w:r>
    </w:p>
    <w:p>
      <w:pPr>
        <w:keepNext w:val="0"/>
        <w:tabs>
          <w:tab w:pos="9144" w:val="right" w:leader="dot"/>
        </w:tabs>
        <w:spacing w:line="276" w:lineRule="auto" w:after="60"/>
        <w:ind w:firstLine="0" w:left="480"/>
      </w:pPr>
      <w:r>
        <w:rPr>
          <w:b w:val="0"/>
          <w:sz w:val="21"/>
        </w:rPr>
        <w:t>2.2.2 两种交互条件与任务流程</w:t>
        <w:tab/>
        <w:t>7</w:t>
      </w:r>
    </w:p>
    <w:p>
      <w:pPr>
        <w:keepNext w:val="0"/>
        <w:tabs>
          <w:tab w:pos="9144" w:val="right" w:leader="dot"/>
        </w:tabs>
        <w:spacing w:line="276" w:lineRule="auto" w:after="60"/>
        <w:ind w:firstLine="0" w:left="240"/>
      </w:pPr>
      <w:r>
        <w:rPr>
          <w:b w:val="0"/>
          <w:sz w:val="21"/>
        </w:rPr>
        <w:t>2.3 测量记录与质量控制</w:t>
        <w:tab/>
        <w:t>8</w:t>
      </w:r>
    </w:p>
    <w:p>
      <w:pPr>
        <w:keepNext w:val="0"/>
        <w:tabs>
          <w:tab w:pos="9144" w:val="right" w:leader="dot"/>
        </w:tabs>
        <w:spacing w:line="276" w:lineRule="auto" w:after="60"/>
        <w:ind w:firstLine="0" w:left="0"/>
      </w:pPr>
      <w:r>
        <w:rPr>
          <w:b/>
          <w:sz w:val="21"/>
        </w:rPr>
        <w:t>第三章 现状分析</w:t>
        <w:tab/>
        <w:t>9</w:t>
      </w:r>
    </w:p>
    <w:p>
      <w:pPr>
        <w:keepNext w:val="0"/>
        <w:tabs>
          <w:tab w:pos="9144" w:val="right" w:leader="dot"/>
        </w:tabs>
        <w:spacing w:line="276" w:lineRule="auto" w:after="60"/>
        <w:ind w:firstLine="0" w:left="240"/>
      </w:pPr>
      <w:r>
        <w:rPr>
          <w:b w:val="0"/>
          <w:sz w:val="21"/>
        </w:rPr>
        <w:t>3.1 调查材料特征与研究基础</w:t>
        <w:tab/>
        <w:t>9</w:t>
      </w:r>
    </w:p>
    <w:p>
      <w:pPr>
        <w:keepNext w:val="0"/>
        <w:tabs>
          <w:tab w:pos="9144" w:val="right" w:leader="dot"/>
        </w:tabs>
        <w:spacing w:line="276" w:lineRule="auto" w:after="60"/>
        <w:ind w:firstLine="0" w:left="240"/>
      </w:pPr>
      <w:r>
        <w:rPr>
          <w:b w:val="0"/>
          <w:sz w:val="21"/>
        </w:rPr>
        <w:t>3.2 用户能力与服务评价的主要问题</w:t>
        <w:tab/>
        <w:t>10</w:t>
      </w:r>
    </w:p>
    <w:p>
      <w:pPr>
        <w:keepNext w:val="0"/>
        <w:tabs>
          <w:tab w:pos="9144" w:val="right" w:leader="dot"/>
        </w:tabs>
        <w:spacing w:line="276" w:lineRule="auto" w:after="60"/>
        <w:ind w:firstLine="0" w:left="480"/>
      </w:pPr>
      <w:r>
        <w:rPr>
          <w:b w:val="0"/>
          <w:sz w:val="21"/>
        </w:rPr>
        <w:t>3.2.1 频繁使用难以代表有效利用</w:t>
        <w:tab/>
        <w:t>10</w:t>
      </w:r>
    </w:p>
    <w:p>
      <w:pPr>
        <w:keepNext w:val="0"/>
        <w:tabs>
          <w:tab w:pos="9144" w:val="right" w:leader="dot"/>
        </w:tabs>
        <w:spacing w:line="276" w:lineRule="auto" w:after="60"/>
        <w:ind w:firstLine="0" w:left="480"/>
      </w:pPr>
      <w:r>
        <w:rPr>
          <w:b w:val="0"/>
          <w:sz w:val="21"/>
        </w:rPr>
        <w:t>3.2.2 统一追问不等于同等支持</w:t>
        <w:tab/>
        <w:t>10</w:t>
      </w:r>
    </w:p>
    <w:p>
      <w:pPr>
        <w:keepNext w:val="0"/>
        <w:tabs>
          <w:tab w:pos="9144" w:val="right" w:leader="dot"/>
        </w:tabs>
        <w:spacing w:line="276" w:lineRule="auto" w:after="60"/>
        <w:ind w:firstLine="0" w:left="480"/>
      </w:pPr>
      <w:r>
        <w:rPr>
          <w:b w:val="0"/>
          <w:sz w:val="21"/>
        </w:rPr>
        <w:t>3.2.3 总体成绩容易遮蔽收益分布</w:t>
        <w:tab/>
        <w:t>11</w:t>
      </w:r>
    </w:p>
    <w:p>
      <w:pPr>
        <w:keepNext w:val="0"/>
        <w:tabs>
          <w:tab w:pos="9144" w:val="right" w:leader="dot"/>
        </w:tabs>
        <w:spacing w:line="276" w:lineRule="auto" w:after="60"/>
        <w:ind w:firstLine="0" w:left="480"/>
      </w:pPr>
      <w:r>
        <w:rPr>
          <w:b w:val="0"/>
          <w:sz w:val="21"/>
        </w:rPr>
        <w:t>3.2.4 工具可运行与测量有效存在距离</w:t>
        <w:tab/>
        <w:t>11</w:t>
      </w:r>
    </w:p>
    <w:p>
      <w:pPr>
        <w:keepNext w:val="0"/>
        <w:tabs>
          <w:tab w:pos="9144" w:val="right" w:leader="dot"/>
        </w:tabs>
        <w:spacing w:line="276" w:lineRule="auto" w:after="60"/>
        <w:ind w:firstLine="0" w:left="240"/>
      </w:pPr>
      <w:r>
        <w:rPr>
          <w:b w:val="0"/>
          <w:sz w:val="21"/>
        </w:rPr>
        <w:t>3.3 核心矛盾及其社会含义</w:t>
        <w:tab/>
        <w:t>12</w:t>
      </w:r>
    </w:p>
    <w:p>
      <w:pPr>
        <w:keepNext w:val="0"/>
        <w:tabs>
          <w:tab w:pos="9144" w:val="right" w:leader="dot"/>
        </w:tabs>
        <w:spacing w:line="276" w:lineRule="auto" w:after="60"/>
        <w:ind w:firstLine="0" w:left="0"/>
      </w:pPr>
      <w:r>
        <w:rPr>
          <w:b/>
          <w:sz w:val="21"/>
        </w:rPr>
        <w:t>第四章 机制分析</w:t>
        <w:tab/>
        <w:t>13</w:t>
      </w:r>
    </w:p>
    <w:p>
      <w:pPr>
        <w:keepNext w:val="0"/>
        <w:tabs>
          <w:tab w:pos="9144" w:val="right" w:leader="dot"/>
        </w:tabs>
        <w:spacing w:line="276" w:lineRule="auto" w:after="60"/>
        <w:ind w:firstLine="0" w:left="240"/>
      </w:pPr>
      <w:r>
        <w:rPr>
          <w:b w:val="0"/>
          <w:sz w:val="21"/>
        </w:rPr>
        <w:t>4.1 影响因素</w:t>
        <w:tab/>
        <w:t>13</w:t>
      </w:r>
    </w:p>
    <w:p>
      <w:pPr>
        <w:keepNext w:val="0"/>
        <w:tabs>
          <w:tab w:pos="9144" w:val="right" w:leader="dot"/>
        </w:tabs>
        <w:spacing w:line="276" w:lineRule="auto" w:after="60"/>
        <w:ind w:firstLine="0" w:left="240"/>
      </w:pPr>
      <w:r>
        <w:rPr>
          <w:b w:val="0"/>
          <w:sz w:val="21"/>
        </w:rPr>
        <w:t>4.2 作用机制</w:t>
        <w:tab/>
        <w:t>14</w:t>
      </w:r>
    </w:p>
    <w:p>
      <w:pPr>
        <w:keepNext w:val="0"/>
        <w:tabs>
          <w:tab w:pos="9144" w:val="right" w:leader="dot"/>
        </w:tabs>
        <w:spacing w:line="276" w:lineRule="auto" w:after="60"/>
        <w:ind w:firstLine="0" w:left="240"/>
      </w:pPr>
      <w:r>
        <w:rPr>
          <w:b w:val="0"/>
          <w:sz w:val="21"/>
        </w:rPr>
        <w:t>4.3 理论对话</w:t>
        <w:tab/>
        <w:t>16</w:t>
      </w:r>
    </w:p>
    <w:p>
      <w:pPr>
        <w:keepNext w:val="0"/>
        <w:tabs>
          <w:tab w:pos="9144" w:val="right" w:leader="dot"/>
        </w:tabs>
        <w:spacing w:line="276" w:lineRule="auto" w:after="60"/>
        <w:ind w:firstLine="0" w:left="0"/>
      </w:pPr>
      <w:r>
        <w:rPr>
          <w:b/>
          <w:sz w:val="21"/>
        </w:rPr>
        <w:t>第五章 对策建议</w:t>
        <w:tab/>
        <w:t>17</w:t>
      </w:r>
    </w:p>
    <w:p>
      <w:pPr>
        <w:keepNext w:val="0"/>
        <w:tabs>
          <w:tab w:pos="9144" w:val="right" w:leader="dot"/>
        </w:tabs>
        <w:spacing w:line="276" w:lineRule="auto" w:after="60"/>
        <w:ind w:firstLine="0" w:left="240"/>
      </w:pPr>
      <w:r>
        <w:rPr>
          <w:b w:val="0"/>
          <w:sz w:val="21"/>
        </w:rPr>
        <w:t>5.1 建立同时关注效果与受益分布的评价制度</w:t>
        <w:tab/>
        <w:t>17</w:t>
      </w:r>
    </w:p>
    <w:p>
      <w:pPr>
        <w:keepNext w:val="0"/>
        <w:tabs>
          <w:tab w:pos="9144" w:val="right" w:leader="dot"/>
        </w:tabs>
        <w:spacing w:line="276" w:lineRule="auto" w:after="60"/>
        <w:ind w:firstLine="0" w:left="240"/>
      </w:pPr>
      <w:r>
        <w:rPr>
          <w:b w:val="0"/>
          <w:sz w:val="21"/>
        </w:rPr>
        <w:t>5.2 设计低负担自适应澄清与支持机制</w:t>
        <w:tab/>
        <w:t>18</w:t>
      </w:r>
    </w:p>
    <w:p>
      <w:pPr>
        <w:keepNext w:val="0"/>
        <w:tabs>
          <w:tab w:pos="9144" w:val="right" w:leader="dot"/>
        </w:tabs>
        <w:spacing w:line="276" w:lineRule="auto" w:after="60"/>
        <w:ind w:firstLine="0" w:left="480"/>
      </w:pPr>
      <w:r>
        <w:rPr>
          <w:b w:val="0"/>
          <w:sz w:val="21"/>
        </w:rPr>
        <w:t>5.2.1 先判断缺失事实是否影响结论</w:t>
        <w:tab/>
        <w:t>18</w:t>
      </w:r>
    </w:p>
    <w:p>
      <w:pPr>
        <w:keepNext w:val="0"/>
        <w:tabs>
          <w:tab w:pos="9144" w:val="right" w:leader="dot"/>
        </w:tabs>
        <w:spacing w:line="276" w:lineRule="auto" w:after="60"/>
        <w:ind w:firstLine="0" w:left="480"/>
      </w:pPr>
      <w:r>
        <w:rPr>
          <w:b w:val="0"/>
          <w:sz w:val="21"/>
        </w:rPr>
        <w:t>5.2.2 根据可观察困难提供可选帮助</w:t>
        <w:tab/>
        <w:t>18</w:t>
      </w:r>
    </w:p>
    <w:p>
      <w:pPr>
        <w:keepNext w:val="0"/>
        <w:tabs>
          <w:tab w:pos="9144" w:val="right" w:leader="dot"/>
        </w:tabs>
        <w:spacing w:line="276" w:lineRule="auto" w:after="60"/>
        <w:ind w:firstLine="0" w:left="480"/>
      </w:pPr>
      <w:r>
        <w:rPr>
          <w:b w:val="0"/>
          <w:sz w:val="21"/>
        </w:rPr>
        <w:t>5.2.3 限制负担并保证组间可比</w:t>
        <w:tab/>
        <w:t>19</w:t>
      </w:r>
    </w:p>
    <w:p>
      <w:pPr>
        <w:keepNext w:val="0"/>
        <w:tabs>
          <w:tab w:pos="9144" w:val="right" w:leader="dot"/>
        </w:tabs>
        <w:spacing w:line="276" w:lineRule="auto" w:after="60"/>
        <w:ind w:firstLine="0" w:left="240"/>
      </w:pPr>
      <w:r>
        <w:rPr>
          <w:b w:val="0"/>
          <w:sz w:val="21"/>
        </w:rPr>
        <w:t>5.3 形成高校协同支持与持续改进路径</w:t>
        <w:tab/>
        <w:t>19</w:t>
      </w:r>
    </w:p>
    <w:p>
      <w:pPr>
        <w:keepNext w:val="0"/>
        <w:tabs>
          <w:tab w:pos="9144" w:val="right" w:leader="dot"/>
        </w:tabs>
        <w:spacing w:line="276" w:lineRule="auto" w:after="60"/>
        <w:ind w:firstLine="0" w:left="0"/>
      </w:pPr>
      <w:r>
        <w:rPr>
          <w:b/>
          <w:sz w:val="21"/>
        </w:rPr>
        <w:t>第六章 结论与展望</w:t>
        <w:tab/>
        <w:t>20</w:t>
      </w:r>
    </w:p>
    <w:p>
      <w:pPr>
        <w:keepNext w:val="0"/>
        <w:tabs>
          <w:tab w:pos="9144" w:val="right" w:leader="dot"/>
        </w:tabs>
        <w:spacing w:line="276" w:lineRule="auto" w:after="60"/>
        <w:ind w:firstLine="0" w:left="240"/>
      </w:pPr>
      <w:r>
        <w:rPr>
          <w:b w:val="0"/>
          <w:sz w:val="21"/>
        </w:rPr>
        <w:t>6.1 主要结论</w:t>
        <w:tab/>
        <w:t>20</w:t>
      </w:r>
    </w:p>
    <w:p>
      <w:pPr>
        <w:keepNext w:val="0"/>
        <w:tabs>
          <w:tab w:pos="9144" w:val="right" w:leader="dot"/>
        </w:tabs>
        <w:spacing w:line="276" w:lineRule="auto" w:after="60"/>
        <w:ind w:firstLine="0" w:left="240"/>
      </w:pPr>
      <w:r>
        <w:rPr>
          <w:b w:val="0"/>
          <w:sz w:val="21"/>
        </w:rPr>
        <w:t>6.2 研究局限</w:t>
        <w:tab/>
        <w:t>21</w:t>
      </w:r>
    </w:p>
    <w:p>
      <w:pPr>
        <w:keepNext w:val="0"/>
        <w:tabs>
          <w:tab w:pos="9144" w:val="right" w:leader="dot"/>
        </w:tabs>
        <w:spacing w:line="276" w:lineRule="auto" w:after="60"/>
        <w:ind w:firstLine="0" w:left="240"/>
      </w:pPr>
      <w:r>
        <w:rPr>
          <w:b w:val="0"/>
          <w:sz w:val="21"/>
        </w:rPr>
        <w:t>6.3 后续研究方向</w:t>
        <w:tab/>
        <w:t>21</w:t>
      </w:r>
    </w:p>
    <w:p>
      <w:pPr>
        <w:keepNext w:val="0"/>
        <w:tabs>
          <w:tab w:pos="9144" w:val="right" w:leader="dot"/>
        </w:tabs>
        <w:spacing w:line="276" w:lineRule="auto" w:after="60"/>
        <w:ind w:firstLine="0" w:left="0"/>
      </w:pPr>
      <w:r>
        <w:rPr>
          <w:b/>
          <w:sz w:val="21"/>
        </w:rPr>
        <w:t>参考文献</w:t>
        <w:tab/>
        <w:t>21</w:t>
      </w:r>
    </w:p>
    <w:p>
      <w:pPr>
        <w:keepNext w:val="0"/>
        <w:tabs>
          <w:tab w:pos="9144" w:val="right" w:leader="dot"/>
        </w:tabs>
        <w:spacing w:line="276" w:lineRule="auto" w:after="60"/>
        <w:ind w:firstLine="0" w:left="0"/>
      </w:pPr>
      <w:r>
        <w:rPr>
          <w:b/>
          <w:sz w:val="21"/>
        </w:rPr>
        <w:t>附录 后续调查与编码工具</w:t>
        <w:tab/>
        <w:t>25</w:t>
      </w:r>
    </w:p>
    <w:p>
      <w:pPr>
        <w:keepNext w:val="0"/>
        <w:tabs>
          <w:tab w:pos="9144" w:val="right" w:leader="dot"/>
        </w:tabs>
        <w:spacing w:line="276" w:lineRule="auto" w:after="60"/>
        <w:ind w:firstLine="0" w:left="240"/>
      </w:pPr>
      <w:r>
        <w:rPr>
          <w:b w:val="0"/>
          <w:sz w:val="21"/>
        </w:rPr>
        <w:t>附录A 大学生AI使用与交互体验调查问卷</w:t>
        <w:tab/>
        <w:t>25</w:t>
      </w:r>
    </w:p>
    <w:p>
      <w:pPr>
        <w:keepNext w:val="0"/>
        <w:tabs>
          <w:tab w:pos="9144" w:val="right" w:leader="dot"/>
        </w:tabs>
        <w:spacing w:line="276" w:lineRule="auto" w:after="60"/>
        <w:ind w:firstLine="0" w:left="240"/>
      </w:pPr>
      <w:r>
        <w:rPr>
          <w:b w:val="0"/>
          <w:sz w:val="21"/>
        </w:rPr>
        <w:t>附录B 半结构访谈提纲</w:t>
        <w:tab/>
        <w:t>25</w:t>
      </w:r>
    </w:p>
    <w:p>
      <w:pPr>
        <w:keepNext w:val="0"/>
        <w:tabs>
          <w:tab w:pos="9144" w:val="right" w:leader="dot"/>
        </w:tabs>
        <w:spacing w:line="276" w:lineRule="auto" w:after="60"/>
        <w:ind w:firstLine="0" w:left="240"/>
      </w:pPr>
      <w:r>
        <w:rPr>
          <w:b w:val="0"/>
          <w:sz w:val="21"/>
        </w:rPr>
        <w:t>附录C 知情同意说明模板</w:t>
        <w:tab/>
        <w:t>26</w:t>
      </w:r>
    </w:p>
    <w:p>
      <w:pPr>
        <w:keepNext w:val="0"/>
        <w:tabs>
          <w:tab w:pos="9144" w:val="right" w:leader="dot"/>
        </w:tabs>
        <w:spacing w:line="276" w:lineRule="auto" w:after="60"/>
        <w:ind w:firstLine="0" w:left="240"/>
      </w:pPr>
      <w:r>
        <w:rPr>
          <w:b w:val="0"/>
          <w:sz w:val="21"/>
        </w:rPr>
        <w:t>附录D 对话编码手册简版</w:t>
        <w:tab/>
        <w:t>26</w:t>
      </w:r>
      <w:r>
        <w:fldChar w:fldCharType="end"/>
      </w:r>
    </w:p>
    <w:p>
      <w:r>
        <w:br w:type="page"/>
      </w:r>
    </w:p>
    <w:p>
      <w:pPr>
        <w:pStyle w:val="Heading1"/>
      </w:pPr>
      <w:r>
        <w:t>第一章 导论</w:t>
      </w:r>
    </w:p>
    <w:p>
      <w:pPr>
        <w:pStyle w:val="Heading2"/>
      </w:pPr>
      <w:r>
        <w:t>1.1 研究背景与问题提出</w:t>
      </w:r>
    </w:p>
    <w:p>
      <w:r>
        <w:t>中国互联网络信息中心发布的《生成式人工智能应用发展报告（2026）》显示，据网络数据平台测算，2026年上半年我国生成式人工智能用户规模突破7亿人；第57次互联网统计报告则记录了截至2025年12月的用户使用情况[1‑2]。两类资料的时间与统计方法不同，但共同说明研究重点需要从是否接触工具，进一步转向接触之后能否有效利用工具。对大学生而言，课程学习、活动报名、资料核验等任务既涉及信息理解，也涉及依据规则作出选择，适合观察这种转变。</w:t>
      </w:r>
    </w:p>
    <w:p>
      <w:r>
        <w:t>政策层面，《提升全民数字素养与技能行动纲要》及2026年相关工作要点将能力培育、人工智能素养和普惠包容发展相联系；教育数字化意见进一步强调高阶思维与判断能力[4‑6]。这些要求提示，提供同样的技术入口只是起点。大学生即使使用相同模型，也可能因识别信息需求、理解规则及核验回答的能力不同，获得不同的任务结果。能否识别并回应这种差异，是校园信息服务质量问题，也是数字发展成果如何被分享的社会问题。</w:t>
      </w:r>
    </w:p>
    <w:p>
      <w:r>
        <w:t>主动澄清是指AI在缺少会影响任务判断的关键条件时，先询问必要信息，再提供相应帮助。例如，本项目的报名登记类别取决于此前是否获得过本项目名额，系统只有知道这一事实，才能判断适合的登记方案；两类均可报名。但追问也把一部分工作交给用户：用户需要理解为什么问、知道如何回答，并把反馈用于决策。如果帮助的形式超出部分用户的理解和表达习惯，技术改进可能无法转化为均衡的实际收益。本报告由此关注主动澄清让谁受益，以及如何以较低负担提供适当支持。</w:t>
      </w:r>
    </w:p>
    <w:p>
      <w:pPr>
        <w:pStyle w:val="Heading2"/>
      </w:pPr>
      <w:r>
        <w:t>1.2 国内外研究进展与评述</w:t>
      </w:r>
    </w:p>
    <w:p>
      <w:pPr>
        <w:pStyle w:val="Heading3"/>
      </w:pPr>
      <w:r>
        <w:t>1.2.1 用户能力与表达差异研究</w:t>
      </w:r>
    </w:p>
    <w:p>
      <w:r>
        <w:t>国内研究已经形成多维测量、群体比较和真实对话分析等路径。马莉萍等将主观自评与客观测评结合，郑翔睿等通过客观测验讨论大学生人工智能素养的群体差异[12‑13]；何珊云、沈演分析学生与生成式AI协同学习中的提问方式，李锐等比较不同类型高校学生的生成式AI素养[14‑15]。这些成果说明，使用经验、自我判断和实际能力需要分别考察，不能用“经常使用”直接代替“善于使用”。</w:t>
      </w:r>
    </w:p>
    <w:p>
      <w:r>
        <w:t>国际研究也重视测量方式的差别。Wang等提出AI素养自评量表，Hornberger等开发客观知识测试[26‑27]。表达层面的研究则提醒，模型可能对保持任务含义的格式变化敏感，也可能在特定英语社会方言实验中表现出偏见[28‑29]。然而，提示格式、社会方言与AI信息素养属于不同对象。上述证据不能直接推出中文口语表达者能力较低，或本项目用户已经受到同样的不利影响。</w:t>
      </w:r>
    </w:p>
    <w:p>
      <w:pPr>
        <w:pStyle w:val="Heading3"/>
      </w:pPr>
      <w:r>
        <w:t>1.2.2 主动澄清与用户收益研究</w:t>
      </w:r>
    </w:p>
    <w:p>
      <w:r>
        <w:t>主动澄清研究从识别歧义、生成问题逐步发展到选择交互策略。国内高校与海外机构合作完成的CLAMBER建立了歧义识别与澄清评测基准；ASK探索依据查询状态选择澄清方式，MAC考察多智能体协调澄清对任务执行的作用[19‑21]。这些工作说明技术具有可实现性，但模型或模拟用户上的改进，不能替代不同素养真实用户的受益比较。</w:t>
      </w:r>
    </w:p>
    <w:p>
      <w:r>
        <w:t>真实用户研究使这一问题更具体。Bickmore等发现对话式界面可在特定健康检索任务中改善信息获取；Zou等发现澄清问题质量及其出现顺序会影响搜索表现与满意度[22‑24]。因此，不能笼统声称已有研究缺少真实用户实验，也不能把增加追问等同于改善服务。现有成果为研究提供了依据，同时留下一个需要结合具体情境检验的问题：不同AI信息素养大学生能否有效理解并利用同样的澄清支持。</w:t>
      </w:r>
    </w:p>
    <w:p>
      <w:pPr>
        <w:pStyle w:val="Heading2"/>
      </w:pPr>
      <w:r>
        <w:t>1.3 研究目标与可能贡献</w:t>
      </w:r>
    </w:p>
    <w:p>
      <w:r>
        <w:t>本报告将问题限定在18—25岁在读专科生和本科生的信息任务，围绕整体任务质量、不同素养用户的收益分布及交互成本展开。其可能贡献包括：把最终决策和取得决策所付出的负担共同纳入公平评价；把对话过程记录与客观任务选择连接起来；依据具体交互困难设计可选择、可撤回的支持方式。上述贡献属于评价与设计层面的探索，不以开发原创算法或证明干预必然有效为前提，也不宣称填补整个研究领域的空白。</w:t>
      </w:r>
    </w:p>
    <w:p>
      <w:pPr>
        <w:pStyle w:val="Heading1"/>
      </w:pPr>
      <w:r>
        <w:t>第二章 研究设计</w:t>
      </w:r>
    </w:p>
    <w:p>
      <w:pPr>
        <w:pStyle w:val="Heading2"/>
      </w:pPr>
      <w:r>
        <w:t>2.1 核心概念与分析框架</w:t>
      </w:r>
    </w:p>
    <w:p>
      <w:r>
        <w:t>本研究所称AI信息素养，是用户在借助生成式AI完成信息任务时，理解工具功能与局限、表达需求、核验和评价结果、利用反馈形成判断的综合能力。这是面向本项目的操作性定义，具体测验仍需验证。语言表达方式则指用词、句式、组织及完整程度等可观察特征；年龄、当前在读阶段和任务熟悉程度是另行测量的背景变量，不用于将学生预判为某种素养水平。几者可能关联，但不能彼此替代。介绍已有论文时，保留作者原用的“人工智能素养”等概念，不擅自改写其测量对象。</w:t>
      </w:r>
    </w:p>
    <w:p>
      <w:r>
        <w:t>分析框架借鉴第二层数字鸿沟对接入后技能差异的关注[30]，将用户特征、交互机制、过程表现和任务结果联系起来。公平评价既看不同用户是否获得必要帮助，也看他们能否在合理负担下形成正确决策。群体分差是可操作指标之一，并不单独构成现实歧视的证明；所有群体都表现较差时，差距较小也不能说明服务优良。</w:t>
      </w:r>
    </w:p>
    <w:p>
      <w:pPr>
        <w:keepNext/>
        <w:ind w:firstLine="0"/>
        <w:jc w:val="center"/>
      </w:pPr>
      <w:r>
        <w:drawing>
          <wp:inline xmlns:a="http://schemas.openxmlformats.org/drawingml/2006/main" xmlns:pic="http://schemas.openxmlformats.org/drawingml/2006/picture">
            <wp:extent cx="5760720" cy="1859280"/>
            <wp:docPr id="1" name="Picture 1"/>
            <wp:cNvGraphicFramePr>
              <a:graphicFrameLocks noChangeAspect="1"/>
            </wp:cNvGraphicFramePr>
            <a:graphic>
              <a:graphicData uri="http://schemas.openxmlformats.org/drawingml/2006/picture">
                <pic:pic>
                  <pic:nvPicPr>
                    <pic:cNvPr id="0" name="framework.png"/>
                    <pic:cNvPicPr/>
                  </pic:nvPicPr>
                  <pic:blipFill>
                    <a:blip r:embed="rId10"/>
                    <a:stretch>
                      <a:fillRect/>
                    </a:stretch>
                  </pic:blipFill>
                  <pic:spPr>
                    <a:xfrm>
                      <a:off x="0" y="0"/>
                      <a:ext cx="5760720" cy="1859280"/>
                    </a:xfrm>
                    <a:prstGeom prst="rect"/>
                  </pic:spPr>
                </pic:pic>
              </a:graphicData>
            </a:graphic>
          </wp:inline>
        </w:drawing>
      </w:r>
    </w:p>
    <w:p>
      <w:pPr>
        <w:pStyle w:val="Caption"/>
        <w:ind w:firstLine="0"/>
        <w:jc w:val="center"/>
      </w:pPr>
      <w:r>
        <w:t>图1 研究分析框架 箭头表示拟考察的关系</w:t>
      </w:r>
    </w:p>
    <w:p>
      <w:pPr>
        <w:pStyle w:val="Heading2"/>
      </w:pPr>
      <w:r>
        <w:t>2.2 材料调查与后续用户实验</w:t>
      </w:r>
    </w:p>
    <w:p>
      <w:pPr>
        <w:pStyle w:val="Heading3"/>
      </w:pPr>
      <w:r>
        <w:t>2.2.1 已完成材料调查的范围</w:t>
      </w:r>
    </w:p>
    <w:p>
      <w:r>
        <w:t>本阶段实际开展文献调查与实验工具审查。文献以期刊、会议、作者机构及官方发布资料为依据，核对研究对象、交互条件、测量方式和结论边界。工具审查覆盖研究设计说明、候选问卷、任务材料、评分规则及记录导出逻辑，比较早期语言风格设想与现行素养测量方案。相关工具材料汇列于文献[31]。分析单位是研究及工具材料，不能据此报告受访者人口分布、问卷回收率或干预效应。第三章呈现这一阶段可以核实的现状与问题。</w:t>
      </w:r>
    </w:p>
    <w:p>
      <w:pPr>
        <w:pStyle w:val="Heading3"/>
      </w:pPr>
      <w:r>
        <w:t>2.2.2 两种交互条件与任务流程</w:t>
      </w:r>
    </w:p>
    <w:p>
      <w:r>
        <w:t>后续用户实验采用两组被试间设计。两组均由参与者自行发起对话，使用相同模型及参数、公共基础提示、任务资料、历史消息以及时间和轮次限制。普通问答组不附加主动澄清要求；主动澄清组在对话开始前额外加入一段系统提示，要求模型仅在缺少会改变判断的关键事实时主动询问，取得事实后继续回答原问题。澄清属于模型在提示词引导下的对话行为。真实模型实验不通过独立澄清模块替代模型回复；离线规则演示与真实实验分开记录。每人本轮只接触一种条件，避免同一任务反复练习。素养在实验前测量，交互条件在相近基线和相同任务内平衡随机分配，不能把素养水平解释为随机处理。</w:t>
      </w:r>
    </w:p>
    <w:p>
      <w:r>
        <w:t>平台流程为研究说明与自愿同意、资格确认、背景记录、30题客观前测、资料查证对话、最终决策和体验反馈。参与者须确认年龄为18—25岁且当前在读专科或本科；年龄按18—20、21—23和24—25岁记录，学习阶段仅设在读专科、在读本科。上述信息由本人声明，网页校验不能替代在读身份的真实性核验。三年龄区间使用同一问卷、同一校园任务及评分规则，旧跨年龄版本单独归档。样本规模应依据预测试得到的变异、预定交互效应和退出情况确定，招募覆盖不同学科及使用经验，便利招募的结果限于实际样本解释。访谈从不同素养与表现组合中选取个案，兼顾顺利完成和遇到困难的经历。</w:t>
      </w:r>
    </w:p>
    <w:p>
      <w:pPr>
        <w:pStyle w:val="Heading2"/>
      </w:pPr>
      <w:r>
        <w:t>2.3 测量记录与质量控制</w:t>
      </w:r>
    </w:p>
    <w:p>
      <w:r>
        <w:t>任务结果以预先冻结的参加方案和办理方案计分，分别最高80分与20分，合计0—100分。分数反映本任务的决策质量，不等同成功率、知识水平或现实办事收益。主要分析比较条件差异及“连续素养得分与交互条件”的交互作用，同时报告效应区间、任务情境、退出和缺失情况。过程分析保留关键事实是否补齐、无效回应、资料使用、澄清次数及任务耗时；满意度与主观负担另行测量，不能相互代替。</w:t>
      </w:r>
    </w:p>
    <w:p>
      <w:r>
        <w:t>质量控制包括认知试访、题项审查、任务试做、评分复核、版本冻结和分析方案预先确定。低分、短句或口语表达均不是剔除理由。当前平台按会话记录，正式收集还需建立不收集直接身份的重复参与控制。缺失结果保持缺失，原始资料与后续编码分开保存。对话涉及远程模型时，须在同意流程说明处理范围；访谈录音另行征求同意，退出不影响学业评价。学校伦理要求和个人信息保护安排应在招募前落实[9,11]，不能以网页勾选替代实际研究责任。</w:t>
      </w:r>
    </w:p>
    <w:p>
      <w:pPr>
        <w:pStyle w:val="Heading1"/>
      </w:pPr>
      <w:r>
        <w:t>第三章 现状分析</w:t>
      </w:r>
    </w:p>
    <w:p>
      <w:pPr>
        <w:pStyle w:val="Heading2"/>
      </w:pPr>
      <w:r>
        <w:t>3.1 调查材料特征与研究基础</w:t>
      </w:r>
    </w:p>
    <w:p>
      <w:r>
        <w:t>本阶段材料具有三个特征。第一，用户研究主要来自高等教育和信息检索情境，能够支撑大学生范围内的问题提出；不同学校、年份与测量工具的结果不能拼成一个统一样本。第二，技术研究包括模型基准、任务数据和真实用户实验，不同证据回答的问题不同。第三，项目材料既包含已实现的记录功能，也包含候选量表及拟验证策略，功能存在不等于实际效果已经成立。明确这些差别，才能避免用看似完整的流程替代真实调查。</w:t>
      </w:r>
    </w:p>
    <w:p>
      <w:r>
        <w:t>官方调查为问题提供宏观背景。《全民数字素养与技能发展水平调查报告（2024）》讨论数字获取、评价等能力及其分布，但其成年人范围、抽样和评价标尺与本项目不同[3]。CNNIC资料能够说明生成式AI应用扩大，却不能证明大学生的任务质量已随之提高。宏观统计、已有高校研究与项目实验应各自保留适用范围：前者解释研究必要性，中者提供理论和测量参考，后者才可能回答本项目的具体交互效应。</w:t>
      </w:r>
    </w:p>
    <w:p>
      <w:r>
        <w:t>当前平台采用大学生专用设计版本university-v1，统一30题候选问卷版本为student-literacy-v1-30。三个年龄区间仅用于背景记录和分层，使用相同题干、选项及计分。任务统一采用虚构校园共创活动，案例申请人陈禾为21岁在读本科生。按每周可到场次数和此前是否获本项目名额组合为四种个案情境，模型初始只获得公共背景与资料，两项私事实由参与者掌握。问卷和任务仍须经过认知访谈、内容审查及真实用户预测试，现有材料不构成测量有效性的证明。</w:t>
      </w:r>
    </w:p>
    <w:p>
      <w:r>
        <w:t>后台展示批次student-126-20261022-v2共126条大学生模拟记录，三个年龄段各42条，两组各63条。前测答案与决策先生成再独立分组；人工模板预设澄清组两轮各问一个关键事实后给5张线索，普通组主动补齐事实后给3张。线索差是展示假设，非实测效应。未调用模型，任务时点为模拟值，前测耗时与实测延迟为空；过程提醒据答案及对话派生，不自动排除。数据仅验证展示、评分、导出，不作真实效应分析。旧跨年龄库、600条来源和V1在服务器外私有归档，不重标为大学生样本。</w:t>
      </w:r>
    </w:p>
    <w:p>
      <w:pPr>
        <w:pStyle w:val="Heading2"/>
      </w:pPr>
      <w:r>
        <w:t>3.2 用户能力与服务评价的主要问题</w:t>
      </w:r>
    </w:p>
    <w:p>
      <w:pPr>
        <w:pStyle w:val="Heading3"/>
      </w:pPr>
      <w:r>
        <w:t>3.2.1 频繁使用难以代表有效利用</w:t>
      </w:r>
    </w:p>
    <w:p>
      <w:r>
        <w:t>大学生拥有工具入口后，能否辨认适用范围、提出必要问题及检验结论，仍需分别观察。国内主客观结合的测量研究说明，自评与客观表现的关系随维度而异；跨高校研究也表明生成式AI素养并非单一操作熟练度[12,15]。因此，报告不能把“每天使用”直接解释为高素养，也不能因为用户不会某种术语，就判断其缺乏信息判断能力。频率反映接触机会，任务测验反映限定情境中的表现，两者共同使用才更有解释力。</w:t>
      </w:r>
    </w:p>
    <w:p>
      <w:r>
        <w:t>项目候选前测采用材料判断题，能够把抽象自评转为具体选择，但也可能同时受到阅读速度、领域熟悉程度和题目措辞影响。若题干中术语较多，得分差异可能反映阅读负担；若活动规则过于接近某类学生经验，则可能反映经验优势。故前测的作用应是提供待验证的基线测量，不能依据预设高、中、低标签对个人作全面评价。保留逐题答案，比只导出总分更有助于发现这些问题。</w:t>
      </w:r>
    </w:p>
    <w:p>
      <w:pPr>
        <w:pStyle w:val="Heading3"/>
      </w:pPr>
      <w:r>
        <w:t>3.2.2 统一追问不等于同等支持</w:t>
      </w:r>
    </w:p>
    <w:p>
      <w:r>
        <w:t>技术系统通常以补足信息为目标，但信息被问到、被理解和被有效补充是不同环节。若用户只知道“我以前好像报过”，系统直接要求确认历史资格，用户可能仍不知道如何查证；若系统把模糊回答当作确定事实，则追问虽已发生，决策依据却未改善。已有真实用户研究证明澄清质量与出现顺序会影响体验[23‑24]，为检查这些具体环节提供了依据，而非证明本项目已经出现相同现象。</w:t>
      </w:r>
    </w:p>
    <w:p>
      <w:r>
        <w:t>现有平台把会改变任务结论的个案事实设为澄清对象，例如每周可到场次数、是否曾获项目名额；公共规则来自冻结的资料卡。这使必要条件较易核验，但仍需要人工检查系统是否重复询问已知事实、是否询问与判断无关的信息，以及用户回答后能否正确更新判断。只统计澄清次数，会把有效提问、重复提问和无效修复混在一起，无法说明支持是否真正到位。</w:t>
      </w:r>
    </w:p>
    <w:p>
      <w:pPr>
        <w:pStyle w:val="Heading3"/>
      </w:pPr>
      <w:r>
        <w:t>3.2.3 总体成绩容易遮蔽收益分布</w:t>
      </w:r>
    </w:p>
    <w:p>
      <w:r>
        <w:t>主动澄清的价值常被概括为“平均得分更高”或“完成率提高”。但平均值会受样本结构影响，也无法回答进步主要来自哪些用户。假如不同素养用户都得到帮助，但高分者获益更多，整体成绩和群体差距可能同时上升；如果低分者因负担增加而退出，只比较完成者又可能高估效果。这里列出的是评价中应防范的情形，并非已经观察到的统计结果。</w:t>
      </w:r>
    </w:p>
    <w:p>
      <w:r>
        <w:t>周雪涵等区分使用态度、行为和能力发展预期，提醒不同指标不能互相替代；吴丹、孙昕玦的工具包研究也强调多维评价[16‑17]。落实到本项目，应分别列出决策质量、可办理性、是否最优、退出与耗时，而不把它们压缩为含义不明的“综合提升”。AI满意度较高也可能与过度信任并存，必须结合是否核查关键事实来解释。</w:t>
      </w:r>
    </w:p>
    <w:p>
      <w:pPr>
        <w:pStyle w:val="Heading3"/>
      </w:pPr>
      <w:r>
        <w:t>3.2.4 工具可运行与测量有效存在距离</w:t>
      </w:r>
    </w:p>
    <w:p>
      <w:r>
        <w:t>平台通过冻结问卷、任务、评分及提示词，能够避免修改新材料时覆盖历史记录，也使最终选择与原始对话可以连接。这为复核提供了条件。统一题卷避免了当前三个年龄区间使用不同试卷的直接混算，但不能据此认定题项对不同学生背景均具有同等测量性质；参加方案80分与办理方案20分的权重也需要内容依据。某条件出现较高分数时，应首先检查任务难度、评分上限及情境平衡，不能直接宣布系统更加公平。</w:t>
      </w:r>
    </w:p>
    <w:p>
      <w:r>
        <w:t>计时同样存在解释边界。现行任务总时长从前测后建立任务会话至首次成功提交，包含阅读、AI等待、中途停留和反馈；它不是纯操作时长。平台尚未记录问卷作答起点，不能补造前测时长。若两组使用不同模型配置，响应等待也可能影响总耗时。把时间拆解并记录服务延迟，才能判断额外负担主要来自思考、理解还是技术等待。</w:t>
      </w:r>
    </w:p>
    <w:p>
      <w:pPr>
        <w:pStyle w:val="Heading2"/>
      </w:pPr>
      <w:r>
        <w:t>3.3 核心矛盾及其社会含义</w:t>
      </w:r>
    </w:p>
    <w:p>
      <w:r>
        <w:t>从政策、资源、用户和技术四个层面看，核心矛盾可以归纳为：政策要求普惠受益，而服务评价容易停留在平均性能；校园资源能够提供统一入口，但学生既有经验和获得指导的机会并不一致；用户希望自然表达需求，系统却可能把完整界定问题的责任留给用户；技术能够主动询问，但询问是否必要、是否容易回答仍需评价。这些矛盾相互作用，使信息公平不能只靠开放同一个聊天窗口实现[6‑8,10]。</w:t>
      </w:r>
    </w:p>
    <w:p>
      <w:pPr>
        <w:pStyle w:val="Caption"/>
        <w:keepNext/>
        <w:ind w:firstLine="0"/>
        <w:jc w:val="center"/>
      </w:pPr>
      <w:r>
        <w:t>表1 核心问题与改进方向对应表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600"/>
        <w:gridCol w:w="3888"/>
      </w:tblGrid>
      <w:tr>
        <w:trPr>
          <w:tblHeader/>
          <w:cantSplit/>
        </w:trPr>
        <w:tc>
          <w:tcPr>
            <w:tcW w:type="dxa" w:w="1728"/>
            <w:vAlign w:val="center"/>
            <w:tcMar>
              <w:top w:w="90" w:type="dxa"/>
              <w:bottom w:w="90" w:type="dxa"/>
              <w:left w:w="100" w:type="dxa"/>
              <w:right w:w="100" w:type="dxa"/>
            </w:tcMar>
            <w:shd w:fill="EEEEEE"/>
          </w:tcPr>
          <w:p>
            <w:pPr>
              <w:spacing w:after="0" w:line="288" w:lineRule="auto"/>
              <w:ind w:firstLine="0"/>
              <w:jc w:val="center"/>
            </w:pPr>
            <w:r>
              <w:rPr>
                <w:b/>
                <w:sz w:val="21"/>
              </w:rPr>
              <w:t>核心问题</w:t>
            </w:r>
          </w:p>
        </w:tc>
        <w:tc>
          <w:tcPr>
            <w:tcW w:type="dxa" w:w="3600"/>
            <w:vAlign w:val="center"/>
            <w:tcMar>
              <w:top w:w="90" w:type="dxa"/>
              <w:bottom w:w="90" w:type="dxa"/>
              <w:left w:w="100" w:type="dxa"/>
              <w:right w:w="100" w:type="dxa"/>
            </w:tcMar>
            <w:shd w:fill="EEEEEE"/>
          </w:tcPr>
          <w:p>
            <w:pPr>
              <w:spacing w:after="0" w:line="288" w:lineRule="auto"/>
              <w:ind w:firstLine="0"/>
            </w:pPr>
            <w:r>
              <w:rPr>
                <w:b/>
                <w:sz w:val="21"/>
              </w:rPr>
              <w:t>当前可核查依据</w:t>
            </w:r>
          </w:p>
        </w:tc>
        <w:tc>
          <w:tcPr>
            <w:tcW w:type="dxa" w:w="3888"/>
            <w:vAlign w:val="center"/>
            <w:tcMar>
              <w:top w:w="90" w:type="dxa"/>
              <w:bottom w:w="90" w:type="dxa"/>
              <w:left w:w="100" w:type="dxa"/>
              <w:right w:w="100" w:type="dxa"/>
            </w:tcMar>
            <w:shd w:fill="EEEEEE"/>
          </w:tcPr>
          <w:p>
            <w:pPr>
              <w:spacing w:after="0" w:line="288" w:lineRule="auto"/>
              <w:ind w:firstLine="0"/>
            </w:pPr>
            <w:r>
              <w:rPr>
                <w:b/>
                <w:sz w:val="21"/>
              </w:rPr>
              <w:t>改进与后续验收重点</w:t>
            </w:r>
          </w:p>
        </w:tc>
      </w:tr>
      <w:tr>
        <w:trPr>
          <w:cantSplit/>
        </w:trPr>
        <w:tc>
          <w:tcPr>
            <w:tcW w:type="dxa" w:w="1728"/>
            <w:vAlign w:val="center"/>
            <w:tcMar>
              <w:top w:w="90" w:type="dxa"/>
              <w:bottom w:w="90" w:type="dxa"/>
              <w:left w:w="100" w:type="dxa"/>
              <w:right w:w="100" w:type="dxa"/>
            </w:tcMar>
          </w:tcPr>
          <w:p>
            <w:pPr>
              <w:spacing w:after="0" w:line="288" w:lineRule="auto"/>
              <w:ind w:firstLine="0"/>
              <w:jc w:val="center"/>
            </w:pPr>
            <w:r>
              <w:rPr>
                <w:b w:val="0"/>
                <w:sz w:val="21"/>
              </w:rPr>
              <w:t>能力判断过简</w:t>
            </w:r>
          </w:p>
        </w:tc>
        <w:tc>
          <w:tcPr>
            <w:tcW w:type="dxa" w:w="3600"/>
            <w:vAlign w:val="center"/>
            <w:tcMar>
              <w:top w:w="90" w:type="dxa"/>
              <w:bottom w:w="90" w:type="dxa"/>
              <w:left w:w="100" w:type="dxa"/>
              <w:right w:w="100" w:type="dxa"/>
            </w:tcMar>
          </w:tcPr>
          <w:p>
            <w:pPr>
              <w:spacing w:after="0" w:line="288" w:lineRule="auto"/>
              <w:ind w:firstLine="0"/>
            </w:pPr>
            <w:r>
              <w:rPr>
                <w:b w:val="0"/>
                <w:sz w:val="21"/>
              </w:rPr>
              <w:t>自评、频率、客观测验测量对象不同</w:t>
            </w:r>
          </w:p>
        </w:tc>
        <w:tc>
          <w:tcPr>
            <w:tcW w:type="dxa" w:w="3888"/>
            <w:vAlign w:val="center"/>
            <w:tcMar>
              <w:top w:w="90" w:type="dxa"/>
              <w:bottom w:w="90" w:type="dxa"/>
              <w:left w:w="100" w:type="dxa"/>
              <w:right w:w="100" w:type="dxa"/>
            </w:tcMar>
          </w:tcPr>
          <w:p>
            <w:pPr>
              <w:spacing w:after="0" w:line="288" w:lineRule="auto"/>
              <w:ind w:firstLine="0"/>
            </w:pPr>
            <w:r>
              <w:rPr>
                <w:b w:val="0"/>
                <w:sz w:val="21"/>
              </w:rPr>
              <w:t>分别记录能力与经验，验证候选题项</w:t>
            </w:r>
          </w:p>
        </w:tc>
      </w:tr>
      <w:tr>
        <w:trPr>
          <w:cantSplit/>
        </w:trPr>
        <w:tc>
          <w:tcPr>
            <w:tcW w:type="dxa" w:w="1728"/>
            <w:vAlign w:val="center"/>
            <w:tcMar>
              <w:top w:w="90" w:type="dxa"/>
              <w:bottom w:w="90" w:type="dxa"/>
              <w:left w:w="100" w:type="dxa"/>
              <w:right w:w="100" w:type="dxa"/>
            </w:tcMar>
          </w:tcPr>
          <w:p>
            <w:pPr>
              <w:spacing w:after="0" w:line="288" w:lineRule="auto"/>
              <w:ind w:firstLine="0"/>
              <w:jc w:val="center"/>
            </w:pPr>
            <w:r>
              <w:rPr>
                <w:b w:val="0"/>
                <w:sz w:val="21"/>
              </w:rPr>
              <w:t>追问质量不明</w:t>
            </w:r>
          </w:p>
        </w:tc>
        <w:tc>
          <w:tcPr>
            <w:tcW w:type="dxa" w:w="3600"/>
            <w:vAlign w:val="center"/>
            <w:tcMar>
              <w:top w:w="90" w:type="dxa"/>
              <w:bottom w:w="90" w:type="dxa"/>
              <w:left w:w="100" w:type="dxa"/>
              <w:right w:w="100" w:type="dxa"/>
            </w:tcMar>
          </w:tcPr>
          <w:p>
            <w:pPr>
              <w:spacing w:after="0" w:line="288" w:lineRule="auto"/>
              <w:ind w:firstLine="0"/>
            </w:pPr>
            <w:r>
              <w:rPr>
                <w:b w:val="0"/>
                <w:sz w:val="21"/>
              </w:rPr>
              <w:t>澄清次数无法区分必要追问与重复追问</w:t>
            </w:r>
          </w:p>
        </w:tc>
        <w:tc>
          <w:tcPr>
            <w:tcW w:type="dxa" w:w="3888"/>
            <w:vAlign w:val="center"/>
            <w:tcMar>
              <w:top w:w="90" w:type="dxa"/>
              <w:bottom w:w="90" w:type="dxa"/>
              <w:left w:w="100" w:type="dxa"/>
              <w:right w:w="100" w:type="dxa"/>
            </w:tcMar>
          </w:tcPr>
          <w:p>
            <w:pPr>
              <w:spacing w:after="0" w:line="288" w:lineRule="auto"/>
              <w:ind w:firstLine="0"/>
            </w:pPr>
            <w:r>
              <w:rPr>
                <w:b w:val="0"/>
                <w:sz w:val="21"/>
              </w:rPr>
              <w:t>核查缺失事实，编码必要性与修复结果</w:t>
            </w:r>
          </w:p>
        </w:tc>
      </w:tr>
      <w:tr>
        <w:trPr>
          <w:cantSplit/>
        </w:trPr>
        <w:tc>
          <w:tcPr>
            <w:tcW w:type="dxa" w:w="1728"/>
            <w:vAlign w:val="center"/>
            <w:tcMar>
              <w:top w:w="90" w:type="dxa"/>
              <w:bottom w:w="90" w:type="dxa"/>
              <w:left w:w="100" w:type="dxa"/>
              <w:right w:w="100" w:type="dxa"/>
            </w:tcMar>
          </w:tcPr>
          <w:p>
            <w:pPr>
              <w:spacing w:after="0" w:line="288" w:lineRule="auto"/>
              <w:ind w:firstLine="0"/>
              <w:jc w:val="center"/>
            </w:pPr>
            <w:r>
              <w:rPr>
                <w:b w:val="0"/>
                <w:sz w:val="21"/>
              </w:rPr>
              <w:t>平均值遮蔽差异</w:t>
            </w:r>
          </w:p>
        </w:tc>
        <w:tc>
          <w:tcPr>
            <w:tcW w:type="dxa" w:w="3600"/>
            <w:vAlign w:val="center"/>
            <w:tcMar>
              <w:top w:w="90" w:type="dxa"/>
              <w:bottom w:w="90" w:type="dxa"/>
              <w:left w:w="100" w:type="dxa"/>
              <w:right w:w="100" w:type="dxa"/>
            </w:tcMar>
          </w:tcPr>
          <w:p>
            <w:pPr>
              <w:spacing w:after="0" w:line="288" w:lineRule="auto"/>
              <w:ind w:firstLine="0"/>
            </w:pPr>
            <w:r>
              <w:rPr>
                <w:b w:val="0"/>
                <w:sz w:val="21"/>
              </w:rPr>
              <w:t>总体效果不能单独表示收益分布</w:t>
            </w:r>
          </w:p>
        </w:tc>
        <w:tc>
          <w:tcPr>
            <w:tcW w:type="dxa" w:w="3888"/>
            <w:vAlign w:val="center"/>
            <w:tcMar>
              <w:top w:w="90" w:type="dxa"/>
              <w:bottom w:w="90" w:type="dxa"/>
              <w:left w:w="100" w:type="dxa"/>
              <w:right w:w="100" w:type="dxa"/>
            </w:tcMar>
          </w:tcPr>
          <w:p>
            <w:pPr>
              <w:spacing w:after="0" w:line="288" w:lineRule="auto"/>
              <w:ind w:firstLine="0"/>
            </w:pPr>
            <w:r>
              <w:rPr>
                <w:b w:val="0"/>
                <w:sz w:val="21"/>
              </w:rPr>
              <w:t>分析素养交互，同时报告退出及成本</w:t>
            </w:r>
          </w:p>
        </w:tc>
      </w:tr>
      <w:tr>
        <w:trPr>
          <w:cantSplit/>
        </w:trPr>
        <w:tc>
          <w:tcPr>
            <w:tcW w:type="dxa" w:w="1728"/>
            <w:vAlign w:val="center"/>
            <w:tcMar>
              <w:top w:w="90" w:type="dxa"/>
              <w:bottom w:w="90" w:type="dxa"/>
              <w:left w:w="100" w:type="dxa"/>
              <w:right w:w="100" w:type="dxa"/>
            </w:tcMar>
          </w:tcPr>
          <w:p>
            <w:pPr>
              <w:spacing w:after="0" w:line="288" w:lineRule="auto"/>
              <w:ind w:firstLine="0"/>
              <w:jc w:val="center"/>
            </w:pPr>
            <w:r>
              <w:rPr>
                <w:b w:val="0"/>
                <w:sz w:val="21"/>
              </w:rPr>
              <w:t>测量与记录受限</w:t>
            </w:r>
          </w:p>
        </w:tc>
        <w:tc>
          <w:tcPr>
            <w:tcW w:type="dxa" w:w="3600"/>
            <w:vAlign w:val="center"/>
            <w:tcMar>
              <w:top w:w="90" w:type="dxa"/>
              <w:bottom w:w="90" w:type="dxa"/>
              <w:left w:w="100" w:type="dxa"/>
              <w:right w:w="100" w:type="dxa"/>
            </w:tcMar>
          </w:tcPr>
          <w:p>
            <w:pPr>
              <w:spacing w:after="0" w:line="288" w:lineRule="auto"/>
              <w:ind w:firstLine="0"/>
            </w:pPr>
            <w:r>
              <w:rPr>
                <w:b w:val="0"/>
                <w:sz w:val="21"/>
              </w:rPr>
              <w:t>学生题项适用性、评分权重及会话去重尚需验证</w:t>
            </w:r>
          </w:p>
        </w:tc>
        <w:tc>
          <w:tcPr>
            <w:tcW w:type="dxa" w:w="3888"/>
            <w:vAlign w:val="center"/>
            <w:tcMar>
              <w:top w:w="90" w:type="dxa"/>
              <w:bottom w:w="90" w:type="dxa"/>
              <w:left w:w="100" w:type="dxa"/>
              <w:right w:w="100" w:type="dxa"/>
            </w:tcMar>
          </w:tcPr>
          <w:p>
            <w:pPr>
              <w:spacing w:after="0" w:line="288" w:lineRule="auto"/>
              <w:ind w:firstLine="0"/>
            </w:pPr>
            <w:r>
              <w:rPr>
                <w:b w:val="0"/>
                <w:sz w:val="21"/>
              </w:rPr>
              <w:t>固定单一适用方案，独立样本复验</w:t>
            </w:r>
          </w:p>
        </w:tc>
      </w:tr>
    </w:tbl>
    <w:p>
      <w:pPr>
        <w:spacing w:after="120"/>
        <w:ind w:firstLine="0"/>
      </w:pPr>
      <w:r>
        <w:rPr>
          <w:sz w:val="20"/>
        </w:rPr>
        <w:t>资料来源：所引文献及LENS Lab研究设计与工具材料审查。表内为问题归纳与验证要求。</w:t>
      </w:r>
    </w:p>
    <w:p>
      <w:r>
        <w:t>资源成本也应纳入分析。每一次追问都消耗用户时间和系统服务资源；对已经清楚的条件重复确认，既可能降低效率，也可能使用户放弃继续核查。反之，为节约轮次而过早给出确定结论，又可能增加错误决策成本。因此，评价目标应是以必要且可理解的交互帮助完成任务，而非追求最少轮次或最多解释。对学习与日常信息服务而言，这一目标能够把技术指标转化为可讨论的服务质量标准。</w:t>
      </w:r>
    </w:p>
    <w:p>
      <w:r>
        <w:t>上述材料分析提出了后续调查必须回答的实质问题：大学生在哪些澄清环节遇到困难，困难是否与AI信息素养相关，额外帮助能否降低这些障碍，以及收益是否足以补偿增加的成本。现有资料支持提出这些问题，也支持建立相应记录和评价工具；尚不足以确定某一群体已经受损，或某种支持能够稳定缩小差距。机制分析据此讨论可检验解释，对策部分再逐项回应。</w:t>
      </w:r>
    </w:p>
    <w:p>
      <w:pPr>
        <w:pStyle w:val="Heading1"/>
      </w:pPr>
      <w:r>
        <w:t>第四章 机制分析</w:t>
      </w:r>
    </w:p>
    <w:p>
      <w:pPr>
        <w:pStyle w:val="Heading2"/>
      </w:pPr>
      <w:r>
        <w:t>4.1 影响因素</w:t>
      </w:r>
    </w:p>
    <w:p>
      <w:r>
        <w:t>大学生面对同一条澄清问题，可能经历不同的信息处理过程。有的学生能够迅速判断系统需要哪项事实，有的学生则需要先理解术语、回忆个人情况，再决定如何回应。AI信息素养可能影响这些环节，但阅读能力、任务经验与界面呈现同样重要。因此，群体得分差异只能提示解释方向，不能直接证明某个环节已经构成障碍。</w:t>
      </w:r>
    </w:p>
    <w:p>
      <w:r>
        <w:t>任务信息的缺失程度决定澄清有没有必要。例如，在校园共创活动情境中，用户问“应选哪种登记类别”，尚未交代此前是否获得过本项目名额，系统需要补充这一事实；如果用户已经说明相同条件，再次追问则不增加判断依据。口语、短句和省略表达不能自动等同于信息不足，完整而正式的问句也可能遗漏关键条件。判断依据应是任务事实，而非表达外观。</w:t>
      </w:r>
    </w:p>
    <w:p>
      <w:r>
        <w:t>澄清问题的结构影响用户能否回应。“请说明适用条件”需要用户自行识别所指范围；“你此前获得过本项目的活动名额吗”则将信息要求落到具体事实。前者可能同时考验规则理解和任务知识，后者的回答负担相对集中。若两组用户面对不同复杂度的问题，观察到的差异便可能来自问题设计，不能全部归因于用户素养。</w:t>
      </w:r>
    </w:p>
    <w:p>
      <w:r>
        <w:t>信任与核验习惯也可能改变澄清收益。用户即使补充了正确事实，仍可能直接接受随后出现的错误解释；另一位用户则可能要求出处、指出矛盾并修正结论。由此，回复次数相同不代表信息处理深度相同。对话分析需要同时关注是否提供证据、是否提出质疑及质疑是否得到处理，避免把交流积极程度直接等同于决策能力。</w:t>
      </w:r>
    </w:p>
    <w:p>
      <w:r>
        <w:t>模型与环境因素构成另一组解释条件。资料路由错误、规则版本不同、回复等待过长，都可能降低任务表现；手机输入、网络中断与中途停留也会增加记录时长。任务熟悉程度还可能使部分学生在较少对话下完成决策。只有固定资料和评分版本，并结合日志识别这些因素，才能避免将系统故障或场景经验误记为素养差异。</w:t>
      </w:r>
    </w:p>
    <w:p>
      <w:pPr>
        <w:pStyle w:val="Heading2"/>
      </w:pPr>
      <w:r>
        <w:t>4.2 作用机制</w:t>
      </w:r>
    </w:p>
    <w:p>
      <w:r>
        <w:t>本研究将可能的作用路径概括为“理解追问—补充事实—评价反馈—作出决策”。主动澄清首先改变用户接收到的信息要求，随后可能改变用户提供的事实及系统回应，最终才可能反映到决策质量。该路径是一项待检验的分析框架，不表示四个环节已经获得因果验证。任何一环中断，都可能使看似必要的澄清无法转化为有效帮助。</w:t>
      </w:r>
    </w:p>
    <w:p>
      <w:pPr>
        <w:keepNext/>
        <w:ind w:firstLine="0"/>
        <w:jc w:val="center"/>
      </w:pPr>
      <w:r>
        <w:drawing>
          <wp:inline xmlns:a="http://schemas.openxmlformats.org/drawingml/2006/main" xmlns:pic="http://schemas.openxmlformats.org/drawingml/2006/picture">
            <wp:extent cx="5760720" cy="1463040"/>
            <wp:docPr id="2" name="Picture 2"/>
            <wp:cNvGraphicFramePr>
              <a:graphicFrameLocks noChangeAspect="1"/>
            </wp:cNvGraphicFramePr>
            <a:graphic>
              <a:graphicData uri="http://schemas.openxmlformats.org/drawingml/2006/picture">
                <pic:pic>
                  <pic:nvPicPr>
                    <pic:cNvPr id="0" name="mechanism.png"/>
                    <pic:cNvPicPr/>
                  </pic:nvPicPr>
                  <pic:blipFill>
                    <a:blip r:embed="rId11"/>
                    <a:stretch>
                      <a:fillRect/>
                    </a:stretch>
                  </pic:blipFill>
                  <pic:spPr>
                    <a:xfrm>
                      <a:off x="0" y="0"/>
                      <a:ext cx="5760720" cy="1463040"/>
                    </a:xfrm>
                    <a:prstGeom prst="rect"/>
                  </pic:spPr>
                </pic:pic>
              </a:graphicData>
            </a:graphic>
          </wp:inline>
        </w:drawing>
      </w:r>
    </w:p>
    <w:p>
      <w:pPr>
        <w:pStyle w:val="Caption"/>
        <w:ind w:firstLine="0"/>
        <w:jc w:val="center"/>
      </w:pPr>
      <w:r>
        <w:t>图2 主动澄清的拟检验作用路径</w:t>
      </w:r>
    </w:p>
    <w:p>
      <w:r>
        <w:t>在理解追问环节，用户需要知道系统在问什么，以及该事实为什么与任务有关。例如，询问“你的安排是否满足现场要求”可能引出“应该可以”等含混回答；明确询问“每周最多能到场几次”，才容易获得可核对的信息。可检验的过程指标包括请求解释的次数、首次回应是否对应所问事实，以及改述后能否得到清晰回应。</w:t>
      </w:r>
    </w:p>
    <w:p>
      <w:r>
        <w:t>在补充事实环节，用户理解了问题，也未必能够提供完整信息。系统一次询问多个条件时，用户可能只回答其中一项；事实不确定时，也可能用猜测填补空白。因此，事实覆盖率应区分明确提供、明确未知和仍未回应三种状态。“不知道”有时是合理回答，不能直接编码为低素养；系统能否保留不确定性同样属于交互质量。</w:t>
      </w:r>
    </w:p>
    <w:p>
      <w:r>
        <w:t>在评价反馈环节，新增事实必须被系统正确使用。若用户说明只能到场一次，系统却仍推荐要求多次到场的方案，继续增加用户回应并不能解决问题。此时应核查事实是否被识别、规则是否正确匹配、解释是否与结论一致。用户指出错误后能否完成修正，可作为反馈闭环的观察指标，并与最初事实缺失造成的困难分别记录。</w:t>
      </w:r>
    </w:p>
    <w:p>
      <w:r>
        <w:t>在决策环节，用户需要将零散资料转化为行动选择。正确识别报名资格，并不意味着已经掌握截止时间、提交渠道与材料要求。因此，最终得分宜保留分项含义，并将决策依据与此前获得的资料相对照。若用户取得了关键资料却仍选错，可能涉及理解或整合困难；若资料从未提供，则需要先检查系统的信息支持。</w:t>
      </w:r>
    </w:p>
    <w:p>
      <w:r>
        <w:t>差异化受益可能沿上述路径逐步累积：善于识别条件、补充事实和评价反馈的学生，可能更容易把追问转化为有效资料；其他学生则可能在较早环节耗费更多轮次。不过，额外轮次也可能体现认真核验，而非交互失败。判断机制应结合每轮的信息增量、后续纠错与决策结果，不能仅以对话长短判定支持是否有效。</w:t>
      </w:r>
    </w:p>
    <w:p>
      <w:r>
        <w:t>总体均分提高与群体差距扩大在逻辑上可以同时发生。例如，两类学生都从澄清中受益，但其中一类收益更大，群体差距便可能扩大；也可能只有一类改善，另一类因负担增加而下降。这两种情形对应不同问题，不能合并为“澄清不公平”。需要分别考察各群体的条件差异、退出情况与成本，才能判断差距变化的实际含义。均值之外还须报告不确定区间，避免夸大小样本的偶然波动。</w:t>
      </w:r>
    </w:p>
    <w:p>
      <w:pPr>
        <w:pStyle w:val="Heading2"/>
      </w:pPr>
      <w:r>
        <w:t>4.3 理论对话</w:t>
      </w:r>
    </w:p>
    <w:p>
      <w:r>
        <w:t>数字鸿沟研究提示，获得技术接入以后，使用技能及利用方式仍可能形成差异[30]。本研究将这一视角具体化到澄清过程：相同功能被开放给所有学生，并不保证每位学生都能有效回应和使用反馈。但素养分组只是测量上的分析工具，不能作为固定身份标签；课程学习、任务经验与支持方式变化，都可能改变同一用户的表现。</w:t>
      </w:r>
    </w:p>
    <w:p>
      <w:r>
        <w:t>CLAMBER、ASK与MAC等研究为识别歧义、选择澄清策略和组织多轮交互提供了技术参照[19‑21]。本研究关注这些支持到达真实用户之后的转化条件：问题被正确生成，还需要被理解；相关事实被获得，还需要被正确解释。系统基准表现与大学生的实际收益属于不同证据层次，因此模型任务成功率不能直接替代真实用户的公平性评价。</w:t>
      </w:r>
    </w:p>
    <w:p>
      <w:r>
        <w:t>真实用户研究则提醒，交互方式和问题质量需要放在具体任务中评价。Bickmore等的对话式检索研究并非主动澄清实验，其健康素养也不能直接等同于AI信息素养[22]；澄清问题质量研究可以支持关注实际用户反应，却不能保证每种追问都有收益[23]。两类证据共同要求把技术能力、用户理解与任务结果连接起来，避免跨场景直接套用结论。</w:t>
      </w:r>
    </w:p>
    <w:p>
      <w:r>
        <w:t>低负担自适应澄清与支持机制据此将支持重点放在可观察的交互障碍上：用户已经理解时保持简洁；出现不明所问、遗漏回应或重复无效回答时，提供改述、简短说明或回答辅助。其理论主张是减少信息转化过程中的阻碍，而不是依据低分持续增加追问。适时澄清与用户自主完成任务之间的平衡[25]，应通过必要事实的获得、有效修正、决策质量和交互成本共同判断。</w:t>
      </w:r>
    </w:p>
    <w:p>
      <w:pPr>
        <w:pStyle w:val="Heading1"/>
      </w:pPr>
      <w:r>
        <w:t>第五章 对策建议</w:t>
      </w:r>
    </w:p>
    <w:p>
      <w:pPr>
        <w:pStyle w:val="Heading2"/>
      </w:pPr>
      <w:r>
        <w:t>5.1 建立同时关注效果与受益分布的评价制度</w:t>
      </w:r>
    </w:p>
    <w:p>
      <w:r>
        <w:t>针对只看总体成绩的问题，建议高校教学支持部门、图书馆及校园信息服务团队，在AI工具试点中同步报告任务质量和用户负担。每次评估先明确目标任务、适用人群、资料范围和版本，再给出整体结果、预定基线水平下的条件差异、退出及耗时。比较应采用共同任务和相同规则，样本不足时说明不确定性，避免据零散个案给学生贴能力标签。这样可把普惠目标落实到可核查的服务记录，而不是仅以访问量或好评率验收[5‑7]。</w:t>
      </w:r>
    </w:p>
    <w:p>
      <w:r>
        <w:t>评价组织应把“少问一句”和“多解释一句”作为可权衡的设计选择。对缺少关键事实的情况，检查追问是否有助于减少决策错误；对信息完整的情况，检查系统是否增加重复确认。公开结果宜提供指标定义、样本纳入流程和适用边界，允许教师与学生代表理解和讨论。对涉及重要个人事项的服务，应保留人工核验与转介入口，避免把AI建议直接变成学校正式办理结论。</w:t>
      </w:r>
    </w:p>
    <w:p>
      <w:r>
        <w:t>实施可分三步推进：短期先在一个清楚、低风险的校园任务中完成材料审查与预测试；中期采用真实用户记录评估两种交互条件，修正题目和流程；后期在新的任务或新参与者中复验，再决定是否扩展。每阶段的通过标准应在收集结果前确定。未达到标准时保留问题记录并修订，不以展示效果代替有效性证据，也不为满足预期而改动原始评分。</w:t>
      </w:r>
    </w:p>
    <w:p>
      <w:pPr>
        <w:pStyle w:val="Heading2"/>
      </w:pPr>
      <w:r>
        <w:t>5.2 设计低负担自适应澄清与支持机制</w:t>
      </w:r>
    </w:p>
    <w:p>
      <w:pPr>
        <w:pStyle w:val="Heading3"/>
      </w:pPr>
      <w:r>
        <w:t>5.2.1 先判断缺失事实是否影响结论</w:t>
      </w:r>
    </w:p>
    <w:p>
      <w:r>
        <w:t>针对重复和无关追问，提出面向AI信息素养差异的低负担自适应澄清与支持机制，英文为Literacy-Sensitive Adaptive Clarification and Support，简称LSACS。机制先对照任务规则检查哪些事实已经明确，只有缺失事实可能改变建议时才追问。问句应直接说明要确认什么，必要时用一句话解释用途；对已知事实保持记忆，对资料未覆盖事项说明边界，不以自信语气填补未知信息[25]。</w:t>
      </w:r>
    </w:p>
    <w:p>
      <w:pPr>
        <w:pStyle w:val="Heading3"/>
      </w:pPr>
      <w:r>
        <w:t>5.2.2 根据可观察困难提供可选帮助</w:t>
      </w:r>
    </w:p>
    <w:p>
      <w:r>
        <w:t>针对理解和回应困难，前测仅作为初始支持参考，不直接决定追问数量，更不推断个人阅读能力。用户未回答所需信息时，系统先检查自身问题是否含糊，再提供简短解释、例子或选项，同时保留自由输入、“不确定”和“不愿回答”。例如，询问每周能参加几次，可补充“指能够到场的次数，不是你希望参加的次数”，而不把问题改成带有正确答案暗示的提示。</w:t>
      </w:r>
    </w:p>
    <w:p>
      <w:r>
        <w:t>帮助应由实际交互状态触发。连续两次未补齐同一关键事实时，可提示用户选择查看解释或暂缓判断；用户已顺利回答时，直接进入相应资料与结论。这里的两次是可预测试的候选触发规则，正式阈值须经试做确定。支持过程中保留用户纠正系统理解的机会，防止错误状态不断累积。机制关注的是当前障碍，而不是把某一次低分变成永久、不可更改的用户标签。</w:t>
      </w:r>
    </w:p>
    <w:p>
      <w:pPr>
        <w:pStyle w:val="Heading3"/>
      </w:pPr>
      <w:r>
        <w:t>5.2.3 限制负担并保证组间可比</w:t>
      </w:r>
    </w:p>
    <w:p>
      <w:r>
        <w:t>针对解释过长和追问过多，应设置每个关键事实的修复次数、总轮次及允许用户停止的规则。达到限制仍无法确认时，提供有条件的说明和后续核验路径，不强迫用户作答。简洁模式和详细模式应允许自主切换。评价时分别记录解释调用、无效回应、澄清必要性和主观负担，判断支持是否减少障碍，不能把解释次数本身当作成功。</w:t>
      </w:r>
    </w:p>
    <w:p>
      <w:r>
        <w:t>当前平台支持普通问答与主动澄清的比较，LSACS属于在此基础上的拟验证方案。验证应比较统一澄清与低负担支持，保持资料、任务信息和评分不变，防止支持条件额外透露得分线索。规则调整依据开发阶段记录，最终效果在独立任务或新样本检验。若只改善平均成绩、未缓解低收益用户的障碍，应如实报告；若负担降低而决策准确性下降，也不能宣布干预成功。</w:t>
      </w:r>
    </w:p>
    <w:p>
      <w:pPr>
        <w:pStyle w:val="Heading2"/>
      </w:pPr>
      <w:r>
        <w:t>5.3 形成高校协同支持与持续改进路径</w:t>
      </w:r>
    </w:p>
    <w:p>
      <w:r>
        <w:t>针对指导资源不均，建议由图书馆、课程教师及学生志愿团队开展围绕真实任务的小型训练。内容聚焦区分事实与建议、补充关键条件、核对依据和识别无法判断的情形，减少孤立提示词模板训练。训练可使用同一份活动规则，比较不同提问如何影响资料获取，再请学生解释最终选择的依据。通过观察学生是否能够迁移到新任务，评价训练价值，避免以记住某段提示词为目标[14,18]。</w:t>
      </w:r>
    </w:p>
    <w:p>
      <w:r>
        <w:t>试点成本应按材料编制、指导工时、模型调用及维护分别核算；在未取得真实记录前，不给出节约比例或投入产出倍数。已有校园空间与设备可以作为实施条件，但志愿者时间也应计入成本。数据由授权研究成员管理，外部展示只使用去识别的必要片段，对话中出现姓名、学号或其他私人信息时先作处理。研究联系渠道、保存期限和删除方式须让参与者易于理解[8‑9,11]。</w:t>
      </w:r>
    </w:p>
    <w:p>
      <w:r>
        <w:t>这一路径的理论启示是，把支持视为需要用户理解并使用的资源。公平不能只由资源分发是否一致判断，也需要观察使用条件是否可达、受益是否均衡以及额外负担由谁承担。对高校而言，系统改进与素养教育可以协同推进：前者减少不必要的交互门槛，后者增强学生独立核验和决策的能力。两者的作用及边界仍应分别测量，以便确定何种困难适合通过产品设计解决，何种困难需要教育与人工服务支持。</w:t>
      </w:r>
    </w:p>
    <w:p>
      <w:pPr>
        <w:pStyle w:val="Heading1"/>
      </w:pPr>
      <w:r>
        <w:t>第六章 结论与展望</w:t>
      </w:r>
    </w:p>
    <w:p>
      <w:pPr>
        <w:pStyle w:val="Heading2"/>
      </w:pPr>
      <w:r>
        <w:t>6.1 主要结论</w:t>
      </w:r>
    </w:p>
    <w:p>
      <w:r>
        <w:t>本报告围绕18—25岁在读专科生和本科生使用生成式AI完成信息任务，结合文献调查与实验工具审查，形成三项阶段性认识。第一，AI信息素养、语言表达方式和任务经验应分别界定与测量。已有研究提供了能力与交互差异的依据，尚不能以口语、年龄或使用频率代替实际能力判断。第二，主动澄清的价值取决于关键事实是否被有效补充，以及用户能否理解并利用反馈，追问数量和平均成绩均不足以概括服务质量。第三，信息公平评价需要同时观察任务质量、收益分布、澄清必要性和交互成本，并检验任务评分及比较条件是否合理。</w:t>
      </w:r>
    </w:p>
    <w:p>
      <w:r>
        <w:t>平台建设使问卷、对话、资料、情境和最终选择能够相互连接，为后续用户研究提供记录基础。报告据此提出LSACS，将关键条件检查、可观察困难触发、可选支持和负担限制结合起来。它是针对材料分析所识别风险的设计方案，现阶段不能视为已获验证的公平性改进。整体任务表现提高与群体差距扩大可以同时出现，但本项目是否存在这一关系，仍须由真实独立样本及完整原始记录回答。</w:t>
      </w:r>
    </w:p>
    <w:p>
      <w:pPr>
        <w:pStyle w:val="Heading2"/>
      </w:pPr>
      <w:r>
        <w:t>6.2 研究局限</w:t>
      </w:r>
    </w:p>
    <w:p>
      <w:r>
        <w:t>本阶段主要证据来自文献和研究工具，尚未形成可核验的真实用户效应估计，不能报告调查回收率、显著性、访谈频次或推广成效。候选测验与任务权重仍需验证，阅读能力、学科及任务熟悉程度可能影响解释。现行按会话记录的方式还需完善重复参与控制。文献中的高校、传统检索及模拟用户结果存在情境差别，不能直接外推为我国18—25岁在读专科生和本科生的普遍情况，更不能外推至研究生、其他年龄或非在读人群。</w:t>
      </w:r>
    </w:p>
    <w:p>
      <w:pPr>
        <w:pStyle w:val="Heading2"/>
      </w:pPr>
      <w:r>
        <w:t>6.3 后续研究方向</w:t>
      </w:r>
    </w:p>
    <w:p>
      <w:r>
        <w:t>后续优先在大学生范围内完成认知试访、候选题项修订和小规模真实用户预测试，先确认测量与流程，再开展正式比较。分析应预先规定主要指标、交互效应、退出处理和敏感性检验，结合对话与访谈查找具体障碍。LSACS需在新的参与者或任务中验证，同时考察准确性、负担与群体受益；只有证据充分且适用条件清楚后，再讨论向更多校园服务情境扩展。</w:t>
      </w:r>
    </w:p>
    <w:p>
      <w:pPr>
        <w:pStyle w:val="Heading1"/>
      </w:pPr>
      <w:r>
        <w:t>参考文献</w:t>
      </w:r>
    </w:p>
    <w:p>
      <w:pPr>
        <w:keepLines/>
        <w:spacing w:line="300" w:lineRule="auto" w:after="120"/>
        <w:ind w:hanging="400" w:left="400"/>
      </w:pPr>
      <w:r>
        <w:rPr>
          <w:sz w:val="21"/>
        </w:rPr>
        <w:t>[1] 中国互联网络信息中心政策与国际合作所. 生成式人工智能应用发展报告（2026）[R/OL]. 2026[2026‑10‑22]. https://www.cnnic.net.cn/n4/2026/1008/c88-11704.html.</w:t>
      </w:r>
    </w:p>
    <w:p>
      <w:pPr>
        <w:keepLines/>
        <w:spacing w:line="300" w:lineRule="auto" w:after="120"/>
        <w:ind w:hanging="400" w:left="400"/>
      </w:pPr>
      <w:r>
        <w:rPr>
          <w:sz w:val="21"/>
        </w:rPr>
        <w:t>[2] 中国互联网络信息中心. 第57次中国互联网络发展状况统计报告[R/OL]. 2026-02-05[2026‑10‑22]. https://www.cnnic.net.cn/n4/2026/0304/c88-11549.html.</w:t>
      </w:r>
    </w:p>
    <w:p>
      <w:pPr>
        <w:keepLines/>
        <w:spacing w:line="300" w:lineRule="auto" w:after="120"/>
        <w:ind w:hanging="400" w:left="400"/>
      </w:pPr>
      <w:r>
        <w:rPr>
          <w:sz w:val="21"/>
        </w:rPr>
        <w:t>[3] 全民数字素养与技能发展水平调查研究组. 全民数字素养与技能发展水平调查报告（2024）[R/OL]. 2024-10-25[2026‑10‑22]. https://www.cac.gov.cn/2024-10/25/c_1731546599579826.htm.</w:t>
      </w:r>
    </w:p>
    <w:p>
      <w:pPr>
        <w:keepLines/>
        <w:spacing w:line="300" w:lineRule="auto" w:after="120"/>
        <w:ind w:hanging="400" w:left="400"/>
      </w:pPr>
      <w:r>
        <w:rPr>
          <w:sz w:val="21"/>
        </w:rPr>
        <w:t>[4] 中央网络安全和信息化委员会. 提升全民数字素养与技能行动纲要[EB/OL]. 2021-11-05[2026‑10‑22]. https://www.cac.gov.cn/2021-11/05/c_1637708867754305.htm.</w:t>
      </w:r>
    </w:p>
    <w:p>
      <w:pPr>
        <w:keepLines/>
        <w:spacing w:line="300" w:lineRule="auto" w:after="120"/>
        <w:ind w:hanging="400" w:left="400"/>
      </w:pPr>
      <w:r>
        <w:rPr>
          <w:sz w:val="21"/>
        </w:rPr>
        <w:t>[5] 中央网信办, 教育部, 工业和信息化部, 等. 2026年提升全民数字素养与技能工作要点[EB/OL]. 2026-05-29[2026‑10‑22]. https://www.cac.gov.cn/2026-05/29/c_1781795842171477.htm.</w:t>
      </w:r>
    </w:p>
    <w:p>
      <w:pPr>
        <w:keepLines/>
        <w:spacing w:line="300" w:lineRule="auto" w:after="120"/>
        <w:ind w:hanging="400" w:left="400"/>
      </w:pPr>
      <w:r>
        <w:rPr>
          <w:sz w:val="21"/>
        </w:rPr>
        <w:t>[6] 教育部等九部门. 关于加快推进教育数字化的意见[EB/OL]. 2025-04-15[2026‑10‑22]. https://hudong.moe.gov.cn/srcsite/A01/s7048/202504/t20250416_1187476.html.</w:t>
      </w:r>
    </w:p>
    <w:p>
      <w:pPr>
        <w:keepLines/>
        <w:spacing w:line="300" w:lineRule="auto" w:after="120"/>
        <w:ind w:hanging="400" w:left="400"/>
      </w:pPr>
      <w:r>
        <w:rPr>
          <w:sz w:val="21"/>
        </w:rPr>
        <w:t>[7] 国务院. 关于深入实施‘人工智能+’行动的意见[EB/OL]. 2025-08-21[2026‑10‑22]. https://www.miit.gov.cn/xwfb/szyw/art/2025/art_f8bd63905b384841a84e643c1b9455c7.html.</w:t>
      </w:r>
    </w:p>
    <w:p>
      <w:pPr>
        <w:keepLines/>
        <w:spacing w:line="300" w:lineRule="auto" w:after="120"/>
        <w:ind w:hanging="400" w:left="400"/>
      </w:pPr>
      <w:r>
        <w:rPr>
          <w:sz w:val="21"/>
        </w:rPr>
        <w:t>[8] 国家互联网信息办公室等七部门. 生成式人工智能服务管理暂行办法[EB/OL]. 2023-07-13[2026‑10‑22]. https://www.miit.gov.cn/zcfg/qtl/art/2023/art_f4e8f71ae1dc43b0980b962907b7738f.html.</w:t>
      </w:r>
    </w:p>
    <w:p>
      <w:pPr>
        <w:keepLines/>
        <w:spacing w:line="300" w:lineRule="auto" w:after="120"/>
        <w:ind w:hanging="400" w:left="400"/>
      </w:pPr>
      <w:r>
        <w:rPr>
          <w:sz w:val="21"/>
        </w:rPr>
        <w:t>[9] 国家新一代人工智能治理专业委员会. 新一代人工智能伦理规范[EB/OL]. 2021-09-25[2026‑10‑22]. https://www.most.gov.cn/kjbgz/202109/t20210926_177063.html.</w:t>
      </w:r>
    </w:p>
    <w:p>
      <w:pPr>
        <w:keepLines/>
        <w:spacing w:line="300" w:lineRule="auto" w:after="120"/>
        <w:ind w:hanging="400" w:left="400"/>
      </w:pPr>
      <w:r>
        <w:rPr>
          <w:sz w:val="21"/>
        </w:rPr>
        <w:t>[10] 中共中央, 国务院. 数字中国建设整体布局规划[EB/OL]. 2023-02-27[2026‑10‑22]. https://www.gov.cn/zhengce/2023-02/27/content_5743484.htm.</w:t>
      </w:r>
    </w:p>
    <w:p>
      <w:pPr>
        <w:keepLines/>
        <w:spacing w:line="300" w:lineRule="auto" w:after="120"/>
        <w:ind w:hanging="400" w:left="400"/>
      </w:pPr>
      <w:r>
        <w:rPr>
          <w:sz w:val="21"/>
        </w:rPr>
        <w:t>[11] 全国人民代表大会常务委员会. 中华人民共和国个人信息保护法[Z/OL]. 2021-08-20[2026‑10‑22]. https://gzca.miit.gov.cn/zwgk/zcwj/zcfg/art/2021/art_98dffb76ef944db68c10194618c72559.html.</w:t>
      </w:r>
    </w:p>
    <w:p>
      <w:pPr>
        <w:keepLines/>
        <w:spacing w:line="300" w:lineRule="auto" w:after="120"/>
        <w:ind w:hanging="400" w:left="400"/>
      </w:pPr>
      <w:r>
        <w:rPr>
          <w:sz w:val="21"/>
        </w:rPr>
        <w:t>[12] 马莉萍, 纳尔江·阿海, 潘奕晨. 中国大学生人工智能素养测评工具的开发与应用[J]. 高等教育研究, 2025, 46(12): 77-89. https://high.cbpt.cnki.net/portal/journal/portal/client/paper/1a136f70bc9aa2b67b368598a95ae3b9.</w:t>
      </w:r>
    </w:p>
    <w:p>
      <w:pPr>
        <w:keepLines/>
        <w:spacing w:line="300" w:lineRule="auto" w:after="120"/>
        <w:ind w:hanging="400" w:left="400"/>
      </w:pPr>
      <w:r>
        <w:rPr>
          <w:sz w:val="21"/>
        </w:rPr>
        <w:t>[13] 郑翔睿, 周雪涵, 马莉萍. 顶尖高校本科生人工智能素养水平及群体差异——基于客观测评的实证研究[J]. 复旦教育论坛, 2025, 23(4): 38-48. https://doi.org/10.13397/j.cnki.fef.2025.04.011.</w:t>
      </w:r>
    </w:p>
    <w:p>
      <w:pPr>
        <w:keepLines/>
        <w:spacing w:line="300" w:lineRule="auto" w:after="120"/>
        <w:ind w:hanging="400" w:left="400"/>
      </w:pPr>
      <w:r>
        <w:rPr>
          <w:sz w:val="21"/>
        </w:rPr>
        <w:t>[14] 何珊云, 沈演. 学会提问：大学生与生成式人工智能协同学习模式的研究[J]. 华东师范大学学报（教育科学版）, 2025, 43(2): 34-48. https://doi.org/10.16382/j.cnki.1000-5560.2025.02.004.</w:t>
      </w:r>
    </w:p>
    <w:p>
      <w:pPr>
        <w:keepLines/>
        <w:spacing w:line="300" w:lineRule="auto" w:after="120"/>
        <w:ind w:hanging="400" w:left="400"/>
      </w:pPr>
      <w:r>
        <w:rPr>
          <w:sz w:val="21"/>
        </w:rPr>
        <w:t>[15] 李锐, 梁瑜倩, 杜盼盼, 等. 不同类型高校学生生成式人工智能素养发展差异研究[J]. 开放教育研究, 2025, 31(4): 85-96. https://doi.org/10.13966/j.cnki.kfjyyj.2025.04.009.</w:t>
      </w:r>
    </w:p>
    <w:p>
      <w:pPr>
        <w:keepLines/>
        <w:spacing w:line="300" w:lineRule="auto" w:after="120"/>
        <w:ind w:hanging="400" w:left="400"/>
      </w:pPr>
      <w:r>
        <w:rPr>
          <w:sz w:val="21"/>
        </w:rPr>
        <w:t>[16] 周雪涵, 马莉萍, 郑翔睿. ‘态度—行为—能力’框架下的大学生生成式人工智能使用研究：特征、差异与关联分析[J]. 中国电化教育, 2026(5): 57-66. https://zdjy.cbpt.cnki.net/portal/journal/portal/client/paper/35250de390a3003e448d664c70c25478.</w:t>
      </w:r>
    </w:p>
    <w:p>
      <w:pPr>
        <w:keepLines/>
        <w:spacing w:line="300" w:lineRule="auto" w:after="120"/>
        <w:ind w:hanging="400" w:left="400"/>
      </w:pPr>
      <w:r>
        <w:rPr>
          <w:sz w:val="21"/>
        </w:rPr>
        <w:t>[17] 吴丹, 孙昕玦. 面向高校师生的人工智能素养一体化测评工具包构建研究[J]. 中国图书馆学报, 2026, 52(4): 104-129. https://www.jlis.cn/jtlsc/ch/reader/view_abstract.aspx?file_no=20260406&amp;flag=1&amp;journal_id=jtlsc.</w:t>
      </w:r>
    </w:p>
    <w:p>
      <w:pPr>
        <w:keepLines/>
        <w:spacing w:line="300" w:lineRule="auto" w:after="120"/>
        <w:ind w:hanging="400" w:left="400"/>
      </w:pPr>
      <w:r>
        <w:rPr>
          <w:sz w:val="21"/>
        </w:rPr>
        <w:t>[18] 李艳, 许洁, 贾程媛, 等. 大学生生成式人工智能应用现状与思考——基于浙江大学的调查[J]. 开放教育研究, 2024, 30(1): 89-98. https://doi.org/10.13966/j.cnki.kfjyyj.2024.01.010.</w:t>
      </w:r>
    </w:p>
    <w:p>
      <w:pPr>
        <w:keepLines/>
        <w:spacing w:line="300" w:lineRule="auto" w:after="120"/>
        <w:ind w:hanging="400" w:left="400"/>
      </w:pPr>
      <w:r>
        <w:rPr>
          <w:sz w:val="21"/>
        </w:rPr>
        <w:t>[19] ZHANG T, QIN P, DENG Y, et al. CLAMBER: A benchmark of identifying and clarifying ambiguous information needs in large language models[C]//Proceedings of the 62nd Annual Meeting of the Association for Computational Linguistics: Volume 1, Long Papers. Bangkok: Association for Computational Linguistics, 2024: 10746-10766. https://doi.org/10.18653/v1/2024.acl-long.578.</w:t>
      </w:r>
    </w:p>
    <w:p>
      <w:pPr>
        <w:keepLines/>
        <w:spacing w:line="300" w:lineRule="auto" w:after="120"/>
        <w:ind w:hanging="400" w:left="400"/>
      </w:pPr>
      <w:r>
        <w:rPr>
          <w:sz w:val="21"/>
        </w:rPr>
        <w:t>[20] SAHAY R, TEKUMALLA L S, AGGARWAL P, et al. ASK: Aspects and retrieval based hybrid clarification in task oriented dialogue systems[C]//Proceedings of the 63rd Annual Meeting of the Association for Computational Linguistics: Volume 6, Industry Track. Vienna: Association for Computational Linguistics, 2025: 881-895. https://doi.org/10.18653/v1/2025.acl-industry.63.</w:t>
      </w:r>
    </w:p>
    <w:p>
      <w:pPr>
        <w:keepLines/>
        <w:spacing w:line="300" w:lineRule="auto" w:after="120"/>
        <w:ind w:hanging="400" w:left="400"/>
      </w:pPr>
      <w:r>
        <w:rPr>
          <w:sz w:val="21"/>
        </w:rPr>
        <w:t>[21] ACIKGOZ E C, OH J, JEON J H, et al. MAC: A multi-agent framework for interactive user clarification in multi-turn conversations[C]//Proceedings of the 16th International Workshop on Spoken Dialogue System Technology. Trento: Association for Computational Linguistics, 2026: 1-17. https://aclanthology.org/2026.iwsds-1.1/.</w:t>
      </w:r>
    </w:p>
    <w:p>
      <w:pPr>
        <w:keepLines/>
        <w:spacing w:line="300" w:lineRule="auto" w:after="120"/>
        <w:ind w:hanging="400" w:left="400"/>
      </w:pPr>
      <w:r>
        <w:rPr>
          <w:sz w:val="21"/>
        </w:rPr>
        <w:t>[22] BICKMORE T W, UTAMI D, MATSUYAMA R, et al. Improving access to online health information with conversational agents: A randomized controlled experiment[J]. Journal of Medical Internet Research, 2016, 18(1): e1. https://doi.org/10.2196/jmir.5239.</w:t>
      </w:r>
    </w:p>
    <w:p>
      <w:pPr>
        <w:keepLines/>
        <w:spacing w:line="300" w:lineRule="auto" w:after="120"/>
        <w:ind w:hanging="400" w:left="400"/>
      </w:pPr>
      <w:r>
        <w:rPr>
          <w:sz w:val="21"/>
        </w:rPr>
        <w:t>[23] ZOU J, ALIANNEJADI M, KANOULAS E, et al. Users meet clarifying questions: Toward a better understanding of user interactions for search clarification[J]. ACM Transactions on Information Systems, 2023, 41(1): 16:1-16:25. https://doi.org/10.1145/3524110.</w:t>
      </w:r>
    </w:p>
    <w:p>
      <w:pPr>
        <w:keepLines/>
        <w:spacing w:line="300" w:lineRule="auto" w:after="120"/>
        <w:ind w:hanging="400" w:left="400"/>
      </w:pPr>
      <w:r>
        <w:rPr>
          <w:sz w:val="21"/>
        </w:rPr>
        <w:t>[24] ZOU J, SUN A, LONG C, et al. Asking clarifying questions: To benefit or to disturb users in Web search?[J]. Information Processing &amp; Management, 2023, 60(2): 103176. https://doi.org/10.1016/j.ipm.2022.103176.</w:t>
      </w:r>
    </w:p>
    <w:p>
      <w:pPr>
        <w:keepLines/>
        <w:spacing w:line="300" w:lineRule="auto" w:after="120"/>
        <w:ind w:hanging="400" w:left="400"/>
      </w:pPr>
      <w:r>
        <w:rPr>
          <w:sz w:val="21"/>
        </w:rPr>
        <w:t>[25] ZHANG M J Q, CHOI E. Clarify when necessary: Resolving ambiguity through interaction with LMs[C]//Findings of the Association for Computational Linguistics: NAACL 2025. Albuquerque: Association for Computational Linguistics, 2025: 5541-5558. https://doi.org/10.18653/v1/2025.findings-naacl.306.</w:t>
      </w:r>
    </w:p>
    <w:p>
      <w:pPr>
        <w:keepLines/>
        <w:spacing w:line="300" w:lineRule="auto" w:after="120"/>
        <w:ind w:hanging="400" w:left="400"/>
      </w:pPr>
      <w:r>
        <w:rPr>
          <w:sz w:val="21"/>
        </w:rPr>
        <w:t>[26] WANG B, RAU P L P, YUAN T. Measuring user competence in using artificial intelligence: Validity and reliability of artificial intelligence literacy scale[J]. Behaviour &amp; Information Technology, 2023, 42(9): 1324-1337. https://doi.org/10.1080/0144929X.2022.2072768.</w:t>
      </w:r>
    </w:p>
    <w:p>
      <w:pPr>
        <w:keepLines/>
        <w:spacing w:line="300" w:lineRule="auto" w:after="120"/>
        <w:ind w:hanging="400" w:left="400"/>
      </w:pPr>
      <w:r>
        <w:rPr>
          <w:sz w:val="21"/>
        </w:rPr>
        <w:t>[27] HORNBERGER M, BEWERSDORFF A, NERDEL C. What do university students know about Artificial Intelligence? Development and validation of an AI literacy test[J]. Computers and Education: Artificial Intelligence, 2023, 5: 100165. https://doi.org/10.1016/j.caeai.2023.100165.</w:t>
      </w:r>
    </w:p>
    <w:p>
      <w:pPr>
        <w:keepLines/>
        <w:spacing w:line="300" w:lineRule="auto" w:after="120"/>
        <w:ind w:hanging="400" w:left="400"/>
      </w:pPr>
      <w:r>
        <w:rPr>
          <w:sz w:val="21"/>
        </w:rPr>
        <w:t>[28] SCLAR M, CHOI Y, TSVETKOV Y, et al. Quantifying language models' sensitivity to spurious features in prompt design or: How I learned to start worrying about prompt formatting[C]//The Twelfth International Conference on Learning Representations. 2024. https://proceedings.iclr.cc/paper_files/paper/2024/file/6c0e99d736da621403018ca7b32b1a4d-Paper-Conference.pdf.</w:t>
      </w:r>
    </w:p>
    <w:p>
      <w:pPr>
        <w:keepLines/>
        <w:spacing w:line="300" w:lineRule="auto" w:after="120"/>
        <w:ind w:hanging="400" w:left="400"/>
      </w:pPr>
      <w:r>
        <w:rPr>
          <w:sz w:val="21"/>
        </w:rPr>
        <w:t>[29] HOFMANN V, KALLURI P R, JURAFSKY D, et al. AI generates covertly racist decisions about people based on their dialect[J]. Nature, 2024, 633: 147-154. https://doi.org/10.1038/s41586-024-07856-5.</w:t>
      </w:r>
    </w:p>
    <w:p>
      <w:pPr>
        <w:keepLines/>
        <w:spacing w:line="300" w:lineRule="auto" w:after="120"/>
        <w:ind w:hanging="400" w:left="400"/>
      </w:pPr>
      <w:r>
        <w:rPr>
          <w:sz w:val="21"/>
        </w:rPr>
        <w:t>[30] HARGITTAI E. Second-level digital divide: Differences in people's online skills[J]. First Monday, 2002, 7(4). https://doi.org/10.5210/fm.v7i4.942.</w:t>
      </w:r>
    </w:p>
    <w:p>
      <w:pPr>
        <w:keepLines/>
        <w:spacing w:line="300" w:lineRule="auto" w:after="120"/>
        <w:ind w:hanging="400" w:left="400"/>
      </w:pPr>
      <w:r>
        <w:rPr>
          <w:sz w:val="21"/>
        </w:rPr>
        <w:t>[31] 课题组. LENS Lab研究设计与记录说明及候选问卷任务材料[Z]. 项目内部研究材料, 2026（2026-10-22查阅）.</w:t>
      </w:r>
    </w:p>
    <w:p>
      <w:pPr>
        <w:pStyle w:val="Heading1"/>
        <w:pageBreakBefore/>
      </w:pPr>
      <w:r>
        <w:t>附录 后续调查与编码工具</w:t>
      </w:r>
    </w:p>
    <w:p>
      <w:pPr>
        <w:pStyle w:val="Heading2"/>
      </w:pPr>
      <w:r>
        <w:rPr>
          <w:sz w:val="24"/>
        </w:rPr>
        <w:t>附录A 大学生AI使用与交互体验调查问卷</w:t>
      </w:r>
    </w:p>
    <w:p>
      <w:pPr>
        <w:keepLines/>
        <w:spacing w:line="360" w:lineRule="exact" w:after="100"/>
        <w:ind w:firstLine="440"/>
      </w:pPr>
      <w:r>
        <w:rPr>
          <w:sz w:val="22"/>
        </w:rPr>
        <w:t>本问卷为后续调查工具草案，仅面向18—25岁在读专科生和本科生，不纳入研究生、已毕业或休学后不具备当前在读身份者，不是已经验证的量表，也不替代平台30道客观前测题。采用匿名编号，不填写姓名、学号、电话。除筛选题外，均可跳过不愿回答的问题；正式使用前须通过认知访谈检查题意。</w:t>
      </w:r>
    </w:p>
    <w:p>
      <w:pPr>
        <w:keepLines/>
        <w:spacing w:line="360" w:lineRule="exact" w:after="100"/>
        <w:ind w:firstLine="0"/>
      </w:pPr>
      <w:r>
        <w:rPr>
          <w:sz w:val="22"/>
        </w:rPr>
        <w:t>A1 您是否为18—25岁且当前在读专科或本科？①是；②否。选择否者结束本问卷。</w:t>
      </w:r>
    </w:p>
    <w:p>
      <w:pPr>
        <w:keepLines/>
        <w:spacing w:line="360" w:lineRule="exact" w:after="100"/>
        <w:ind w:firstLine="0"/>
      </w:pPr>
      <w:r>
        <w:rPr>
          <w:sz w:val="22"/>
        </w:rPr>
        <w:t>A2 年龄：①18—20岁；②21—23岁；③24—25岁；④不符合范围或不愿确认。选择④者结束本问卷。</w:t>
      </w:r>
    </w:p>
    <w:p>
      <w:pPr>
        <w:keepLines/>
        <w:spacing w:line="360" w:lineRule="exact" w:after="100"/>
        <w:ind w:firstLine="0"/>
      </w:pPr>
      <w:r>
        <w:rPr>
          <w:sz w:val="22"/>
        </w:rPr>
        <w:t>A3 当前在读阶段：①在读专科；②在读本科；③不符合范围或不愿确认。选择③者结束本问卷。</w:t>
      </w:r>
    </w:p>
    <w:p>
      <w:pPr>
        <w:keepLines/>
        <w:spacing w:line="360" w:lineRule="exact" w:after="100"/>
        <w:ind w:firstLine="0"/>
      </w:pPr>
      <w:r>
        <w:rPr>
          <w:sz w:val="22"/>
        </w:rPr>
        <w:t>A4 学科类别：①人文社会科学；②理工农医；③艺术体育；④其他；⑤不愿回答。</w:t>
      </w:r>
    </w:p>
    <w:p>
      <w:pPr>
        <w:keepLines/>
        <w:spacing w:line="360" w:lineRule="exact" w:after="100"/>
        <w:ind w:firstLine="0"/>
      </w:pPr>
      <w:r>
        <w:rPr>
          <w:sz w:val="22"/>
        </w:rPr>
        <w:t>A5 近一个月使用生成式AI的天数：①0天；②1—3天；③4—9天；④10—19天；⑤20天及以上。0天者跳至A9。</w:t>
      </w:r>
    </w:p>
    <w:p>
      <w:pPr>
        <w:keepLines/>
        <w:spacing w:line="360" w:lineRule="exact" w:after="100"/>
        <w:ind w:firstLine="0"/>
      </w:pPr>
      <w:r>
        <w:rPr>
          <w:sz w:val="22"/>
        </w:rPr>
        <w:t>A6 使用场景，可多选：①查找信息；②理解规则或通知；③学习答疑；④写作与翻译；⑤科研或编程；⑥其他。</w:t>
      </w:r>
    </w:p>
    <w:p>
      <w:pPr>
        <w:keepLines/>
        <w:spacing w:line="360" w:lineRule="exact" w:after="100"/>
        <w:ind w:firstLine="0"/>
      </w:pPr>
      <w:r>
        <w:rPr>
          <w:sz w:val="22"/>
        </w:rPr>
        <w:t>A7 最近一次使用时遇到哪些困难，可多选：①不知道怎样描述需求；②看不懂AI追问；③不知道补充什么信息；④难以判断回答真假；⑤答案太长或术语太多；⑥没有上述困难；⑦其他。⑥与其余选项互斥。</w:t>
      </w:r>
    </w:p>
    <w:p>
      <w:pPr>
        <w:keepLines/>
        <w:spacing w:line="360" w:lineRule="exact" w:after="100"/>
        <w:ind w:firstLine="0"/>
      </w:pPr>
      <w:r>
        <w:rPr>
          <w:sz w:val="22"/>
        </w:rPr>
        <w:t>A8 当AI要求补充条件时，您通常：①直接补充；②请其解释；③换一种问法；④接受其猜测；⑤退出或转向人工帮助；⑥没有遇到。</w:t>
      </w:r>
    </w:p>
    <w:p>
      <w:pPr>
        <w:keepLines/>
        <w:spacing w:line="360" w:lineRule="exact" w:after="100"/>
        <w:ind w:firstLine="0"/>
      </w:pPr>
      <w:r>
        <w:rPr>
          <w:sz w:val="22"/>
        </w:rPr>
        <w:t>A9 完成实验任务后，请分别评价：追问目的是否清楚、回答是否易懂、帮助是否足够、交流是否费力、是否愿意再次使用。各题选项为①完全不同意；②比较不同意；③不确定；④比较同意；⑤完全同意；⑥不适用。任务中未出现追问时，第一题选不适用。不得将这五题未经验证地合成为单一总分。</w:t>
      </w:r>
    </w:p>
    <w:p>
      <w:pPr>
        <w:keepLines/>
        <w:spacing w:line="360" w:lineRule="exact" w:after="100"/>
        <w:ind w:firstLine="0"/>
      </w:pPr>
      <w:r>
        <w:rPr>
          <w:sz w:val="22"/>
        </w:rPr>
        <w:t>A10 哪一处最需要改进？请结合具体问题或回复说明，可不填。</w:t>
      </w:r>
    </w:p>
    <w:p>
      <w:pPr>
        <w:pStyle w:val="Heading2"/>
      </w:pPr>
      <w:r>
        <w:rPr>
          <w:sz w:val="24"/>
        </w:rPr>
        <w:t>附录B 半结构访谈提纲</w:t>
      </w:r>
    </w:p>
    <w:p>
      <w:pPr>
        <w:keepLines/>
        <w:spacing w:line="360" w:lineRule="exact" w:after="100"/>
        <w:ind w:firstLine="440"/>
      </w:pPr>
      <w:r>
        <w:rPr>
          <w:sz w:val="22"/>
        </w:rPr>
        <w:t>本提纲用于任务后的自愿访谈，问题按实际经历追问，不预设受访者能力不足或澄清有效。录音另行征得同意；未录音时由受访者核对摘要。</w:t>
      </w:r>
    </w:p>
    <w:p>
      <w:pPr>
        <w:keepLines/>
        <w:spacing w:line="360" w:lineRule="exact" w:after="100"/>
        <w:ind w:firstLine="0"/>
      </w:pPr>
      <w:r>
        <w:rPr>
          <w:sz w:val="22"/>
        </w:rPr>
        <w:t>B1 请回忆刚才的任务，您首先想弄清楚什么？</w:t>
      </w:r>
    </w:p>
    <w:p>
      <w:pPr>
        <w:keepLines/>
        <w:spacing w:line="360" w:lineRule="exact" w:after="100"/>
        <w:ind w:firstLine="0"/>
      </w:pPr>
      <w:r>
        <w:rPr>
          <w:sz w:val="22"/>
        </w:rPr>
        <w:t>B2 若出现过AI追问，哪次最容易或最难理解？请指出原句；未出现则跳过。</w:t>
      </w:r>
    </w:p>
    <w:p>
      <w:pPr>
        <w:keepLines/>
        <w:spacing w:line="360" w:lineRule="exact" w:after="100"/>
        <w:ind w:firstLine="0"/>
      </w:pPr>
      <w:r>
        <w:rPr>
          <w:sz w:val="22"/>
        </w:rPr>
        <w:t>B3 您怎样判断应该补充哪些信息？有没有不愿提供或无法确定的条件？</w:t>
      </w:r>
    </w:p>
    <w:p>
      <w:pPr>
        <w:keepLines/>
        <w:spacing w:line="360" w:lineRule="exact" w:after="100"/>
        <w:ind w:firstLine="0"/>
      </w:pPr>
      <w:r>
        <w:rPr>
          <w:sz w:val="22"/>
        </w:rPr>
        <w:t>B4 是否有回复改变了您的选择？如有，您如何核查它？</w:t>
      </w:r>
    </w:p>
    <w:p>
      <w:pPr>
        <w:keepLines/>
        <w:spacing w:line="360" w:lineRule="exact" w:after="100"/>
        <w:ind w:firstLine="0"/>
      </w:pPr>
      <w:r>
        <w:rPr>
          <w:sz w:val="22"/>
        </w:rPr>
        <w:t>B5 交流中最费时间或精力的是哪一步？若有追问，少问一次可能发生什么？</w:t>
      </w:r>
    </w:p>
    <w:p>
      <w:pPr>
        <w:keepLines/>
        <w:spacing w:line="360" w:lineRule="exact" w:after="100"/>
        <w:ind w:firstLine="0"/>
      </w:pPr>
      <w:r>
        <w:rPr>
          <w:sz w:val="22"/>
        </w:rPr>
        <w:t>B6 您更希望获得解释、示例、可选答案还是自由输入？何时希望停止追问或寻求人工帮助？</w:t>
      </w:r>
    </w:p>
    <w:p>
      <w:pPr>
        <w:pStyle w:val="Heading2"/>
      </w:pPr>
      <w:r>
        <w:rPr>
          <w:sz w:val="24"/>
        </w:rPr>
        <w:t>附录C 知情同意说明模板</w:t>
      </w:r>
    </w:p>
    <w:p>
      <w:pPr>
        <w:keepLines/>
        <w:spacing w:line="360" w:lineRule="exact" w:after="100"/>
        <w:ind w:firstLine="440"/>
      </w:pPr>
      <w:r>
        <w:rPr>
          <w:sz w:val="22"/>
        </w:rPr>
        <w:t>研究题目：[待填写]。研究单位与负责人：[待填写]。研究联系邮箱：[待填写]。本研究了解大学生使用生成式AI完成信息任务的过程，预计用时[待填写]分钟。参与完全自愿，可以跳过非必要问题或随时退出，不影响学习评价及任何既有权益。</w:t>
      </w:r>
    </w:p>
    <w:p>
      <w:pPr>
        <w:keepLines/>
        <w:spacing w:line="360" w:lineRule="exact" w:after="100"/>
        <w:ind w:firstLine="440"/>
      </w:pPr>
      <w:r>
        <w:rPr>
          <w:sz w:val="22"/>
        </w:rPr>
        <w:t>本研究仅邀请18—25岁在读专科生和本科生参加。拟收集在读身份声明、年龄区间、当前在读阶段、学习背景、前测答案、任务选择、对话内容、时间记录和自愿反馈，不主动收集真实身份信息。对话可能提交给[模型服务名称与数据接收方待填写]处理；处理范围、保存期限与退出删除方式须在招募前说明。请勿输入姓名、联系方式、健康或财务等私人信息。</w:t>
      </w:r>
    </w:p>
    <w:p>
      <w:pPr>
        <w:keepLines/>
        <w:spacing w:line="360" w:lineRule="exact" w:after="100"/>
        <w:ind w:firstLine="440"/>
      </w:pPr>
      <w:r>
        <w:rPr>
          <w:sz w:val="22"/>
        </w:rPr>
        <w:t>资料仅供研究使用，由[授权人员范围待填写]访问，保存[期限待填写]后删除或匿名化。公开报告仅使用汇总结果；引用可识别原话或录音须另行授权。删除申请凭匿名编号提交至研究邮箱。请分别选择：①同意参加／不同意参加；②同意录音／不同意录音。各项不得预选。此为说明模板，不代表已经签署或获得伦理批准。</w:t>
      </w:r>
    </w:p>
    <w:p>
      <w:pPr>
        <w:pStyle w:val="Heading2"/>
      </w:pPr>
      <w:r>
        <w:rPr>
          <w:sz w:val="24"/>
        </w:rPr>
        <w:t>附录D 对话编码手册简版</w:t>
      </w:r>
    </w:p>
    <w:p>
      <w:pPr>
        <w:keepLines/>
        <w:spacing w:line="360" w:lineRule="exact" w:after="100"/>
        <w:ind w:firstLine="440"/>
      </w:pPr>
      <w:r>
        <w:rPr>
          <w:sz w:val="22"/>
        </w:rPr>
        <w:t>以一次追问及其后续回应为基本单元，结合当时已知事实、任务规则和上下文编码。编码保留原文、消息编号与判定依据，允许并列类别和无法判断。</w:t>
      </w:r>
    </w:p>
    <w:p>
      <w:pPr>
        <w:keepLines/>
        <w:spacing w:line="360" w:lineRule="exact" w:after="100"/>
        <w:ind w:firstLine="0"/>
      </w:pPr>
      <w:r>
        <w:rPr>
          <w:sz w:val="22"/>
        </w:rPr>
        <w:t>D1 必要澄清：缺失事实会改变当前判断，且此前未明确提供。</w:t>
      </w:r>
    </w:p>
    <w:p>
      <w:pPr>
        <w:keepLines/>
        <w:spacing w:line="360" w:lineRule="exact" w:after="100"/>
        <w:ind w:firstLine="0"/>
      </w:pPr>
      <w:r>
        <w:rPr>
          <w:sz w:val="22"/>
        </w:rPr>
        <w:t>D2 重复或无关追问：信息已明确提供，或所问条件不影响当前任务。</w:t>
      </w:r>
    </w:p>
    <w:p>
      <w:pPr>
        <w:keepLines/>
        <w:spacing w:line="360" w:lineRule="exact" w:after="100"/>
        <w:ind w:firstLine="0"/>
      </w:pPr>
      <w:r>
        <w:rPr>
          <w:sz w:val="22"/>
        </w:rPr>
        <w:t>D3 理解或回应困难：用户明确表示不理解，或回应未提供所需事实；不能仅凭口语、短句或错别字判定。</w:t>
      </w:r>
    </w:p>
    <w:p>
      <w:pPr>
        <w:keepLines/>
        <w:spacing w:line="360" w:lineRule="exact" w:after="100"/>
        <w:ind w:firstLine="0"/>
      </w:pPr>
      <w:r>
        <w:rPr>
          <w:sz w:val="22"/>
        </w:rPr>
        <w:t>D4 支持修复：系统提供解释、示例或回答形式调整，并记录后续是否获得相关信息。</w:t>
      </w:r>
    </w:p>
    <w:p>
      <w:pPr>
        <w:keepLines/>
        <w:spacing w:line="360" w:lineRule="exact" w:after="100"/>
        <w:ind w:firstLine="0"/>
      </w:pPr>
      <w:r>
        <w:rPr>
          <w:sz w:val="22"/>
        </w:rPr>
        <w:t>D5 证据利用问题：回复缺少资料支持、误用规则，或用户决策依据与已获资料不一致；后者不能直接归因为用户素养低。</w:t>
      </w:r>
    </w:p>
    <w:p>
      <w:pPr>
        <w:keepLines/>
        <w:spacing w:line="360" w:lineRule="exact" w:after="100"/>
        <w:ind w:firstLine="440"/>
      </w:pPr>
      <w:r>
        <w:rPr>
          <w:sz w:val="22"/>
        </w:rPr>
        <w:t>两名编码者先独立试编同一批材料，讨论分歧并冻结规则；正式编码报告一致性与无法判断比例，分歧保留协商记录。自动标签仅供检索，不能替代人工核查。</w:t>
      </w:r>
    </w:p>
    <w:sectPr w:rsidR="00FC693F" w:rsidRPr="0006063C" w:rsidSect="00034616">
      <w:footerReference w:type="default" r:id="rId9"/>
      <w:pgSz w:w="12240" w:h="15840"/>
      <w:pgMar w:top="1296" w:right="1440" w:bottom="1224" w:left="1440" w:header="504" w:footer="576"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60"/>
      <w:ind w:firstLine="480"/>
    </w:pPr>
    <w:rPr>
      <w:rFonts w:ascii="Times New Roman" w:hAnsi="Times New Roman" w:eastAsia="Songti SC"/>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Times New Roman" w:hAnsi="Times New Roman" w:eastAsia="Songti SC"/>
      <w:b w:val="0"/>
      <w:i w:val="0"/>
      <w:color w:val="000000"/>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Times New Roman" w:hAnsi="Times New Roman" w:eastAsia="Songti SC"/>
      <w:b w:val="0"/>
      <w:i w:val="0"/>
      <w:color w:val="000000"/>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line="300" w:lineRule="auto"/>
      <w:ind w:firstLine="0"/>
      <w:outlineLvl w:val="0"/>
    </w:pPr>
    <w:rPr>
      <w:rFonts w:cstheme="majorBidi" w:ascii="Times New Roman" w:hAnsi="Times New Roman" w:eastAsia="Heiti SC"/>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ind w:firstLine="0"/>
      <w:outlineLvl w:val="1"/>
    </w:pPr>
    <w:rPr>
      <w:rFonts w:cstheme="majorBidi" w:ascii="Times New Roman" w:hAnsi="Times New Roman" w:eastAsia="Heiti SC"/>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ind w:firstLine="0"/>
      <w:outlineLvl w:val="2"/>
    </w:pPr>
    <w:rPr>
      <w:rFonts w:cstheme="majorBidi" w:ascii="Times New Roman" w:hAnsi="Times New Roman" w:eastAsia="Heiti SC"/>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0" w:line="300" w:lineRule="auto" w:before="0"/>
      <w:ind w:firstLine="0"/>
      <w:contextualSpacing/>
    </w:pPr>
    <w:rPr>
      <w:rFonts w:cstheme="majorBidi" w:ascii="Times New Roman" w:hAnsi="Times New Roman" w:eastAsia="Heiti SC"/>
      <w:b/>
      <w:i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line="300" w:lineRule="auto" w:before="200" w:after="100"/>
      <w:ind w:firstLine="0"/>
    </w:pPr>
    <w:rPr>
      <w:rFonts w:cstheme="majorBidi" w:ascii="Times New Roman" w:hAnsi="Times New Roman" w:eastAsia="Heiti SC"/>
      <w:b w:val="0"/>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pPr>
    <w:rPr>
      <w:rFonts w:ascii="Times New Roman" w:hAnsi="Times New Roman" w:eastAsia="Songti SC"/>
      <w:b w:val="0"/>
      <w:bCs/>
      <w:i w:val="0"/>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pPr>
      <w:spacing w:after="240" w:line="300" w:lineRule="auto"/>
      <w:ind w:firstLine="0"/>
    </w:pPr>
    <w:rPr>
      <w:rFonts w:ascii="Times New Roman" w:hAnsi="Times New Roman" w:eastAsia="Heiti SC"/>
      <w:b/>
      <w:i w:val="0"/>
      <w:color w:val="000000"/>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主动澄清让谁受益</dc:title>
  <dc:subject>社会调查报告</dc:subject>
  <dc:creator/>
  <cp:keywords>生成式人工智能 信息公平性 信息素养 主动澄清</cp:keywords>
  <dc:description>generated by python-docx</dc:description>
  <cp:lastModifiedBy/>
  <cp:revision>1</cp:revision>
  <dcterms:created xsi:type="dcterms:W3CDTF">2013-12-23T23:15:00Z</dcterms:created>
  <dcterms:modified xsi:type="dcterms:W3CDTF">2013-12-23T23:15:00Z</dcterms:modified>
  <cp:category/>
</cp:coreProperties>
</file>