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00"/>
      </w:pPr>
      <w:r>
        <w:t>LENS Lab 信息公平性评测平台</w:t>
      </w:r>
    </w:p>
    <w:p>
      <w:pPr>
        <w:pStyle w:val="Subtitle"/>
      </w:pPr>
      <w:r>
        <w:t>完整功能逻辑与设计说明书</w:t>
      </w:r>
    </w:p>
    <w:p>
      <w:pPr>
        <w:spacing w:before="200" w:after="400"/>
      </w:pPr>
      <w:r>
        <w:rPr>
          <w:rFonts w:ascii="Arial" w:hAnsi="Arial" w:eastAsia="Heiti SC"/>
          <w:b/>
          <w:color w:val="000000"/>
          <w:sz w:val="24"/>
        </w:rPr>
        <w:t>面向语言表达差异的生成式人工智能信息公平性评测与自适应干预研究</w:t>
      </w:r>
    </w:p>
    <w:p>
      <w:r>
        <w:t>版本 university-v1    日期 2026 年 10 月 22 日</w:t>
      </w:r>
    </w:p>
    <w:p>
      <w:r>
        <w:t>适用对象  项目负责人 研究成员 开发人员 指导教师与评审沟通人员</w:t>
      </w:r>
    </w:p>
    <w:p>
      <w:r>
        <w:t>研究对象  18–25岁当前在读专科生和本科生</w:t>
      </w:r>
    </w:p>
    <w:p>
      <w:r>
        <w:t>本文定义平台为什么建设、服务什么研究问题、包含哪些功能、如何执行实验、怎样形成可复核数据，以及正式投放前需要完成的验证。设计以当前信息素养前测与两组被试间实验为主线，同时明确原题目中语言表达差异的补充证据路径。</w:t>
      </w:r>
    </w:p>
    <w:p>
      <w:r>
        <w:t>平台的主要价值是将研究方案落实为一致的实验流程与完整的原始记录。核心评价同时考察澄清必要性、任务有效性、信息公平性和交互成本；是否改善公平由真实研究数据回答。</w:t>
      </w:r>
    </w:p>
    <w:p>
      <w:pPr>
        <w:pStyle w:val="Heading2"/>
      </w:pPr>
      <w:r>
        <w:t>阅读指引</w:t>
      </w:r>
    </w:p>
    <w:p>
      <w:r>
        <w:t>理解项目定位与研究逻辑，先读第一至八章。梳理页面功能与指标，阅读第九至十四章。开展开发、投放和验收，阅读第十五至十八章及数据字典。第十九章提供一次完整任务的运行示例。</w:t>
      </w:r>
    </w:p>
    <w:p>
      <w:r>
        <w:t>文中区分当前已实现、正式研究前须核验和后续扩展。功能说明以大学生版本实现为依据；测量有效性、任务可比性与研究结论须单独验证。126条合成展示记录不构成真实大学生调查样本。</w:t>
      </w:r>
    </w:p>
    <w:p>
      <w:r>
        <w:br w:type="page"/>
      </w:r>
    </w:p>
    <w:p>
      <w:pPr>
        <w:pStyle w:val="Heading1"/>
      </w:pPr>
      <w:r>
        <w:t>目录</w:t>
      </w:r>
    </w:p>
    <w:p>
      <w:pPr>
        <w:pStyle w:val="TOCLine"/>
        <w:tabs>
          <w:tab w:pos="9128" w:val="right" w:leader="dot"/>
        </w:tabs>
      </w:pPr>
      <w:hyperlink w:anchor="chapter_1">
        <w:r>
          <w:rPr>
            <w:rFonts w:eastAsia="Songti SC" w:ascii="Arial"/>
            <w:sz w:val="22"/>
            <w:color w:val="000000"/>
          </w:rPr>
          <w:t>一 平台定位与建设目的</w:t>
        </w:r>
      </w:hyperlink>
      <w:r>
        <w:rPr>
          <w:rFonts w:ascii="Arial" w:hAnsi="Arial" w:eastAsia="Songti SC"/>
          <w:color w:val="000000"/>
          <w:sz w:val="22"/>
        </w:rPr>
        <w:tab/>
        <w:t>3</w:t>
      </w:r>
    </w:p>
    <w:p>
      <w:pPr>
        <w:pStyle w:val="TOCLine"/>
        <w:tabs>
          <w:tab w:pos="9128" w:val="right" w:leader="dot"/>
        </w:tabs>
      </w:pPr>
      <w:hyperlink w:anchor="chapter_2">
        <w:r>
          <w:rPr>
            <w:rFonts w:eastAsia="Songti SC" w:ascii="Arial"/>
            <w:sz w:val="22"/>
            <w:color w:val="000000"/>
          </w:rPr>
          <w:t>二 研究主线与题目对应关系</w:t>
        </w:r>
      </w:hyperlink>
      <w:r>
        <w:rPr>
          <w:rFonts w:ascii="Arial" w:hAnsi="Arial" w:eastAsia="Songti SC"/>
          <w:color w:val="000000"/>
          <w:sz w:val="22"/>
        </w:rPr>
        <w:tab/>
        <w:t>4</w:t>
      </w:r>
    </w:p>
    <w:p>
      <w:pPr>
        <w:pStyle w:val="TOCLine"/>
        <w:tabs>
          <w:tab w:pos="9128" w:val="right" w:leader="dot"/>
        </w:tabs>
      </w:pPr>
      <w:hyperlink w:anchor="chapter_3">
        <w:r>
          <w:rPr>
            <w:rFonts w:eastAsia="Songti SC" w:ascii="Arial"/>
            <w:sz w:val="22"/>
            <w:color w:val="000000"/>
          </w:rPr>
          <w:t>三 用户角色与平台信息架构</w:t>
        </w:r>
      </w:hyperlink>
      <w:r>
        <w:rPr>
          <w:rFonts w:ascii="Arial" w:hAnsi="Arial" w:eastAsia="Songti SC"/>
          <w:color w:val="000000"/>
          <w:sz w:val="22"/>
        </w:rPr>
        <w:tab/>
        <w:t>5</w:t>
      </w:r>
    </w:p>
    <w:p>
      <w:pPr>
        <w:pStyle w:val="TOCLine"/>
        <w:tabs>
          <w:tab w:pos="9128" w:val="right" w:leader="dot"/>
        </w:tabs>
      </w:pPr>
      <w:hyperlink w:anchor="chapter_4">
        <w:r>
          <w:rPr>
            <w:rFonts w:eastAsia="Songti SC" w:ascii="Arial"/>
            <w:sz w:val="22"/>
            <w:color w:val="000000"/>
          </w:rPr>
          <w:t>四 全流程与状态设计</w:t>
        </w:r>
      </w:hyperlink>
      <w:r>
        <w:rPr>
          <w:rFonts w:ascii="Arial" w:hAnsi="Arial" w:eastAsia="Songti SC"/>
          <w:color w:val="000000"/>
          <w:sz w:val="22"/>
        </w:rPr>
        <w:tab/>
        <w:t>6</w:t>
      </w:r>
    </w:p>
    <w:p>
      <w:pPr>
        <w:pStyle w:val="TOCLine"/>
        <w:tabs>
          <w:tab w:pos="9128" w:val="right" w:leader="dot"/>
        </w:tabs>
      </w:pPr>
      <w:hyperlink w:anchor="chapter_5">
        <w:r>
          <w:rPr>
            <w:rFonts w:eastAsia="Songti SC" w:ascii="Arial"/>
            <w:sz w:val="22"/>
            <w:color w:val="000000"/>
          </w:rPr>
          <w:t>五 大学生统一问卷与测量</w:t>
        </w:r>
      </w:hyperlink>
      <w:r>
        <w:rPr>
          <w:rFonts w:ascii="Arial" w:hAnsi="Arial" w:eastAsia="Songti SC"/>
          <w:color w:val="000000"/>
          <w:sz w:val="22"/>
        </w:rPr>
        <w:tab/>
        <w:t>8</w:t>
      </w:r>
    </w:p>
    <w:p>
      <w:pPr>
        <w:pStyle w:val="TOCLine"/>
        <w:tabs>
          <w:tab w:pos="9128" w:val="right" w:leader="dot"/>
        </w:tabs>
      </w:pPr>
      <w:hyperlink w:anchor="chapter_6">
        <w:r>
          <w:rPr>
            <w:rFonts w:eastAsia="Songti SC" w:ascii="Arial"/>
            <w:sz w:val="22"/>
            <w:color w:val="000000"/>
          </w:rPr>
          <w:t>六 任务 资料与决策选项设计</w:t>
        </w:r>
      </w:hyperlink>
      <w:r>
        <w:rPr>
          <w:rFonts w:ascii="Arial" w:hAnsi="Arial" w:eastAsia="Songti SC"/>
          <w:color w:val="000000"/>
          <w:sz w:val="22"/>
        </w:rPr>
        <w:tab/>
        <w:t>9</w:t>
      </w:r>
    </w:p>
    <w:p>
      <w:pPr>
        <w:pStyle w:val="TOCLine"/>
        <w:tabs>
          <w:tab w:pos="9128" w:val="right" w:leader="dot"/>
        </w:tabs>
      </w:pPr>
      <w:hyperlink w:anchor="chapter_7">
        <w:r>
          <w:rPr>
            <w:rFonts w:eastAsia="Songti SC" w:ascii="Arial"/>
            <w:sz w:val="22"/>
            <w:color w:val="000000"/>
          </w:rPr>
          <w:t>七 实验条件与平衡分配</w:t>
        </w:r>
      </w:hyperlink>
      <w:r>
        <w:rPr>
          <w:rFonts w:ascii="Arial" w:hAnsi="Arial" w:eastAsia="Songti SC"/>
          <w:color w:val="000000"/>
          <w:sz w:val="22"/>
        </w:rPr>
        <w:tab/>
        <w:t>11</w:t>
      </w:r>
    </w:p>
    <w:p>
      <w:pPr>
        <w:pStyle w:val="TOCLine"/>
        <w:tabs>
          <w:tab w:pos="9128" w:val="right" w:leader="dot"/>
        </w:tabs>
      </w:pPr>
      <w:hyperlink w:anchor="chapter_8">
        <w:r>
          <w:rPr>
            <w:rFonts w:eastAsia="Songti SC" w:ascii="Arial"/>
            <w:sz w:val="22"/>
            <w:color w:val="000000"/>
          </w:rPr>
          <w:t>八 主动澄清机制的逻辑设计</w:t>
        </w:r>
      </w:hyperlink>
      <w:r>
        <w:rPr>
          <w:rFonts w:ascii="Arial" w:hAnsi="Arial" w:eastAsia="Songti SC"/>
          <w:color w:val="000000"/>
          <w:sz w:val="22"/>
        </w:rPr>
        <w:tab/>
        <w:t>12</w:t>
      </w:r>
    </w:p>
    <w:p>
      <w:pPr>
        <w:pStyle w:val="TOCLine"/>
        <w:tabs>
          <w:tab w:pos="9128" w:val="right" w:leader="dot"/>
        </w:tabs>
      </w:pPr>
      <w:hyperlink w:anchor="chapter_9">
        <w:r>
          <w:rPr>
            <w:rFonts w:eastAsia="Songti SC" w:ascii="Arial"/>
            <w:sz w:val="22"/>
            <w:color w:val="000000"/>
          </w:rPr>
          <w:t>九 参与者端完整功能规格</w:t>
        </w:r>
      </w:hyperlink>
      <w:r>
        <w:rPr>
          <w:rFonts w:ascii="Arial" w:hAnsi="Arial" w:eastAsia="Songti SC"/>
          <w:color w:val="000000"/>
          <w:sz w:val="22"/>
        </w:rPr>
        <w:tab/>
        <w:t>15</w:t>
      </w:r>
    </w:p>
    <w:p>
      <w:pPr>
        <w:pStyle w:val="TOCLine"/>
        <w:tabs>
          <w:tab w:pos="9128" w:val="right" w:leader="dot"/>
        </w:tabs>
      </w:pPr>
      <w:hyperlink w:anchor="chapter_10">
        <w:r>
          <w:rPr>
            <w:rFonts w:eastAsia="Songti SC" w:ascii="Arial"/>
            <w:sz w:val="22"/>
            <w:color w:val="000000"/>
          </w:rPr>
          <w:t>十 研究后台完整功能规格</w:t>
        </w:r>
      </w:hyperlink>
      <w:r>
        <w:rPr>
          <w:rFonts w:ascii="Arial" w:hAnsi="Arial" w:eastAsia="Songti SC"/>
          <w:color w:val="000000"/>
          <w:sz w:val="22"/>
        </w:rPr>
        <w:tab/>
        <w:t>16</w:t>
      </w:r>
    </w:p>
    <w:p>
      <w:pPr>
        <w:pStyle w:val="TOCLine"/>
        <w:tabs>
          <w:tab w:pos="9128" w:val="right" w:leader="dot"/>
        </w:tabs>
      </w:pPr>
      <w:hyperlink w:anchor="chapter_11">
        <w:r>
          <w:rPr>
            <w:rFonts w:eastAsia="Songti SC" w:ascii="Arial"/>
            <w:sz w:val="22"/>
            <w:color w:val="000000"/>
          </w:rPr>
          <w:t>十一 结果指标 评分与公平性评价</w:t>
        </w:r>
      </w:hyperlink>
      <w:r>
        <w:rPr>
          <w:rFonts w:ascii="Arial" w:hAnsi="Arial" w:eastAsia="Songti SC"/>
          <w:color w:val="000000"/>
          <w:sz w:val="22"/>
        </w:rPr>
        <w:tab/>
        <w:t>18</w:t>
      </w:r>
    </w:p>
    <w:p>
      <w:pPr>
        <w:pStyle w:val="TOCLine"/>
        <w:tabs>
          <w:tab w:pos="9128" w:val="right" w:leader="dot"/>
        </w:tabs>
      </w:pPr>
      <w:hyperlink w:anchor="chapter_12">
        <w:r>
          <w:rPr>
            <w:rFonts w:eastAsia="Songti SC" w:ascii="Arial"/>
            <w:sz w:val="22"/>
            <w:color w:val="000000"/>
          </w:rPr>
          <w:t>十二 数据模型与版本追溯</w:t>
        </w:r>
      </w:hyperlink>
      <w:r>
        <w:rPr>
          <w:rFonts w:ascii="Arial" w:hAnsi="Arial" w:eastAsia="Songti SC"/>
          <w:color w:val="000000"/>
          <w:sz w:val="22"/>
        </w:rPr>
        <w:tab/>
        <w:t>20</w:t>
      </w:r>
    </w:p>
    <w:p>
      <w:pPr>
        <w:pStyle w:val="TOCLine"/>
        <w:tabs>
          <w:tab w:pos="9128" w:val="right" w:leader="dot"/>
        </w:tabs>
      </w:pPr>
      <w:hyperlink w:anchor="chapter_13">
        <w:r>
          <w:rPr>
            <w:rFonts w:eastAsia="Songti SC" w:ascii="Arial"/>
            <w:sz w:val="22"/>
            <w:color w:val="000000"/>
          </w:rPr>
          <w:t>十三 统计分析与失败诊断方案</w:t>
        </w:r>
      </w:hyperlink>
      <w:r>
        <w:rPr>
          <w:rFonts w:ascii="Arial" w:hAnsi="Arial" w:eastAsia="Songti SC"/>
          <w:color w:val="000000"/>
          <w:sz w:val="22"/>
        </w:rPr>
        <w:tab/>
        <w:t>21</w:t>
      </w:r>
    </w:p>
    <w:p>
      <w:pPr>
        <w:pStyle w:val="TOCLine"/>
        <w:tabs>
          <w:tab w:pos="9128" w:val="right" w:leader="dot"/>
        </w:tabs>
      </w:pPr>
      <w:hyperlink w:anchor="chapter_14">
        <w:r>
          <w:rPr>
            <w:rFonts w:eastAsia="Songti SC" w:ascii="Arial"/>
            <w:sz w:val="22"/>
            <w:color w:val="000000"/>
          </w:rPr>
          <w:t>十四 页面与交互设计</w:t>
        </w:r>
      </w:hyperlink>
      <w:r>
        <w:rPr>
          <w:rFonts w:ascii="Arial" w:hAnsi="Arial" w:eastAsia="Songti SC"/>
          <w:color w:val="000000"/>
          <w:sz w:val="22"/>
        </w:rPr>
        <w:tab/>
        <w:t>22</w:t>
      </w:r>
    </w:p>
    <w:p>
      <w:pPr>
        <w:pStyle w:val="TOCLine"/>
        <w:tabs>
          <w:tab w:pos="9128" w:val="right" w:leader="dot"/>
        </w:tabs>
      </w:pPr>
      <w:hyperlink w:anchor="chapter_15">
        <w:r>
          <w:rPr>
            <w:rFonts w:eastAsia="Songti SC" w:ascii="Arial"/>
            <w:sz w:val="22"/>
            <w:color w:val="000000"/>
          </w:rPr>
          <w:t>十五 技术架构与接口设计</w:t>
        </w:r>
      </w:hyperlink>
      <w:r>
        <w:rPr>
          <w:rFonts w:ascii="Arial" w:hAnsi="Arial" w:eastAsia="Songti SC"/>
          <w:color w:val="000000"/>
          <w:sz w:val="22"/>
        </w:rPr>
        <w:tab/>
        <w:t>23</w:t>
      </w:r>
    </w:p>
    <w:p>
      <w:pPr>
        <w:pStyle w:val="TOCLine"/>
        <w:tabs>
          <w:tab w:pos="9128" w:val="right" w:leader="dot"/>
        </w:tabs>
      </w:pPr>
      <w:hyperlink w:anchor="chapter_16">
        <w:r>
          <w:rPr>
            <w:rFonts w:eastAsia="Songti SC" w:ascii="Arial"/>
            <w:sz w:val="22"/>
            <w:color w:val="000000"/>
          </w:rPr>
          <w:t>十六 隐私 安全与研究伦理</w:t>
        </w:r>
      </w:hyperlink>
      <w:r>
        <w:rPr>
          <w:rFonts w:ascii="Arial" w:hAnsi="Arial" w:eastAsia="Songti SC"/>
          <w:color w:val="000000"/>
          <w:sz w:val="22"/>
        </w:rPr>
        <w:tab/>
        <w:t>25</w:t>
      </w:r>
    </w:p>
    <w:p>
      <w:pPr>
        <w:pStyle w:val="TOCLine"/>
        <w:tabs>
          <w:tab w:pos="9128" w:val="right" w:leader="dot"/>
        </w:tabs>
      </w:pPr>
      <w:hyperlink w:anchor="chapter_17">
        <w:r>
          <w:rPr>
            <w:rFonts w:eastAsia="Songti SC" w:ascii="Arial"/>
            <w:sz w:val="22"/>
            <w:color w:val="000000"/>
          </w:rPr>
          <w:t>十七 现有能力与完整方案的差距</w:t>
        </w:r>
      </w:hyperlink>
      <w:r>
        <w:rPr>
          <w:rFonts w:ascii="Arial" w:hAnsi="Arial" w:eastAsia="Songti SC"/>
          <w:color w:val="000000"/>
          <w:sz w:val="22"/>
        </w:rPr>
        <w:tab/>
        <w:t>25</w:t>
      </w:r>
    </w:p>
    <w:p>
      <w:pPr>
        <w:pStyle w:val="TOCLine"/>
        <w:tabs>
          <w:tab w:pos="9128" w:val="right" w:leader="dot"/>
        </w:tabs>
      </w:pPr>
      <w:hyperlink w:anchor="chapter_18">
        <w:r>
          <w:rPr>
            <w:rFonts w:eastAsia="Songti SC" w:ascii="Arial"/>
            <w:sz w:val="22"/>
            <w:color w:val="000000"/>
          </w:rPr>
          <w:t>十八 开发计划与验收标准</w:t>
        </w:r>
      </w:hyperlink>
      <w:r>
        <w:rPr>
          <w:rFonts w:ascii="Arial" w:hAnsi="Arial" w:eastAsia="Songti SC"/>
          <w:color w:val="000000"/>
          <w:sz w:val="22"/>
        </w:rPr>
        <w:tab/>
        <w:t>26</w:t>
      </w:r>
    </w:p>
    <w:p>
      <w:pPr>
        <w:pStyle w:val="TOCLine"/>
        <w:tabs>
          <w:tab w:pos="9128" w:val="right" w:leader="dot"/>
        </w:tabs>
      </w:pPr>
      <w:hyperlink w:anchor="chapter_19">
        <w:r>
          <w:rPr>
            <w:rFonts w:eastAsia="Songti SC" w:ascii="Arial"/>
            <w:sz w:val="22"/>
            <w:color w:val="000000"/>
          </w:rPr>
          <w:t>十九 一个完整任务的运行示例</w:t>
        </w:r>
      </w:hyperlink>
      <w:r>
        <w:rPr>
          <w:rFonts w:ascii="Arial" w:hAnsi="Arial" w:eastAsia="Songti SC"/>
          <w:color w:val="000000"/>
          <w:sz w:val="22"/>
        </w:rPr>
        <w:tab/>
        <w:t>27</w:t>
      </w:r>
    </w:p>
    <w:p>
      <w:pPr>
        <w:pStyle w:val="TOCLine"/>
        <w:tabs>
          <w:tab w:pos="9128" w:val="right" w:leader="dot"/>
        </w:tabs>
      </w:pPr>
      <w:hyperlink w:anchor="chapter_20">
        <w:r>
          <w:rPr>
            <w:rFonts w:eastAsia="Songti SC" w:ascii="Arial"/>
            <w:sz w:val="22"/>
            <w:color w:val="000000"/>
          </w:rPr>
          <w:t>附录一 核心数据字典</w:t>
        </w:r>
      </w:hyperlink>
      <w:r>
        <w:rPr>
          <w:rFonts w:ascii="Arial" w:hAnsi="Arial" w:eastAsia="Songti SC"/>
          <w:color w:val="000000"/>
          <w:sz w:val="22"/>
        </w:rPr>
        <w:tab/>
        <w:t>28</w:t>
      </w:r>
    </w:p>
    <w:p>
      <w:pPr>
        <w:pStyle w:val="TOCLine"/>
        <w:tabs>
          <w:tab w:pos="9128" w:val="right" w:leader="dot"/>
        </w:tabs>
      </w:pPr>
      <w:hyperlink w:anchor="chapter_21">
        <w:r>
          <w:rPr>
            <w:rFonts w:eastAsia="Songti SC" w:ascii="Arial"/>
            <w:sz w:val="22"/>
            <w:color w:val="000000"/>
          </w:rPr>
          <w:t>附录二 等义表达评测模块扩展规格</w:t>
        </w:r>
      </w:hyperlink>
      <w:r>
        <w:rPr>
          <w:rFonts w:ascii="Arial" w:hAnsi="Arial" w:eastAsia="Songti SC"/>
          <w:color w:val="000000"/>
          <w:sz w:val="22"/>
        </w:rPr>
        <w:tab/>
        <w:t>31</w:t>
      </w:r>
    </w:p>
    <w:p>
      <w:pPr>
        <w:pStyle w:val="TOCLine"/>
        <w:tabs>
          <w:tab w:pos="9128" w:val="right" w:leader="dot"/>
        </w:tabs>
      </w:pPr>
      <w:hyperlink w:anchor="chapter_22">
        <w:r>
          <w:rPr>
            <w:rFonts w:eastAsia="Songti SC" w:ascii="Arial"/>
            <w:sz w:val="22"/>
            <w:color w:val="000000"/>
          </w:rPr>
          <w:t>附录三 项目依据与参考资料</w:t>
        </w:r>
      </w:hyperlink>
      <w:r>
        <w:rPr>
          <w:rFonts w:ascii="Arial" w:hAnsi="Arial" w:eastAsia="Songti SC"/>
          <w:color w:val="000000"/>
          <w:sz w:val="22"/>
        </w:rPr>
        <w:tab/>
        <w:t>32</w:t>
      </w:r>
    </w:p>
    <w:p>
      <w:r>
        <w:br w:type="page"/>
      </w:r>
    </w:p>
    <w:p>
      <w:bookmarkStart w:id="1" w:name="chapter_1"/>
      <w:pPr>
        <w:pStyle w:val="Heading1"/>
      </w:pPr>
      <w:r>
        <w:t>一 平台定位与建设目的</w:t>
      </w:r>
      <w:bookmarkEnd w:id="1"/>
    </w:p>
    <w:p>
      <w:r>
        <w:t>LENS Lab 是服务于《面向语言表达差异的生成式人工智能信息公平性评测与自适应干预研究》的研究型 Web 平台。平台把研究方案转化为可执行、可追溯的实验：先测量参与者的AI信息素养，再在可比条件下分配同一模型的普通问答或附加澄清提示条件，记录真实对话、资料获取、最终决策和交互成本，为研究团队判断干预是否有效、是否缩小群体差距提供原始证据。</w:t>
      </w:r>
    </w:p>
    <w:p>
      <w:r>
        <w:t>平台的核心产出是一条完整证据链：谁在什么任务和系统版本下接受了何种交互机制，获取了什么资料，经历了哪些澄清，最终作出什么决策，花费多少时间。平台应使其他研究者能够核查这条链条，并按事先确定的分析方案复算主要结果。</w:t>
      </w:r>
    </w:p>
    <w:p>
      <w:pPr>
        <w:pStyle w:val="Heading2"/>
      </w:pPr>
      <w:r>
        <w:t>1.1 建设目的</w:t>
      </w:r>
    </w:p>
    <w:p>
      <w:r>
        <w:t>研究目的：检验AI信息素养与 AI 辅助任务表现的关系，估计主动澄清的平均效果及其随素养水平变化的程度，同时测量澄清带来的时间和交流成本。差异与干预效果都属于待检验问题，平台不能预设“弱势用户一定获益”或“公平性必然改善”。</w:t>
      </w:r>
    </w:p>
    <w:p>
      <w:r>
        <w:t>产品目的：为参与者提供统一、易理解的实验入口，为研究者提供任务配置、投放、过程记录、只读复核和数据导出工具，减少手工分组、聊天记录整理及评分映射错误。</w:t>
      </w:r>
    </w:p>
    <w:p>
      <w:r>
        <w:t>工程目的：用小团队能够维护的架构实现可运行原型；通过服务端评分、会话快照、配置标识和异常记录保持数据一致性；将研究规则、界面行为与模型调用分开，便于独立修改和验证。</w:t>
      </w:r>
    </w:p>
    <w:p>
      <w:r>
        <w:t>挑战杯成果目的：支撑社会调查报告、对照实验原始记录、干预方案及效果评价的证据展示。平台演示证明流程能够执行；真实研究结论仍需合格的测量、招募、实验和分析。</w:t>
      </w:r>
    </w:p>
    <w:p>
      <w:pPr>
        <w:pStyle w:val="Heading2"/>
      </w:pPr>
      <w:r>
        <w:t>1.2 完整能力的范围</w:t>
      </w:r>
    </w:p>
    <w:p>
      <w:r>
        <w:t>本说明书使用三个状态：已实现指当前本地原型代码具备相应逻辑；正式实验必备指开展目标实验前应完成或核验的能力；后续扩展指另立版本后建设的能力。代码具备功能不等于正式量表已验证、生产环境已通过验收或研究结论已经成立。</w:t>
      </w:r>
    </w:p>
    <w:p>
      <w:r>
        <w:t>当前研究对象仅为18—25岁、当前在读的专科生和本科生。人口学年龄区间为18—20、21—23、24—25岁；在读学段仅为专科与本科。年龄与学段是准入及背景变量，不是随机实验处理。本人声明不等于已核验真实学籍；招募真实性由研究团队另行落实。平台聚焦冻结资料、一套校园共创任务、四种案例情景、两种提示词条件和两项独立的最终选择。</w:t>
      </w:r>
    </w:p>
    <w:p>
      <w:pPr>
        <w:pStyle w:val="Heading2"/>
      </w:pPr>
      <w:r>
        <w:t>1.3 预期交付</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交付物</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内容</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直接用途</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平台应用</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参与者端 研究后台 模型适配层 数据库</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执行实验与演示研究流程</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研究配置包</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问卷 任务 资料 决策选项 澄清条件 版本清单</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冻结实验条件并支持复核</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原始数据包</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 CSV 完整 JSON 数据字典 导出清单</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统计分析 质性编码与审计</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研究分析成果</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预注册分析方案 统计脚本 图表 结果解释</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由研究团队形成可检验结论</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运维与验收包</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部署说明 备份恢复流程 测试记录 限制说明</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交接与正式投放前核验</w:t>
            </w:r>
          </w:p>
        </w:tc>
      </w:tr>
    </w:tbl>
    <w:p>
      <w:pPr>
        <w:spacing w:after="0" w:before="0" w:line="80" w:lineRule="exact"/>
      </w:pPr>
      <w:r>
        <w:rPr>
          <w:rFonts w:ascii="Arial" w:hAnsi="Arial" w:eastAsia="Songti SC"/>
          <w:color w:val="000000"/>
          <w:sz w:val="8"/>
        </w:rPr>
      </w:r>
    </w:p>
    <w:p>
      <w:bookmarkStart w:id="2" w:name="chapter_2"/>
      <w:pPr>
        <w:pStyle w:val="Heading1"/>
      </w:pPr>
      <w:r>
        <w:t>二 研究主线与题目对应关系</w:t>
      </w:r>
      <w:bookmarkEnd w:id="2"/>
    </w:p>
    <w:p>
      <w:pPr>
        <w:pStyle w:val="Heading2"/>
      </w:pPr>
      <w:r>
        <w:t>2.1 区分三个概念</w:t>
      </w:r>
    </w:p>
    <w:p>
      <w:r>
        <w:t>语言表达方式指提问在用词、句式、组织和口语程度上的表现。本研究将AI信息素养操作性地理解为借助生成式AI表达需求、查找与核验信息、依据反馈形成判断的能力；当前30题仅提供任务信息判断的候选基线指标，不是覆盖全部AI知识和使用能力的已验证量表。任务信息充分性指当前问题所需的事实是否已经提供。三者相关的可能性需要研究，不能相互替代：短句不代表低素养，口语不等于缺少条件，受教育程度也不是素养得分。</w:t>
      </w:r>
    </w:p>
    <w:p>
      <w:r>
        <w:t>当前实验以任务信息素养为前测特征，参与者自然发起提问；实验处理是是否附加主动澄清系统提示词。两组不是两种模型，也不存在另一个独立澄清模块接管真实模型回复。普通组没有额外主动澄清要求，仍可能自然追问。</w:t>
      </w:r>
    </w:p>
    <w:p>
      <w:pPr>
        <w:pStyle w:val="Heading2"/>
      </w:pPr>
      <w:r>
        <w:t>2.2 当前主实验</w:t>
      </w:r>
    </w:p>
    <w:p>
      <w:r>
        <w:t>研究问题 RQ1：在普通 AI 条件下，实验前测量的AI信息素养与任务表现及交互成本存在怎样的关系？这一关系属于观察性关联，不能解释为素养差异的因果效应。</w:t>
      </w:r>
    </w:p>
    <w:p>
      <w:r>
        <w:t>研究问题 RQ2：在使用同一任务、资料和基础交互规则的条件下，主动澄清是否改善最终决策质量？研究问题 RQ3：这种效果是否随AI信息素养水平变化，是否有助于缩小预先定义的表现差距？研究问题 RQ4：改善是否伴随更多等待、轮次、退出或主观负担？</w:t>
      </w:r>
    </w:p>
    <w:p>
      <w:r>
        <w:t>每人只完成一次正式任务、只接触一种交互机制。普通组记为 S，主动澄清组记为 A；S 与 A 在年龄区间、素养分配区间及当前任务内平衡分配。素养是被测特征，不是随机操纵条件。平台不会生成同一个人的“干预前后提升值”。</w:t>
      </w:r>
    </w:p>
    <w:p>
      <w:pPr>
        <w:pStyle w:val="Heading2"/>
      </w:pPr>
      <w:r>
        <w:t>2.3 原题目中的语言表达差异如何获得证据</w:t>
      </w:r>
    </w:p>
    <w:p>
      <w:r>
        <w:t>若保留原题目，应在报告中说明AI信息素养是本阶段的研究切入点，并另行收集表达层面的证据。仅比较素养得分与任务表现，不能证明口语表达本身导致 AI 帮助不公平；不同年龄任务的均分差也不能直接证明表达差异效应。</w:t>
      </w:r>
    </w:p>
    <w:p>
      <w:r>
        <w:t>可增加独立的等义表达评测模块：同一任务事实和意图保持一致，只改变表达形式；由人工核查事实完整性、语义一致性与可理解性；在 S 和 A 两种机制下重复运行，比较决策支持质量与不必要澄清率。该模块是后续扩展，数据标记为自动化或研究人员构造样本，与真实参与者数据分开。</w:t>
      </w:r>
    </w:p>
    <w:p>
      <w:r>
        <w:t>自然对话中的表达特征也可用于探索性分析，但需事先制定编码手册并由评审者核验。措辞、长度、错别字和术语使用只是观察变量；分析需控制任务、事实充分性和素养等因素，不能把表达特征自动解释为个人能力。</w:t>
      </w:r>
    </w:p>
    <w:p>
      <w:pPr>
        <w:pStyle w:val="Heading2"/>
      </w:pPr>
      <w:r>
        <w:t>2.4 研究设计不能承诺的结果</w:t>
      </w:r>
    </w:p>
    <w:p>
      <w:r>
        <w:t>随机分配有助于估计交互机制的处理效应，但不能保证小样本背景完全均衡，也不能消除所有测量误差。单次虚构任务的效果不能直接推广为所有真实办事场景的效果；以冻结参考资料为基础的受控任务结果也不能直接替代开放式生成式 AI 的整体公平性评估。</w:t>
      </w:r>
    </w:p>
    <w:p>
      <w:bookmarkStart w:id="3" w:name="chapter_3"/>
      <w:pPr>
        <w:pStyle w:val="Heading1"/>
      </w:pPr>
      <w:r>
        <w:t>三 用户角色与平台信息架构</w:t>
      </w:r>
      <w:bookmarkEnd w:id="3"/>
    </w:p>
    <w:p>
      <w:pPr>
        <w:pStyle w:val="Heading2"/>
      </w:pPr>
      <w:r>
        <w:t>3.1 角色和职责</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jc w:val="center"/>
            </w:pPr>
            <w:r>
              <w:rPr>
                <w:rFonts w:ascii="Arial" w:hAnsi="Arial" w:eastAsia="Heiti SC"/>
                <w:b/>
                <w:color w:val="000000"/>
                <w:sz w:val="18"/>
              </w:rPr>
              <w:t>角色</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主要操作</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权限边界</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参与者</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阅读说明 同意 前测 对话 决策 提交 退出</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只能访问本人会话 不得取得答案分值或他人记录</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研究负责人</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确定研究方案 冻结版本 审批招募口径</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对测量有效性 分析方案与伦理流程负责</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实验管理员</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配置任务 投放 查看进度 导出与备份</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当前原型为统一管理员身份 正式多角色授权待扩展</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过程编码者</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查看原始对话 编码必要性与错误</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编码另存 不改原始内容或固定任务分数</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分析人员</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使用经授权的数据包完成统计与编码</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分析结果与原始数据分层保存</w:t>
            </w:r>
          </w:p>
        </w:tc>
      </w:tr>
    </w:tbl>
    <w:p>
      <w:pPr>
        <w:spacing w:after="0" w:before="0" w:line="80" w:lineRule="exact"/>
      </w:pPr>
      <w:r>
        <w:rPr>
          <w:rFonts w:ascii="Arial" w:hAnsi="Arial" w:eastAsia="Songti SC"/>
          <w:color w:val="000000"/>
          <w:sz w:val="8"/>
        </w:rPr>
      </w:r>
    </w:p>
    <w:p>
      <w:pPr>
        <w:pStyle w:val="Heading2"/>
      </w:pPr>
      <w:r>
        <w:t>3.2 参与者端结构</w:t>
      </w:r>
    </w:p>
    <w:p>
      <w:r>
        <w:t>入口依次为研究说明与同意、背景信息、能力前测、任务对话、决策与反馈、完成或退出。任务页展示任务目标、共同背景、本人持有的案例事实和聊天区；决策选项只在进入决策阶段后下发。完整版本应展示匿名会话号，当前原型将编号保存在浏览器用于恢复。</w:t>
      </w:r>
    </w:p>
    <w:p>
      <w:r>
        <w:t>当前页面提供恢复、开始新会话和退出删除入口，浏览器凭证按新版大学生命名空间保存，研究者试跑与参与者入口进一步隔离。研究联系方式及具体保存期限仍须由研究团队在正式投放前补齐。会话编号兼具访问凭证作用，不应公开分享；公共设备使用后需清除本地凭证。</w:t>
      </w:r>
    </w:p>
    <w:p>
      <w:pPr>
        <w:pStyle w:val="Heading2"/>
      </w:pPr>
      <w:r>
        <w:t>3.3 研究后台结构</w:t>
      </w:r>
    </w:p>
    <w:p>
      <w:r>
        <w:t>当前后台包含年龄区间与素养分层概览、任务配置、材料审查、只读会话记录、逐题分析、五项常用导出与完整归档；合成来源接口供脚本核验，页面不重复列目录。研究者可从 /admin/preview 进入真实模型试跑。独立问卷编辑器、完整发布审批与细粒度权限仍属扩展。</w:t>
      </w:r>
    </w:p>
    <w:p>
      <w:r>
        <w:t>当前分析按大学生资格、设计、问卷、任务、模型配置、提示词、模式和记录来源共同筛选。分析资格由完整前测与客观最终提交自动确定，不依赖人工审核状态。旧跨年龄数据库已独立归档，不自动混入当前学生库；同库历史记录可经认证导出完整归档。图表计数是会话记录数，不保证是去重后的独立参与者人数。</w:t>
      </w:r>
    </w:p>
    <w:p>
      <w:bookmarkStart w:id="4" w:name="chapter_4"/>
      <w:pPr>
        <w:pStyle w:val="Heading1"/>
      </w:pPr>
      <w:r>
        <w:t>四 全流程与状态设计</w:t>
      </w:r>
      <w:bookmarkEnd w:id="4"/>
    </w:p>
    <w:p>
      <w:pPr>
        <w:keepNext/>
        <w:jc w:val="center"/>
      </w:pPr>
      <w:r>
        <w:drawing>
          <wp:inline xmlns:a="http://schemas.openxmlformats.org/drawingml/2006/main" xmlns:pic="http://schemas.openxmlformats.org/drawingml/2006/picture">
            <wp:extent cx="5868000" cy="2282000"/>
            <wp:docPr id="1" name="Picture 1" descr="实验闭环流程"/>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868000" cy="2282000"/>
                    </a:xfrm>
                    <a:prstGeom prst="rect"/>
                  </pic:spPr>
                </pic:pic>
              </a:graphicData>
            </a:graphic>
          </wp:inline>
        </w:drawing>
      </w:r>
    </w:p>
    <w:p>
      <w:pPr>
        <w:jc w:val="center"/>
      </w:pPr>
      <w:r>
        <w:rPr>
          <w:rFonts w:ascii="Arial" w:hAnsi="Arial" w:eastAsia="Songti SC"/>
          <w:color w:val="505050"/>
          <w:sz w:val="18"/>
        </w:rPr>
        <w:t>图 1  平台实验与研究闭环</w:t>
      </w:r>
    </w:p>
    <w:p>
      <w:pPr>
        <w:pStyle w:val="Heading2"/>
      </w:pPr>
      <w:r>
        <w:t>4.1 研究者准备流程</w:t>
      </w:r>
    </w:p>
    <w:p>
      <w:pPr>
        <w:pStyle w:val="ListParagraph"/>
        <w:ind w:left="255" w:hanging="255"/>
      </w:pPr>
      <w:r>
        <w:t>1. 明确目标人群、主要结局、交互机制、剔除规则和分析方法，形成实验方案。</w:t>
      </w:r>
    </w:p>
    <w:p>
      <w:pPr>
        <w:pStyle w:val="ListParagraph"/>
        <w:ind w:left="255" w:hanging="255"/>
      </w:pPr>
      <w:r>
        <w:t>2. 编制问卷、任务资料、关键条件与选项评分；通过认知访谈和预测试检查可理解性及难度。</w:t>
      </w:r>
    </w:p>
    <w:p>
      <w:pPr>
        <w:pStyle w:val="ListParagraph"/>
        <w:ind w:left="255" w:hanging="255"/>
      </w:pPr>
      <w:r>
        <w:t>3. 将定稿配置形成新版本，设置模式、模型、招募口令、轮次、时间和组容量。</w:t>
      </w:r>
    </w:p>
    <w:p>
      <w:pPr>
        <w:pStyle w:val="ListParagraph"/>
        <w:ind w:left="255" w:hanging="255"/>
      </w:pPr>
      <w:r>
        <w:t>4. 完成研究审批、学生范围确认、同意材料和数据处理安排，执行端到端验收。</w:t>
      </w:r>
    </w:p>
    <w:p>
      <w:pPr>
        <w:pStyle w:val="ListParagraph"/>
        <w:ind w:left="255" w:hanging="255"/>
      </w:pPr>
      <w:r>
        <w:t>5. 开始招募并监测流程错误、样本流失与服务异常；不根据阶段性显著性随意改变规则。</w:t>
      </w:r>
    </w:p>
    <w:p>
      <w:pPr>
        <w:pStyle w:val="ListParagraph"/>
        <w:ind w:left="255" w:hanging="255"/>
      </w:pPr>
      <w:r>
        <w:t>6. 关闭本批投放，导出原始数据、审核记录和版本清单，按既定方案分析并保留复核材料。</w:t>
      </w:r>
    </w:p>
    <w:p>
      <w:pPr>
        <w:pStyle w:val="Heading2"/>
      </w:pPr>
      <w:r>
        <w:t>4.2 参与者标准流程</w:t>
      </w:r>
    </w:p>
    <w:p>
      <w:pPr>
        <w:pStyle w:val="ListParagraph"/>
        <w:ind w:left="255" w:hanging="255"/>
      </w:pPr>
      <w:r>
        <w:t>1. 阅读研究说明，了解记录内容、第三方模型调用、退出和删除方式；不同意则结束。</w:t>
      </w:r>
    </w:p>
    <w:p>
      <w:pPr>
        <w:pStyle w:val="ListParagraph"/>
        <w:ind w:left="255" w:hanging="255"/>
      </w:pPr>
      <w:r>
        <w:t>2. 确认18—25岁在读专科／本科，填写年龄区间、当前在读学段与熟悉程度；完成统一30题前测。</w:t>
      </w:r>
    </w:p>
    <w:p>
      <w:pPr>
        <w:pStyle w:val="ListParagraph"/>
        <w:ind w:left="255" w:hanging="255"/>
      </w:pPr>
      <w:r>
        <w:t>3. 点击开始，服务端校验同意、准入、问卷答案与当前任务，计算素养得分并分配组别。</w:t>
      </w:r>
    </w:p>
    <w:p>
      <w:pPr>
        <w:pStyle w:val="ListParagraph"/>
        <w:ind w:left="255" w:hanging="255"/>
      </w:pPr>
      <w:r>
        <w:t>4. 创建会话并记录服务器开始时间；参与者阅读案例，以自然语言与 AI 逐项交流。</w:t>
      </w:r>
    </w:p>
    <w:p>
      <w:pPr>
        <w:pStyle w:val="ListParagraph"/>
        <w:ind w:left="255" w:hanging="255"/>
      </w:pPr>
      <w:r>
        <w:t>5. 满足共同决策门槛后进入决策；系统锁定聊天，分别展示稳定随机排序的5个参加方案和5个办理方案。</w:t>
      </w:r>
    </w:p>
    <w:p>
      <w:pPr>
        <w:pStyle w:val="ListParagraph"/>
        <w:ind w:left="255" w:hanging="255"/>
      </w:pPr>
      <w:r>
        <w:t>6. 两类方案各选一项，可填写依据和反馈；首次有效提交后写入两项合计分、可行性、最优性与结束时间。</w:t>
      </w:r>
    </w:p>
    <w:p>
      <w:pPr>
        <w:pStyle w:val="ListParagraph"/>
        <w:ind w:left="255" w:hanging="255"/>
      </w:pPr>
      <w:r>
        <w:t>7. 显示完成确认；完整版本同时提供匿名会话号与结束说明，避免任务答案传播影响后续样本。</w:t>
      </w:r>
    </w:p>
    <w:p>
      <w:pPr>
        <w:pStyle w:val="Heading2"/>
      </w:pPr>
      <w:r>
        <w:t>4.3 会话状态</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304"/>
        <w:gridCol w:w="2494"/>
        <w:gridCol w:w="2891"/>
        <w:gridCol w:w="2551"/>
      </w:tblGrid>
      <w:tr>
        <w:trPr>
          <w:cantSplit/>
          <w:tblHeader/>
        </w:trPr>
        <w:tc>
          <w:tcPr>
            <w:tcW w:type="dxa" w:w="1304"/>
            <w:vAlign w:val="center"/>
            <w:tcMar>
              <w:top w:w="85" w:type="dxa"/>
              <w:bottom w:w="85" w:type="dxa"/>
              <w:left w:w="110" w:type="dxa"/>
              <w:right w:w="110" w:type="dxa"/>
            </w:tcMar>
            <w:shd w:fill="E5ECF2"/>
          </w:tcPr>
          <w:p>
            <w:pPr>
              <w:keepNext w:val="0"/>
              <w:spacing w:after="0" w:before="0" w:line="271" w:lineRule="auto"/>
              <w:jc w:val="center"/>
            </w:pPr>
            <w:r>
              <w:rPr>
                <w:rFonts w:ascii="Arial" w:hAnsi="Arial" w:eastAsia="Heiti SC"/>
                <w:b/>
                <w:color w:val="000000"/>
                <w:sz w:val="18"/>
              </w:rPr>
              <w:t>状态</w:t>
            </w:r>
          </w:p>
        </w:tc>
        <w:tc>
          <w:tcPr>
            <w:tcW w:type="dxa" w:w="249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进入条件</w:t>
            </w:r>
          </w:p>
        </w:tc>
        <w:tc>
          <w:tcPr>
            <w:tcW w:type="dxa" w:w="2891"/>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允许行为</w:t>
            </w:r>
          </w:p>
        </w:tc>
        <w:tc>
          <w:tcPr>
            <w:tcW w:type="dxa" w:w="2551"/>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退出条件</w:t>
            </w:r>
          </w:p>
        </w:tc>
      </w:tr>
      <w:tr>
        <w:trPr>
          <w:cantSplit/>
        </w:trPr>
        <w:tc>
          <w:tcPr>
            <w:tcW w:type="dxa" w:w="130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前测未入组</w:t>
            </w:r>
          </w:p>
        </w:tc>
        <w:tc>
          <w:tcPr>
            <w:tcW w:type="dxa" w:w="249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尚未创建任务会话</w:t>
            </w:r>
          </w:p>
        </w:tc>
        <w:tc>
          <w:tcPr>
            <w:tcW w:type="dxa" w:w="289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填写同意 背景 前测</w:t>
            </w:r>
          </w:p>
        </w:tc>
        <w:tc>
          <w:tcPr>
            <w:tcW w:type="dxa" w:w="255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校验成功后创建会话</w:t>
            </w:r>
          </w:p>
        </w:tc>
      </w:tr>
      <w:tr>
        <w:trPr>
          <w:cantSplit/>
        </w:trPr>
        <w:tc>
          <w:tcPr>
            <w:tcW w:type="dxa" w:w="1304"/>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对话中</w:t>
            </w:r>
          </w:p>
        </w:tc>
        <w:tc>
          <w:tcPr>
            <w:tcW w:type="dxa" w:w="249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已分配 S 或 A 并保存快照</w:t>
            </w:r>
          </w:p>
        </w:tc>
        <w:tc>
          <w:tcPr>
            <w:tcW w:type="dxa" w:w="289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提问 查看历史 恢复 退出</w:t>
            </w:r>
          </w:p>
        </w:tc>
        <w:tc>
          <w:tcPr>
            <w:tcW w:type="dxa" w:w="255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进入决策或触发限额</w:t>
            </w:r>
          </w:p>
        </w:tc>
      </w:tr>
      <w:tr>
        <w:trPr>
          <w:cantSplit/>
        </w:trPr>
        <w:tc>
          <w:tcPr>
            <w:tcW w:type="dxa" w:w="130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决策中</w:t>
            </w:r>
          </w:p>
        </w:tc>
        <w:tc>
          <w:tcPr>
            <w:tcW w:type="dxa" w:w="249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共同门槛已满足且确认进入</w:t>
            </w:r>
          </w:p>
        </w:tc>
        <w:tc>
          <w:tcPr>
            <w:tcW w:type="dxa" w:w="289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查看选项 选择 写反馈</w:t>
            </w:r>
          </w:p>
        </w:tc>
        <w:tc>
          <w:tcPr>
            <w:tcW w:type="dxa" w:w="255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首次有效提交或退出</w:t>
            </w:r>
          </w:p>
        </w:tc>
      </w:tr>
      <w:tr>
        <w:trPr>
          <w:cantSplit/>
        </w:trPr>
        <w:tc>
          <w:tcPr>
            <w:tcW w:type="dxa" w:w="1304"/>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已完成</w:t>
            </w:r>
          </w:p>
        </w:tc>
        <w:tc>
          <w:tcPr>
            <w:tcW w:type="dxa" w:w="249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服务端成功持久化决策</w:t>
            </w:r>
          </w:p>
        </w:tc>
        <w:tc>
          <w:tcPr>
            <w:tcW w:type="dxa" w:w="289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查看完成确认 申请删除</w:t>
            </w:r>
          </w:p>
        </w:tc>
        <w:tc>
          <w:tcPr>
            <w:tcW w:type="dxa" w:w="255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不能重新计分或继续聊天</w:t>
            </w:r>
          </w:p>
        </w:tc>
      </w:tr>
      <w:tr>
        <w:trPr>
          <w:cantSplit/>
        </w:trPr>
        <w:tc>
          <w:tcPr>
            <w:tcW w:type="dxa" w:w="130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未完成或异常</w:t>
            </w:r>
          </w:p>
        </w:tc>
        <w:tc>
          <w:tcPr>
            <w:tcW w:type="dxa" w:w="249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退出 超时 失败后未恢复</w:t>
            </w:r>
          </w:p>
        </w:tc>
        <w:tc>
          <w:tcPr>
            <w:tcW w:type="dxa" w:w="289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保留已有合法记录并标明原因</w:t>
            </w:r>
          </w:p>
        </w:tc>
        <w:tc>
          <w:tcPr>
            <w:tcW w:type="dxa" w:w="255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按协议恢复 关闭或删除</w:t>
            </w:r>
          </w:p>
        </w:tc>
      </w:tr>
    </w:tbl>
    <w:p>
      <w:pPr>
        <w:spacing w:after="0" w:before="0" w:line="80" w:lineRule="exact"/>
      </w:pPr>
      <w:r>
        <w:rPr>
          <w:rFonts w:ascii="Arial" w:hAnsi="Arial" w:eastAsia="Songti SC"/>
          <w:color w:val="000000"/>
          <w:sz w:val="8"/>
        </w:rPr>
      </w:r>
    </w:p>
    <w:p>
      <w:r>
        <w:t>当前原型用时间戳和事件表示主要阶段，尚未覆盖所有独立状态字段。完整版本应增加明确的状态、结束原因和异常码；达到限额不应自动当作零分完成。退出、删除和纳入分析是不同操作，必须分别说明。</w:t>
      </w:r>
    </w:p>
    <w:p>
      <w:pPr>
        <w:pStyle w:val="Heading2"/>
      </w:pPr>
      <w:r>
        <w:t>4.4 异常处理</w:t>
      </w:r>
    </w:p>
    <w:p>
      <w:r>
        <w:t>真实模型 pilot/live 的每轮请求包含公共基础提示、分组提示和完整对话历史，由模型直接回答本轮问题，不经过关键词卡片替代回复。失败时记录异常，删除该次未获回复的临时用户消息，不占有效轮次；相同 request_id 可重试。输出为空或服务报告因长度上限截断也返回可重试错误，不保存半截回答。demo 的离线规则回退与真实模型运行分开。</w:t>
      </w:r>
    </w:p>
    <w:p>
      <w:r>
        <w:t>进入决策后返回浏览器历史页也不能再发送消息。最终提交需要防重复：当前原型对重复提交返回 409 冲突且保留首次结果，完整版本可进一步返回稳定完成回执；不同选项的后续提交不能覆盖已记录结果。配置变动后禁止旧会话继续使用新配置生成回复；由研究者按统一规则恢复旧配置或将会话标为异常。</w:t>
      </w:r>
    </w:p>
    <w:p>
      <w:r>
        <w:t>当前默认最多12轮有效回复、对话时限30分钟。正常情况下至少取得两轮有效回复才可进入决策；已超时则即使不足两轮也可进入最终决策。达到轮次上限后停止提问，合法配置的轮次上限至少为2，通常已满足共同决策门槛。模型尚在回复期间不能进入决策。限时针对继续提问，不是自动给任务零分或限制决策提交的硬截止，因此总完成时间可能超过30分钟。</w:t>
      </w:r>
    </w:p>
    <w:p>
      <w:bookmarkStart w:id="5" w:name="chapter_5"/>
      <w:pPr>
        <w:pStyle w:val="Heading1"/>
      </w:pPr>
      <w:r>
        <w:t>五 大学生统一问卷与测量</w:t>
      </w:r>
      <w:bookmarkEnd w:id="5"/>
    </w:p>
    <w:p>
      <w:pPr>
        <w:pStyle w:val="Heading2"/>
      </w:pPr>
      <w:r>
        <w:t>5.1 测量目的与维度</w:t>
      </w:r>
    </w:p>
    <w:p>
      <w:r>
        <w:t>前测用于获得实验前的连续能力指标，并为平衡分配提供区间。候选维度包括信息查找、来源和时效、证据判断、规则理解应用、AI 信息核验与使用。优先使用有明确答案的情境能力题；使用经验、自信程度和教育背景单独记录。</w:t>
      </w:r>
    </w:p>
    <w:p>
      <w:r>
        <w:t>当前三个年龄区间共用同一套30道独立题目，版本 student-literacy-v1-30。五个领域为检索、来源与时效、证据判断、规则应用、核验与使用，每领域6题。每题3个实质选项及“我暂时不会选”；题目所需信息在材料内提供，不要求预先掌握校园办事规则。切换年龄区间保留当前作答，不生成不同年龄卷。[2]</w:t>
      </w:r>
    </w:p>
    <w:p>
      <w:r>
        <w:t>研究设计版本为university-v1，统一任务为student-campus-v1，材料审查为student-material-review-v1。旧age_forms／age_tasks及其九年龄材料仅保留历史兼容，不在当前学生界面、下载和分析中启用。</w:t>
      </w:r>
    </w:p>
    <w:p>
      <w:pPr>
        <w:pStyle w:val="Heading2"/>
      </w:pPr>
      <w:r>
        <w:t>5.2 计分与保存</w:t>
      </w:r>
    </w:p>
    <w:p>
      <w:r>
        <w:t>每道能力题答对得 1 分，答错或选择不确定得 0 分；服务端依据问卷版本校验题号与选项范围。原始总分为答对题数，百分数为原始总分除以题数再乘 100。保存逐题选择、总分、百分数、共同题得分、问卷版本和分配区间。</w:t>
      </w:r>
    </w:p>
    <w:p>
      <w:r>
        <w:t>当前默认分配区间宽度为 10 个百分点，100 分归入最后一个区间，区间规则与宽度随会话记录。区间服务于分组平衡，不能直接命名为“低能力人群”等确定性类别；正式分析优先保留连续得分。</w:t>
      </w:r>
    </w:p>
    <w:p>
      <w:pPr>
        <w:pStyle w:val="Heading2"/>
      </w:pPr>
      <w:r>
        <w:t>5.3 正式使用前的验证</w:t>
      </w:r>
    </w:p>
    <w:p>
      <w:r>
        <w:t>先用认知访谈检查题意、阅读负担和选项歧义，再用预测试查看答对率、校正题总相关和内部一致性。现有后台的逐题描述和 KR20 仅提供检查线索；较高内部一致性不能证明量表覆盖了全部构念，也不能证明公平。</w:t>
      </w:r>
    </w:p>
    <w:p>
      <w:r>
        <w:t>大学生版不再采用不同年龄卷链接后合并的方案。统一题卷仍需在18—25岁专本科目标群体中检查可理解性、差异项表现和测量性质。anchor_score 仅保留18个指定题ID的兼容分项；新版题文已重写，该分项不是连接旧跨年龄卷的已校准锚题。不得用旧版本答案或分数解释为当前学生测量结果。</w:t>
      </w:r>
    </w:p>
    <w:p>
      <w:pPr>
        <w:pStyle w:val="Heading2"/>
      </w:pPr>
      <w:r>
        <w:t>5.4 减少前测对任务的影响</w:t>
      </w:r>
    </w:p>
    <w:p>
      <w:r>
        <w:t>前测避免直接排练校园主任务的登记类别、到场安排及截止时间。两组使用相同题卷和作答要求，题目分五页、每页6题。任务计时从前测后创建会话开始；目前没有前测答题起点埋点，pretest_time_seconds 保持空值，不能补造前测耗时。阅读辅助应对同条件参与者按统一规则开放。</w:t>
      </w:r>
    </w:p>
    <w:p>
      <w:bookmarkStart w:id="6" w:name="chapter_6"/>
      <w:pPr>
        <w:pStyle w:val="Heading1"/>
      </w:pPr>
      <w:r>
        <w:t>六 任务 资料与决策选项设计</w:t>
      </w:r>
      <w:bookmarkEnd w:id="6"/>
    </w:p>
    <w:p>
      <w:pPr>
        <w:pStyle w:val="Heading2"/>
      </w:pPr>
      <w:r>
        <w:t>6.1 任务应测量什么</w:t>
      </w:r>
    </w:p>
    <w:p>
      <w:r>
        <w:t>任务要求参与者利用 AI 获得的信息，对一个完整案例作出可判定的行动决策。好的任务应同时包含规则理解、资料时效、证据冲突和条件应用，而非只测记忆或是否会输入某个关键词。为降低现实风险，本轮使用明确标识的虚构校园共创活动报名案例。</w:t>
      </w:r>
    </w:p>
    <w:p>
      <w:r>
        <w:t>三个年龄区间共用虚构校园共创任务 student-campus-v1，案例申请人陈禾为21岁在读本科生。四种情景将每周最多到场1／3次与此前是否获得本项目名额组合为 first_1、first_3、return_1、return_3。两项私事实分别改变登记类别和最优参加安排；它们由参与者掌握，不初始传给模型。两组在情景内比较，公共资料、选项文字与评分结构保持一致。三个人口学任务ID不代表三套独立材料。</w:t>
      </w:r>
    </w:p>
    <w:p>
      <w:pPr>
        <w:pStyle w:val="Heading2"/>
      </w:pPr>
      <w:r>
        <w:t>6.2 任务配置字段</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35"/>
        <w:gridCol w:w="3118"/>
        <w:gridCol w:w="3288"/>
      </w:tblGrid>
      <w:tr>
        <w:trPr>
          <w:cantSplit/>
          <w:tblHeader/>
        </w:trPr>
        <w:tc>
          <w:tcPr>
            <w:tcW w:type="dxa" w:w="283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字段组</w:t>
            </w:r>
          </w:p>
        </w:tc>
        <w:tc>
          <w:tcPr>
            <w:tcW w:type="dxa" w:w="311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必需配置</w:t>
            </w:r>
          </w:p>
        </w:tc>
        <w:tc>
          <w:tcPr>
            <w:tcW w:type="dxa" w:w="328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作用</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身份与适用范围</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 ID 版本 标题 年龄区间 模式 启用状态</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识别同一研究条件</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任务说明</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任务目标 共同背景 参与者私有事实</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规定双方初始可见信息</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资料与来源</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资料全文 资料卡 来源名称 发布及生效时间 适用范围</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控制证据基础</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关键条件</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条件 key 定义 对应规则 标准追问</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限制澄清范围</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决策与评分</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参加与办理各5选项 四情景 分项分值 评分版本</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冻结最高80＋20分</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实验限制</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最大轮次 最大时长 决策门槛</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两组保持相同流程</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质量与版本</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难度标签 配置校验 摘要哈希 修改说明</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冻结与审计</w:t>
            </w:r>
          </w:p>
        </w:tc>
      </w:tr>
    </w:tbl>
    <w:p>
      <w:pPr>
        <w:spacing w:after="0" w:before="0" w:line="80" w:lineRule="exact"/>
      </w:pPr>
      <w:r>
        <w:rPr>
          <w:rFonts w:ascii="Arial" w:hAnsi="Arial" w:eastAsia="Songti SC"/>
          <w:color w:val="000000"/>
          <w:sz w:val="8"/>
        </w:rPr>
      </w:r>
    </w:p>
    <w:p>
      <w:r>
        <w:t>当前任务配置包含公共背景、案例私事实、参考资料、资料卡、槽位说明、四情景、五个参加方案及五个办理方案。时间与轮次限制由服务配置控制。来源元数据、专家评分依据及完整发布清单仍需补强，不能把设计建议写成后台已经全部可编辑。</w:t>
      </w:r>
    </w:p>
    <w:p>
      <w:pPr>
        <w:pStyle w:val="Heading2"/>
      </w:pPr>
      <w:r>
        <w:t>6.3 资料结构</w:t>
      </w:r>
    </w:p>
    <w:p>
      <w:r>
        <w:t>资料包应明确区分现行规则、旧规则、更正公告、解释性问答、非权威转述与无依据传言。更新较晚不自动代表更权威；解释性问答也不自动推翻正式更正。每条资料标注来源、时间、适用范围及它支持的任务事实。</w:t>
      </w:r>
    </w:p>
    <w:p>
      <w:r>
        <w:t>公共资料仍拆为可复核的编号卡片，并统一写入模型可见的参考资料。pilot/live 中两组模型可整合多条依据、解释规则、比较方案和直接回答多个子问题；不再强制每轮只粘贴一张卡。只允许依据资料说明规则，不能编造提交渠道、资格或材料格式。demo 保留冻结卡片的离线模拟路径，不能用它衡量真实模型回答质量。</w:t>
      </w:r>
    </w:p>
    <w:p>
      <w:r>
        <w:t>当前任务不接入开放互联网检索。资料只写“活动服务点”时，模型不能编造真实地址或网址；本任务为虚构实验，不能作为现实政策。后续检索扩展需另行冻结资料库、索引、排序和引用规则。</w:t>
      </w:r>
    </w:p>
    <w:p>
      <w:pPr>
        <w:pStyle w:val="Heading2"/>
      </w:pPr>
      <w:r>
        <w:t>6.4 参加与办理两类方案</w:t>
      </w:r>
    </w:p>
    <w:p>
      <w:r>
        <w:t>最终决策分为参加方案与办理方案两项，各有5个选项，分别独立随机排列。参加方案是登记甲／乙与现场／弹性安排的四种组合，以及不选类别、要求随机安排的方案；按登记类别40分、参加安排40分计，最高80分。此前未获得本项目名额选登记甲、已获得选登记乙，两类均可报名。现场每周到场2次，弹性每周到场1次并完成一次独立练习；在可行安排中以尽量多参加现场交流为目标。</w:t>
      </w:r>
    </w:p>
    <w:p>
      <w:r>
        <w:t>办理方案独立考查更正后的11月18日17:00截止8分、到活动服务点提交8分、报名表与参加计划两项材料4分，最高20分。合计0—100分是候选决策质量，另存规则可行 decision_feasible 与达到最优目标 decision_optimal。选错方式可以同分，不能沿用旧100／75／50／20／0五档方案。40／40／20权重及部分分须经专家审阅、目标群体试做与敏感性分析，不等同现实成功概率。[2]</w:t>
      </w:r>
    </w:p>
    <w:p>
      <w:pPr>
        <w:pStyle w:val="Heading2"/>
      </w:pPr>
      <w:r>
        <w:t>6.5 任务发布与冻结</w:t>
      </w:r>
    </w:p>
    <w:p>
      <w:r>
        <w:t>标准大学生方案发布前应核对参加和办理选项各5个、四情景完整、内部ID唯一、分值与映射正确，以及公开载荷不含答案、评分规则或其他情景。接口已检查配置项格式及唯一性，但兼容结构允许部分执行选项或情景为空，不保证自建任务恰好符合本研究四情景设计，仍须研究者审查。当前按年龄区间启用任务；规则或评分变化应建立新版本，保留旧记录。</w:t>
      </w:r>
    </w:p>
    <w:p>
      <w:r>
        <w:t>现有会话保存任务快照，后续任务编辑不应改变其评分和资料。完整版本还应保存问卷内容快照、同意材料版本及发布清单，形成统一的实验配置包。</w:t>
      </w:r>
    </w:p>
    <w:p>
      <w:bookmarkStart w:id="7" w:name="chapter_7"/>
      <w:pPr>
        <w:pStyle w:val="Heading1"/>
      </w:pPr>
      <w:r>
        <w:t>七 实验条件与平衡分配</w:t>
      </w:r>
      <w:bookmarkEnd w:id="7"/>
    </w:p>
    <w:p>
      <w:pPr>
        <w:pStyle w:val="Heading2"/>
      </w:pPr>
      <w:r>
        <w:t>7.1 S 组与 A 组的共同条件</w:t>
      </w:r>
    </w:p>
    <w:p>
      <w:r>
        <w:t>S和A两组使用相同模型、参数、公共基础提示、公共资料、任务及轮次与时间限制，并各自带入完整对话历史。真实模型每轮均直接处理用户问题，不以独立判定模块、路由结果或固定话术代替回答。用户可以请求解释、比较及有依据的方案建议；模型不得获得私有评分、其他情景或用户尚未提供的案例事实。</w:t>
      </w:r>
    </w:p>
    <w:p>
      <w:r>
        <w:t>S组不附加“应主动澄清”的实验指令，但模型仍可能自然询问必要信息。A组在共同基础提示后额外收到 clarify-dialogue-v4，要求缺少会改变个案结论的事实时先问一个具体问题，用户补充后继续回答原问题。该提示每轮保留；不存在两次追问后取消提示的限制。两组都可直接回答一般规则、日期、材料等问题。</w:t>
      </w:r>
    </w:p>
    <w:p>
      <w:pPr>
        <w:pStyle w:val="Heading2"/>
      </w:pPr>
      <w:r>
        <w:t>7.2 分配逻辑</w:t>
      </w:r>
    </w:p>
    <w:p>
      <w:r>
        <w:t>系统先校验学生准入和统一30题前测，再在当前启用任务下按素养得分区间及人数选择四情景；先比较同素养区间的情景人数，再比较该情景总人数，仍平手时用UUID与种子的HMAC打破平局。随后在情景和素养区间内平衡S／A，优先人数少的一组，再比较情景总人数、任务组总人数，最后用HMAC打破平手。分配、快照与会话创建在同一数据库事务中完成。</w:t>
      </w:r>
    </w:p>
    <w:p>
      <w:r>
        <w:t>该方法是“层内人数平衡分配，平手时以随机会话标识与种子打破平局”，不是每人独立二分之一随机，也不是固定长度随机区组。计数使用与当前资格及配置筛选相同的记录；已创建未完成的合格会话仍占名额，未确认在读、非法学历、旧设计、显式合成或不符合当前配置的记录不占普通参与者组容量。试跑记录在自己的记录类别内平衡。</w:t>
      </w:r>
    </w:p>
    <w:p>
      <w:pPr>
        <w:pStyle w:val="Heading2"/>
      </w:pPr>
      <w:r>
        <w:t>7.3 正式实验的随机化要求</w:t>
      </w:r>
    </w:p>
    <w:p>
      <w:r>
        <w:t>正式版本宜采用隐藏的随机区组或预先生成的分配序列，保存分层字段、规则版本、序列位置及实际分配结果；一般参与者和招募人员看不到下一次分配。若沿用当前规则，应如实登记方法，并评估可预测分配对入组的影响。</w:t>
      </w:r>
    </w:p>
    <w:p>
      <w:r>
        <w:t>当前区间宽度默认10个百分点，三个年龄区间与四情景叠加素养区间后仍可能稀疏，应结合招募规模预先规划。组容量上限作用于当前任务和记录类别的S／A组，不是全平台全年龄总容量。达到两组上限后拒绝继续创建，不把旧版本或试跑记录作为普通参与者容量。</w:t>
      </w:r>
    </w:p>
    <w:p>
      <w:pPr>
        <w:pStyle w:val="Heading2"/>
      </w:pPr>
      <w:r>
        <w:t>7.4 防止实验条件混杂</w:t>
      </w:r>
    </w:p>
    <w:p>
      <w:r>
        <w:t>分配计数及统计已按研究设计、问卷版本、区间宽度、任务、模型配置ID、运行模式、提示词版本、策略及记录来源隔离。更换任一关键配置应启动新批次或会话，不用新提示续接旧记录。远程模型同名不保证服务行为恒定，仍需保存服务与模型元数据。</w:t>
      </w:r>
    </w:p>
    <w:p>
      <w:r>
        <w:t>参与者界面用统一表述说明“AI 可能按需要提问”，不显示分组优劣或能力标签。研究结束后如需告知具体分组，按既定结束说明执行。尽量避免同一人多次参加；匿名方案只能降低重复风险，不能宣称仅靠浏览器缓存即可可靠识别个人。</w:t>
      </w:r>
    </w:p>
    <w:p>
      <w:bookmarkStart w:id="8" w:name="chapter_8"/>
      <w:pPr>
        <w:pStyle w:val="Heading1"/>
      </w:pPr>
      <w:r>
        <w:t>八 主动澄清机制的逻辑设计</w:t>
      </w:r>
      <w:bookmarkEnd w:id="8"/>
    </w:p>
    <w:p>
      <w:pPr>
        <w:keepNext/>
        <w:jc w:val="center"/>
      </w:pPr>
      <w:r>
        <w:drawing>
          <wp:inline xmlns:a="http://schemas.openxmlformats.org/drawingml/2006/main" xmlns:pic="http://schemas.openxmlformats.org/drawingml/2006/picture">
            <wp:extent cx="5868000" cy="3781600"/>
            <wp:docPr id="2" name="Picture 2" descr="主动澄清逻辑分支"/>
            <wp:cNvGraphicFramePr>
              <a:graphicFrameLocks noChangeAspect="1"/>
            </wp:cNvGraphicFramePr>
            <a:graphic>
              <a:graphicData uri="http://schemas.openxmlformats.org/drawingml/2006/picture">
                <pic:pic>
                  <pic:nvPicPr>
                    <pic:cNvPr id="0" name="clarification.png"/>
                    <pic:cNvPicPr/>
                  </pic:nvPicPr>
                  <pic:blipFill>
                    <a:blip r:embed="rId11"/>
                    <a:stretch>
                      <a:fillRect/>
                    </a:stretch>
                  </pic:blipFill>
                  <pic:spPr>
                    <a:xfrm>
                      <a:off x="0" y="0"/>
                      <a:ext cx="5868000" cy="3781600"/>
                    </a:xfrm>
                    <a:prstGeom prst="rect"/>
                  </pic:spPr>
                </pic:pic>
              </a:graphicData>
            </a:graphic>
          </wp:inline>
        </w:drawing>
      </w:r>
    </w:p>
    <w:p>
      <w:pPr>
        <w:jc w:val="center"/>
      </w:pPr>
      <w:r>
        <w:rPr>
          <w:rFonts w:ascii="Arial" w:hAnsi="Arial" w:eastAsia="Songti SC"/>
          <w:color w:val="505050"/>
          <w:sz w:val="18"/>
        </w:rPr>
        <w:t>图 2  真实模型的两组提示与记录流程</w:t>
      </w:r>
    </w:p>
    <w:p>
      <w:pPr>
        <w:pStyle w:val="Heading2"/>
      </w:pPr>
      <w:r>
        <w:t>8.1 输入与输出</w:t>
      </w:r>
    </w:p>
    <w:p>
      <w:r>
        <w:t>真实模型输入为共同系统提示、任务目标、公共背景、统一参考资料、影响个案判断的事实名称及全部已保存对话。事实名称不包含私有取值，前测能力得分、答案、分组优劣、内部评分和其他情景不传给模型。A组另附主动澄清提示，S组没有这一额外部分。</w:t>
      </w:r>
    </w:p>
    <w:p>
      <w:r>
        <w:t>当前输出是模型自然语言回答，不要求先返回结构化 need_clarification／slot_key。两组共用格式约定：实际索取缺失个案事实时以【澄清提问】开头。后端识别并剥离开头标记，消息动作保存为 prompt_clarification；普通回答为 answer。该标记用于计数，不对S组额外施加主动追问要求。</w:t>
      </w:r>
    </w:p>
    <w:p>
      <w:pPr>
        <w:pStyle w:val="Heading2"/>
      </w:pPr>
      <w:r>
        <w:t>8.2 判定顺序</w:t>
      </w:r>
    </w:p>
    <w:p>
      <w:pPr>
        <w:pStyle w:val="ListParagraph"/>
        <w:ind w:left="255" w:hanging="255"/>
      </w:pPr>
      <w:r>
        <w:t>1. 识别当前问题是在问资格、材料、截止时间、来源可信性还是其他事项。</w:t>
      </w:r>
    </w:p>
    <w:p>
      <w:pPr>
        <w:pStyle w:val="ListParagraph"/>
        <w:ind w:left="255" w:hanging="255"/>
      </w:pPr>
      <w:r>
        <w:t>2. 确定回答当前问题需要哪些条件，而非机械要求补齐整个任务的所有条件。</w:t>
      </w:r>
    </w:p>
    <w:p>
      <w:pPr>
        <w:pStyle w:val="ListParagraph"/>
        <w:ind w:left="255" w:hanging="255"/>
      </w:pPr>
      <w:r>
        <w:t>3. 检查条件是否已经在共同背景或用户历史输入中明确给出；不把 AI 自己说过的话当作用户事实。</w:t>
      </w:r>
    </w:p>
    <w:p>
      <w:pPr>
        <w:pStyle w:val="ListParagraph"/>
        <w:ind w:left="255" w:hanging="255"/>
      </w:pPr>
      <w:r>
        <w:t>4. 判断缺失事实是否会改变当前具体结论；若只是在问材料或时间，通常无需追问个人条件。</w:t>
      </w:r>
    </w:p>
    <w:p>
      <w:pPr>
        <w:pStyle w:val="ListParagraph"/>
        <w:ind w:left="255" w:hanging="255"/>
      </w:pPr>
      <w:r>
        <w:t>5. 只问规则或一般差异时直接回答；用户请求具体个案建议而缺少改变结论的事实时，A组应先问一个必要条件，不用罗列所有可能情况代替必要澄清。</w:t>
      </w:r>
    </w:p>
    <w:p>
      <w:pPr>
        <w:pStyle w:val="ListParagraph"/>
        <w:ind w:left="255" w:hanging="255"/>
      </w:pPr>
      <w:r>
        <w:t>6. 用户补充后记录事实来源并继续任务；回答存在歧义时说明具体不确定处，避免重复追问。</w:t>
      </w:r>
    </w:p>
    <w:p>
      <w:r>
        <w:t>正式编码手册应具体界定条件性信息是否足以满足当前请求。用户要求明确个案结论时，不能仅因理论上可以复述规则门槛，就将相关资格澄清一律判为不必要。</w:t>
      </w:r>
    </w:p>
    <w:p>
      <w:pPr>
        <w:pStyle w:val="Heading2"/>
      </w:pPr>
      <w:r>
        <w:t>8.3 三个触发示例</w:t>
      </w:r>
    </w:p>
    <w:p>
      <w:r>
        <w:t>示例一：用户问“要交哪些材料”，尚未说明每周能参加几次。参加次数不影响材料清单，应直接提供材料资料，不能先追问参加次数。</w:t>
      </w:r>
    </w:p>
    <w:p>
      <w:r>
        <w:t>示例二：用户问“他应选哪种登记类别和参加安排”，未提供此前是否获本项目名额与每周最多能到场几次。两个事实都会改变建议，A组应先问其中一个必要事实；补充后若仍缺另一个，再询问。不能把“准备参加”当作“此前从未获名额”，也不能把希望多交流当作每周实际可到场次数。</w:t>
      </w:r>
    </w:p>
    <w:p>
      <w:r>
        <w:t>示例三：用户说“他每周能去三次，以前没拿过这个项目的名额，之前那个是比赛奖品”。相关事实已经提供，即使用口语也不能因此要求重新完整表述。应继续回答当前问题。</w:t>
      </w:r>
    </w:p>
    <w:p>
      <w:pPr>
        <w:pStyle w:val="Heading2"/>
      </w:pPr>
      <w:r>
        <w:t>8.4 防止无效或不公平的追问</w:t>
      </w:r>
    </w:p>
    <w:p>
      <w:r>
        <w:t>一个事实不因措辞不规范而被视为缺失；用户拒绝提供案例事实时允许回答已知规则，并明确结论边界。追问不能泄露正确选项，也不能添加只有 A 组获得的材料提醒、全局检查清单或结论教学。</w:t>
      </w:r>
    </w:p>
    <w:p>
      <w:r>
        <w:t>A组提示要求每轮最多问一个当前判断必需的事实，已知事实不重复询问；用户不知道时给出有依据的条件性建议，不循环追问。实际模型可能违反提示，因此这些要求是待核查的目标行为，不是程序硬保证。当前没有独立的语义事实状态表，也不按旧别名匹配机制决定真实模型是否追问。</w:t>
      </w:r>
    </w:p>
    <w:p>
      <w:pPr>
        <w:pStyle w:val="Heading2"/>
      </w:pPr>
      <w:r>
        <w:t>8.5 机制实现与降级</w:t>
      </w:r>
    </w:p>
    <w:p>
      <w:r>
        <w:t>当前真实模型策略统一为 prompt，旧环境配置 module 仅兼容映射为 prompt。基础提示版本为 answer-dialogue-v6；A组组合版本为 answer-dialogue-v6+clarify-dialogue-v4。每轮保存 dialogue_prompt 事件中的实际系统提示及是否追加策略；A组另记 prompt_strategy。完整原始消息用于复核模型是否遵从。</w:t>
      </w:r>
    </w:p>
    <w:p>
      <w:r>
        <w:t>pilot/live 的接口失败不会默默改用规则演示，也不会把会话改标S组。服务异常、空输出或截断返回可恢复错误；demo 才保留槽位判断、资料路由和关键词回退。历史 module_clarification 计数兼容保留，不能将旧模块机制和新版提示词干预混成同一处理。</w:t>
      </w:r>
    </w:p>
    <w:p>
      <w:r>
        <w:t>以下是当前代码在共同基础提示后追加的原文，仅用于A组；任务背景和统一参考资料仍来自相同基础提示。版本为clarify-dialogue-v4，实际系统提示另存于每轮dialogue_prompt事件。</w:t>
      </w:r>
    </w:p>
    <w:p>
      <w:r>
        <w:t>额外的澄清策略（主动澄清组）：</w:t>
      </w:r>
    </w:p>
    <w:p>
      <w:pPr>
        <w:pStyle w:val="ListParagraph"/>
        <w:ind w:left="255" w:hanging="255"/>
      </w:pPr>
      <w:r>
        <w:t>1. 先核对共同背景和全部对话。已经明确给出的事实绝不重复追问；用户更正以最新说明为准。</w:t>
      </w:r>
    </w:p>
    <w:p>
      <w:pPr>
        <w:pStyle w:val="ListParagraph"/>
        <w:ind w:left="255" w:hanging="255"/>
      </w:pPr>
      <w:r>
        <w:t>2. 用户请求针对具体个案的判断或方案建议，且缺少会改变结论的关键事实时，本轮应先主动提问，而不是作确定判断。按资料中该条件的准确含义问，不得换成相近条件。对每项必要个案事实，必须能在共同背景或用户消息中找到明确依据；找不到就是尚未提供，不能猜测。‘准备参加’不说明此前是否获得过名额；希望多到场不说明每周实际最多能到场几次。不要用列举所有可能情况或邀请另选查询主题来代替这次必要的澄清。</w:t>
      </w:r>
    </w:p>
    <w:p>
      <w:pPr>
        <w:pStyle w:val="ListParagraph"/>
        <w:ind w:left="255" w:hanging="255"/>
      </w:pPr>
      <w:r>
        <w:t>3. 需要澄清时，输出的第一个字符必须是标记【澄清提问】，后面用简短中文提出一个具体问题。该标记供程序统计，不能省略。每轮最多问一个当前判断必需的问题，不依照固定顺序机械追问；不要同时给出尚未确定的方案。若同轮还有不依赖该事实的子问题，可以简要回答。</w:t>
      </w:r>
    </w:p>
    <w:p>
      <w:pPr>
        <w:pStyle w:val="ListParagraph"/>
        <w:ind w:left="255" w:hanging="255"/>
      </w:pPr>
      <w:r>
        <w:t>4. 用户回答后，结合全部对话与统一资料继续完成原问题；仍缺少另一个必要事实时再问一个。信息足够时直接给出结论与依据，不写标记，也不要为了澄清而继续提问。用户表示不知道或无法补充时，说明限制并给出有依据的条件性建议，不循环追问同一个问题。</w:t>
      </w:r>
    </w:p>
    <w:p>
      <w:pPr>
        <w:pStyle w:val="ListParagraph"/>
        <w:ind w:left="255" w:hanging="255"/>
      </w:pPr>
      <w:r>
        <w:t>5. 用户只问规则、日期、材料或差异时，直接回答，不追问无关个案事实。若只是问候或尚未提出任务问题，请简短回应并邀请用户提问，不主动追问资格条件。不能因为用户用口语、短句或缺少专业词汇而追问。</w:t>
      </w:r>
    </w:p>
    <w:p>
      <w:pPr>
        <w:pStyle w:val="Heading2"/>
      </w:pPr>
      <w:r>
        <w:t>8.6 机制研究的边界</w:t>
      </w:r>
    </w:p>
    <w:p>
      <w:r>
        <w:t>透明规则、任务条件表和提示词构成可解释的干预流程，可以作为工程实现与研究对象。既有澄清研究也关注提问后获得的信息是否有用，但具体方法与本项目不同，不能据此认定本平台已经有效。[6] 若没有相应算法研究与比较证据，不将其称为已证实优于既有方法的原创算法。改进规则后的验证尽量使用新参与者或独立任务，并保留同期 S 对照。</w:t>
      </w:r>
    </w:p>
    <w:p>
      <w:bookmarkStart w:id="9" w:name="chapter_9"/>
      <w:pPr>
        <w:pStyle w:val="Heading1"/>
      </w:pPr>
      <w:r>
        <w:t>九 参与者端完整功能规格</w:t>
      </w:r>
      <w:bookmarkEnd w:id="9"/>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020"/>
        <w:gridCol w:w="3798"/>
        <w:gridCol w:w="4422"/>
      </w:tblGrid>
      <w:tr>
        <w:trPr>
          <w:cantSplit/>
          <w:tblHeader/>
        </w:trPr>
        <w:tc>
          <w:tcPr>
            <w:tcW w:type="dxa" w:w="1020"/>
            <w:vAlign w:val="center"/>
            <w:tcMar>
              <w:top w:w="85" w:type="dxa"/>
              <w:bottom w:w="85" w:type="dxa"/>
              <w:left w:w="110" w:type="dxa"/>
              <w:right w:w="110" w:type="dxa"/>
            </w:tcMar>
            <w:shd w:fill="E5ECF2"/>
          </w:tcPr>
          <w:p>
            <w:pPr>
              <w:keepNext w:val="0"/>
              <w:spacing w:after="0" w:before="0" w:line="271" w:lineRule="auto"/>
              <w:jc w:val="center"/>
            </w:pPr>
            <w:r>
              <w:rPr>
                <w:rFonts w:ascii="Arial" w:hAnsi="Arial" w:eastAsia="Heiti SC"/>
                <w:b/>
                <w:color w:val="000000"/>
                <w:sz w:val="18"/>
              </w:rPr>
              <w:t>功能编号</w:t>
            </w:r>
          </w:p>
        </w:tc>
        <w:tc>
          <w:tcPr>
            <w:tcW w:type="dxa" w:w="379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功能与关键行为</w:t>
            </w:r>
          </w:p>
        </w:tc>
        <w:tc>
          <w:tcPr>
            <w:tcW w:type="dxa" w:w="442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验收要点</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P01</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研究说明与自愿同意</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不同意不能创建研究会话 告知版本可追溯</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P02</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学生准入</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18—25岁 专科／本科 在读确认true 统一服务端白名单</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P03</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背景与前测</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仅必要字段 全部题目合法 答案键不下发</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P04</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开始任务</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一次创建 分组与快照同事务保存 服务端计时</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P05</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案例展示</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共同背景与参与者私有事实清楚分区 不显示评分</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P06</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自然语言对话</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Enter发送 Shift＋Enter换行 中文输入法确认不误发 失败可重试</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P07</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主动澄清</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只追问合法条件 已提供事实不反复询问</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P08</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模型作答</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直接答本轮问题 可整合公共资料 不以单卡代替回答</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P09</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会话恢复</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编号与历史一致 起点不变 选项次序稳定</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P10</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进入决策</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正常两轮有效回复 超时可不足两轮进入 待回复时阻止进入</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P11</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决策与反馈</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参加与办理各选一项 依据和反馈不改变机器分</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P12</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完成与退出</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重复提交409且保留首次结果 未完成不写零分 可删除会话</w:t>
            </w:r>
          </w:p>
        </w:tc>
      </w:tr>
    </w:tbl>
    <w:p>
      <w:pPr>
        <w:spacing w:after="0" w:before="0" w:line="80" w:lineRule="exact"/>
      </w:pPr>
      <w:r>
        <w:rPr>
          <w:rFonts w:ascii="Arial" w:hAnsi="Arial" w:eastAsia="Songti SC"/>
          <w:color w:val="000000"/>
          <w:sz w:val="8"/>
        </w:rPr>
      </w:r>
    </w:p>
    <w:p>
      <w:r>
        <w:t>表中P01至P12主体流程已实现，开始请求与消息请求已有request_id去重、进行中状态及失败重试控制。正常两轮门槛有超时例外，并非材料已理解或样本有效的判断。正式同意版本快照、语义事实状态及完整异常工作台仍需补强。</w:t>
      </w:r>
    </w:p>
    <w:p>
      <w:r>
        <w:t>输入框Enter发送、Shift＋Enter换行，中文输入法选词确认和长按重复不触发发送；等待回复时禁止重复提交。输入区应有简短提示，提醒只讨论虚构案例、不输入真实身份资料。错误消息应说明如何继续，例如“本次回复未完成，可重试”；不展示堆栈、密钥、数据库路径或其他人的记录。</w:t>
      </w:r>
    </w:p>
    <w:p>
      <w:bookmarkStart w:id="10" w:name="chapter_10"/>
      <w:pPr>
        <w:pStyle w:val="Heading1"/>
      </w:pPr>
      <w:r>
        <w:t>十 研究后台完整功能规格</w:t>
      </w:r>
      <w:bookmarkEnd w:id="10"/>
    </w:p>
    <w:p>
      <w:pPr>
        <w:pStyle w:val="Heading2"/>
      </w:pPr>
      <w:r>
        <w:t>10.1 配置与发布</w:t>
      </w:r>
    </w:p>
    <w:p>
      <w:r>
        <w:t>研究者可配置任务说明、公共参考资料、槽位、四情景、五个参加方案和五个办理方案，选择当前合法年龄区间。材料审查页 /admin/instruments 统一展示30题与一套任务四情景，包含答案和评分，只向认证研究者开放。问卷由代码管理；冻结、审批和更细发布工作流仍需扩展。</w:t>
      </w:r>
    </w:p>
    <w:p>
      <w:r>
        <w:t>问卷管理应支持题目、答案、维度与计分版本；正式使用前导出配置清单核对。当前问卷由代码管理，正式版本可先采用经审查的代码配置方式，不必为了界面编辑器而推迟必要验证。</w:t>
      </w:r>
    </w:p>
    <w:p>
      <w:pPr>
        <w:pStyle w:val="Heading2"/>
      </w:pPr>
      <w:r>
        <w:t>10.2 进度与质量监控</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页面</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应展示内容</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解释限制</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招募概览</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入组 完成 未完成 分组与年龄分布</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同时展示各类分母</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前测分析</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版本 样本量 逐题答对率 校正相关 KR20</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描述性检查不能自动判定效度</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任务分布</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参加与办理选项 得分 可行与最优 四情景样本数</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不自动生成真实效应结论</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过程监控</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用户轮次 澄清次数 资料获取 回复延迟 异常率</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事件次数不等于理解程度</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会话记录</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背景 任务 对话 提示次数 最终选择 自动分数 纳入原因</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常用页只读 完整证据见归档</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服务健康</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接口失败 配置不一致 待处理异常</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技术监控与有效性判断分开</w:t>
            </w:r>
          </w:p>
        </w:tc>
      </w:tr>
    </w:tbl>
    <w:p>
      <w:pPr>
        <w:spacing w:after="0" w:before="0" w:line="80" w:lineRule="exact"/>
      </w:pPr>
      <w:r>
        <w:rPr>
          <w:rFonts w:ascii="Arial" w:hAnsi="Arial" w:eastAsia="Songti SC"/>
          <w:color w:val="000000"/>
          <w:sz w:val="8"/>
        </w:rPr>
      </w:r>
    </w:p>
    <w:p>
      <w:r>
        <w:t>当前后台已有主要样本分布、前测描述、资料获取和分层均分差展示；完整服务健康监控和独立异常工作台属于补强项。探索性均分差只用于观察采集情况，不替代正式推断。</w:t>
      </w:r>
    </w:p>
    <w:p>
      <w:pPr>
        <w:pStyle w:val="Heading2"/>
      </w:pPr>
      <w:r>
        <w:t>10.3 有效性审核</w:t>
      </w:r>
    </w:p>
    <w:p>
      <w:r>
        <w:t>当前后台会话记录用于只读复核，自动分析不依赖“待审核／有效／无效”等历史人工状态。人工状态、原因、操作者和时间仍保留在内部归档，兼容历史接口；它们不自动覆盖当前纳入与评分。任何剔除方案仍须由研究团队预先规定，过程提醒从答案与对话派生，如“不确定作答X题”，不按组或低分造异常；提醒不自动排除，低分、短句或负担高不是无效理由。</w:t>
      </w:r>
    </w:p>
    <w:p>
      <w:r>
        <w:t>当前客观任务不允许人工改写分数；记录页可显示分组、提示词、最终选择和机器分，不提供结局隐藏的盲审保证。人工必要性或错误编码应另建附表，保留原始证据，双人编码与分歧裁决仍属研究流程。</w:t>
      </w:r>
    </w:p>
    <w:p>
      <w:pPr>
        <w:pStyle w:val="Heading2"/>
      </w:pPr>
      <w:r>
        <w:t>10.4 导出与数据操作</w:t>
      </w:r>
    </w:p>
    <w:p>
      <w:r>
        <w:t>所有导出均需管理员认证。常用 raw／analysis 导出采用固定精简字段及永久record_id；analysis 按当前配置、完整30题作答及客观完成自动筛选，raw 保留更广范围的已有记录，包括未完成或历史记录。完整archive-export保存内部ID、任务快照、消息、事件、请求与审核历史，不应把常用精简表误当完整归档。研究者试跑不进入普通完成分析。</w:t>
      </w:r>
    </w:p>
    <w:p>
      <w:r>
        <w:t>页面五项常用导出为记录CSV／JSON、已完成记录CSV及对话CSV／JSON，均直接读取同一数据库。常用记录CSV每行一次会话，中文表头；JSON为英文键。逐题答案在常用表中为1—4选项位置，归档中的原始向量从0起。独立dialogue-export JSON按会话保存消息数组，CSV按消息逐行，以record_id连接；消息原文和UTC／北京时间并存。完整归档的快照、消息、事件等以JSON字符串保存，需二次解析。三类常用CSV仅留业务列，省略来源和内部分析资格；常用JSON及完整归档保留来源、时间标记及资格。</w:t>
      </w:r>
    </w:p>
    <w:p>
      <w:r>
        <w:t>删除应展示具体会话范围和完成结果；备份中的删除策略需事先说明。原型已支持按会话删除会话、消息、事件与审核历史，完整版本还应记录最小化操作审计信息并验证备份保留及恢复后的删除一致性。</w:t>
      </w:r>
    </w:p>
    <w:p>
      <w:pPr>
        <w:pStyle w:val="Heading2"/>
      </w:pPr>
      <w:r>
        <w:t>10.5 当前合成展示与正式分析资格</w:t>
      </w:r>
    </w:p>
    <w:p>
      <w:r>
        <w:t>当前批次student-126-20261022-v4含126条完成记录，三个年龄区间各42条、S／A各63条。沿用V3的前测、决策、背景、分组、情景、对话正文、动作和模拟时点，仅增加逐轮耗时估计，不按均分调分。旧600条、跨年龄资料及V1不重标；研究设计和学生材料版本不变。</w:t>
      </w:r>
    </w:p>
    <w:p>
      <w:r>
        <w:t>人工过程预设逐条A2–8次、S1–5次来源，范围重叠；每卡最多两次且不连续，允许间隔复核，年龄兴趣权重不同。初始可给无、一项或两项事实；A只问未给事实0–2次，补齐即继续回答，S不主动问。实际A3–10轮、S2–8轮，总线索308／195次，每次事件对应模板正文。这是展示假设，不是实测效应。</w:t>
      </w:r>
    </w:p>
    <w:p>
      <w:r>
        <w:t>未调用模型。AI平均用时按回复长度、动作类型及固定seed逐轮估算，766次为0.674–6.405秒，按回复数加权平均2.86秒，各会话均值1.94–4.02秒；估计不作性能评测。前测耗时与实际模型延迟仍为空；JSON及归档保留is_synthetic、data_origin、时间标记及正式分析资格0，三类CSV只留业务列。kind=analysis可返回可计算展示记录，不能凭接口名当作真实样本。</w:t>
      </w:r>
    </w:p>
    <w:p>
      <w:r>
        <w:t>来源接口保留冻结材料、manifest、父批次及个人指纹供复核；五项下载读取同一V4库，不重复列来源目录。manifest如实保存逐条过程规则与人工假设，不再固定S3／A5卡。分差、时长和题项分布不构成招募、信效度或干预证据；普通demo仍按模式与来源单独解释。</w:t>
      </w:r>
    </w:p>
    <w:p>
      <w:bookmarkStart w:id="11" w:name="chapter_11"/>
      <w:pPr>
        <w:pStyle w:val="Heading1"/>
      </w:pPr>
      <w:r>
        <w:t>十一 结果指标 评分与公平性评价</w:t>
      </w:r>
      <w:bookmarkEnd w:id="11"/>
    </w:p>
    <w:p>
      <w:pPr>
        <w:pStyle w:val="Heading2"/>
      </w:pPr>
      <w:r>
        <w:t>11.1 最终任务表现</w:t>
      </w:r>
    </w:p>
    <w:p>
      <w:r>
        <w:t>主要候选结局为预设决策质量分数，取值由任务版本决定。研究团队应在正式收集前指定主要结局，并记录选择理由；如量尺间距缺乏充分依据，可把完全正确比例或有序选项等级作为主要或敏感性分析指标。</w:t>
      </w:r>
    </w:p>
    <w:p>
      <w:r>
        <w:t>服务端接收公开选项令牌，映射回会话快照内的稳定选项 ID，再取对应固定分值。不能接收客户端传入的分数，不能按显示字母 A 至 E 绑定分值，也不能用聊天模型自由打分。可选决策依据与体验反馈不改变机器分。</w:t>
      </w:r>
    </w:p>
    <w:p>
      <w:pPr>
        <w:pStyle w:val="Heading2"/>
      </w:pPr>
      <w:r>
        <w:t>11.2 时间与过程指标</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指标</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定义与单位</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边界</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任务总经过时间</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首次成功提交时间减会话创建时间 秒</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含阅读 等待 决策 反馈与停留 不含前测</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用户轮次</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已保存的用户消息数</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失败本轮撤销临时输入 不占有效回复轮次</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澄清次数</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保存动作prompt_clarification及历史module_clarification</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两组均计 标记漏用／误用须离线核查</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资料覆盖</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demo的evidence_reveal集合及次数</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真实模型未记录逐卡揭示 不可当作未使用资料</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AI平均用时</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会话内有效回复耗时的平均秒数</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真实取实测 展示取估计 不能混作性能评测</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完成比例</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统一观察窗口内成功提交记录数除以对应入组记录数</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按原分配组报告 进行中与未完成分开</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主观负担</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统一题目下的反馈评分</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与客观时间分开解释</w:t>
            </w:r>
          </w:p>
        </w:tc>
      </w:tr>
    </w:tbl>
    <w:p>
      <w:pPr>
        <w:spacing w:after="0" w:before="0" w:line="80" w:lineRule="exact"/>
      </w:pPr>
      <w:r>
        <w:rPr>
          <w:rFonts w:ascii="Arial" w:hAnsi="Arial" w:eastAsia="Songti SC"/>
          <w:color w:val="000000"/>
          <w:sz w:val="8"/>
        </w:rPr>
      </w:r>
    </w:p>
    <w:p>
      <w:r>
        <w:t>V4展示按动作基础耗时、回复字数及固定随机波动估算，保存reply_time_estimate事件和估计器student-reply-time-estimator-v1。记录JSON保存reply_time_source=estimated、样本数和估计器版本，完整归档可查逐轮依据；CSV省略这三个机器字段，70个业务列不变，对话JSON不增平均时间字段。实际模型延迟为空，不生成reply_latency实测事件。汇总按回复数加权，每会话有实测时优先实测；真实记录无日志留空。</w:t>
      </w:r>
    </w:p>
    <w:p>
      <w:r>
        <w:t>原始时点采用带时区UTC秒级时间戳，后台显示北京时间；前测未埋点，pretest_time_seconds及synthetic_pretest_time_seconds均为空，不补造前测时长。当前真实模型不生成evidence_reveal逐卡揭示事件，不能以事件为0判断模型未利用参考资料。澄清动作依赖模型输出标记，两组都可能漏标或误标，须离线核查原文。未完成记录的结束时间、完成时长及分数为空。两组按统一观察窗口或截止规则判定完成，仍在进行的会话不能直接算作未完成。不能把缺失值填零后比较平均完成时间；只分析完成者也可能受退出差异影响，应同时报告各组流失与原因。</w:t>
      </w:r>
    </w:p>
    <w:p>
      <w:pPr>
        <w:pStyle w:val="Heading2"/>
      </w:pPr>
      <w:r>
        <w:t>11.3 澄清必要性与有效性</w:t>
      </w:r>
    </w:p>
    <w:p>
      <w:r>
        <w:t>必要性需要人工标准：先区分用户请求一般规则还是具体个案判断，再核对当时是否缺少会改变该判断的事实。一般规则通常可直接回答；具体建议缺必要事实时，应按预定A组策略先询问，而不能仅凭理论上可列举所有情况就判定追问不必要。用户无法补充时可给条件性建议。评审者按统一手册编码，再与实际追问行为比较。</w:t>
      </w:r>
    </w:p>
    <w:p>
      <w:r>
        <w:t>统计以一次回答决策点及其展示追问事件为单位；A组提示要求每轮最多询问一个必要事实，实际是否遵从须看原始正文。必要追问比例为必要追问次数除以全部可完成二元判定的追问次数，不必要追问占比在此集合中为其补数。证据不足或不适用另报数量，不算作不必要。</w:t>
      </w:r>
    </w:p>
    <w:p>
      <w:r>
        <w:t>不必要追问率为对无必要追问的决策点实际追问的次数除以全部无必要追问决策点，与不必要追问占比的分母不同。澄清召回率为实际追问的必要机会除以全部必要机会。分母为零时记为不适用，不能填零或一。当前日志提供编码证据，不自动生成人工真值。</w:t>
      </w:r>
    </w:p>
    <w:p>
      <w:r>
        <w:t>局部有效性记录追问后用户是否提供目标事实、同一缺口是否解决、是否再次重复。整体有效性由随机组间的最终任务表现估计。参与者回答了追问不等于追问一定提高决策质量，澄清次数也不是越多越好。</w:t>
      </w:r>
    </w:p>
    <w:p>
      <w:pPr>
        <w:pStyle w:val="Heading2"/>
      </w:pPr>
      <w:r>
        <w:t>11.4 公平性与群体差距</w:t>
      </w:r>
    </w:p>
    <w:p>
      <w:r>
        <w:t>本项目的信息公平性是具体场景下获得有效帮助的机会、任务结果及交互负担是否存在系统性不利差异。至少同时报告结果、过程和成本；不能只看平均答案分数，也不能只看追问数量。[4][5]</w:t>
      </w:r>
    </w:p>
    <w:p>
      <w:r>
        <w:t>在同一已验证量尺和可比任务内，预先定义较高素养组 H 与较低素养组 L。S 条件差距记为 Gs 等于 H 组均分减 L 组均分；A 条件差距记为 Ga。差距变化 R 等于 Gs 减 Ga。若基线方向符合预期，R 大于零表示该方向的差距减小；出现反转时需报告四个单元均值与绝对差，不能只展示 R。</w:t>
      </w:r>
    </w:p>
    <w:p>
      <w:r>
        <w:t>必须同时检查 L 组自身是否提高、H 组是否下降、两组完成率与成本是否变化。若差距缩小只因为较高组表现下降，不能直接称为理想干预。只有获得不确定性区间和适当分析后，才讨论证据强弱。</w:t>
      </w:r>
    </w:p>
    <w:p>
      <w:r>
        <w:t>分组阈值在实验前确定；连续素养与处理的交互更充分利用信息。没有可靠基线差距时，不强调“缩小百分比”；原差距接近零时比例指标不稳定。当前主线评估的是素养相关的帮助差异，并非已证明表达形式的独立公平性效应。</w:t>
      </w:r>
    </w:p>
    <w:p>
      <w:bookmarkStart w:id="12" w:name="chapter_12"/>
      <w:pPr>
        <w:pStyle w:val="Heading1"/>
      </w:pPr>
      <w:r>
        <w:t>十二 数据模型与版本追溯</w:t>
      </w:r>
      <w:bookmarkEnd w:id="12"/>
    </w:p>
    <w:p>
      <w:pPr>
        <w:pStyle w:val="Heading2"/>
      </w:pPr>
      <w:r>
        <w:t>12.1 数据对象</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对象</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核心内容</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关系</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 task</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说明 资料 条件 选项 版本 年龄范围</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一个任务关联多个会话</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会话 session</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匿名 ID 分组 前测 背景 配置 快照 起止 决策</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每次任务一条主记录</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消息 message</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 ID 角色 原文 时间</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按时间组成对话</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事件 event</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澄清判定 资料展示 延迟 异常 阶段切换</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用于过程复核</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审核 review</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状态 原因 人员 时间</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不能覆盖消息和分数</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发布清单 release</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配置摘要 版本 变更说明 冻结状态</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完整版本新增独立对象</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人工编码 annotation</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必要性 错误类型 分歧裁决</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扩展附表 与原始记录分离</w:t>
            </w:r>
          </w:p>
        </w:tc>
      </w:tr>
    </w:tbl>
    <w:p>
      <w:pPr>
        <w:spacing w:after="0" w:before="0" w:line="80" w:lineRule="exact"/>
      </w:pPr>
      <w:r>
        <w:rPr>
          <w:rFonts w:ascii="Arial" w:hAnsi="Arial" w:eastAsia="Songti SC"/>
          <w:color w:val="000000"/>
          <w:sz w:val="8"/>
        </w:rPr>
      </w:r>
    </w:p>
    <w:p>
      <w:r>
        <w:t>当前SQLite保存任务、会话、消息、模型事件、开始请求、消息请求、记录编号及历史审核记录。复杂配置与归档字段用JSON存储。task_snapshot_json 冻结该会话选定情景、公共资料和两项评分；问卷当前保存版本及逐题答案，并未逐会话保存完整题文。应随代码冻结当前学生题库与材料清单以支持复算。</w:t>
      </w:r>
    </w:p>
    <w:p>
      <w:pPr>
        <w:pStyle w:val="Heading2"/>
      </w:pPr>
      <w:r>
        <w:t>12.2 每次会话必须能够回答的问题</w:t>
      </w:r>
    </w:p>
    <w:p>
      <w:r>
        <w:t>参与者完成了哪份问卷，答了什么，得分如何计算？依据哪套规则进入哪个组？AI 使用哪个模型、参数、提示词与澄清策略？任务和资料在当时是什么内容？实际展示了哪些信息？最终选择和分数来自哪个选项？提交为何成功、失败或未完成？</w:t>
      </w:r>
    </w:p>
    <w:p>
      <w:r>
        <w:t>现有记录包含任务快照、问卷版本与答案、模型配置ID、提示词版本、实际系统提示事件、组别、请求去重标识及主要过程事件。尚需统一同意材料版本、完整发布清单及更强的操作审计；不能把仅保存版本说成逐会话冻结了全部问卷题文。</w:t>
      </w:r>
    </w:p>
    <w:p>
      <w:pPr>
        <w:pStyle w:val="Heading2"/>
      </w:pPr>
      <w:r>
        <w:t>12.3 版本分层</w:t>
      </w:r>
    </w:p>
    <w:p>
      <w:r>
        <w:t>研究设计版本管理实验结构，问卷版本管理测量内容，任务版本管理案例与评分，策略版本管理澄清实现，模型配置标识管理服务地址与生成参数，代码版本管理工程实现。不能只用一个“V2”同时指代以上全部内容。</w:t>
      </w:r>
    </w:p>
    <w:p>
      <w:r>
        <w:t>干预迭代可称为基线 S、初版 A1、改进版 A2。A1 和 A2 的改动、训练或调整所用数据、独立验证范围都应记录。两个 A 版本若分别在不同时间采集，时间变化可能成为混杂，不能简单合并为同一实验组。</w:t>
      </w:r>
    </w:p>
    <w:p>
      <w:pPr>
        <w:pStyle w:val="Heading2"/>
      </w:pPr>
      <w:r>
        <w:t>12.4 数据完整性规则</w:t>
      </w:r>
    </w:p>
    <w:p>
      <w:r>
        <w:t>会话创建时完成分组与快照的原子写入；提交时校验状态、选项令牌与快照，再原子写入首次结果；重复提交不更新。删除时处理关联消息与事件。关键时间、分值映射和组别不从客户端直接采信。</w:t>
      </w:r>
    </w:p>
    <w:p>
      <w:r>
        <w:t>导出时给出总记录数、各状态数量和过滤条件。可计算数据与配置文件校验值，以发现意外更改；校验值证明文件一致性，不能证明记录真实或研究没有偏差。</w:t>
      </w:r>
    </w:p>
    <w:p>
      <w:bookmarkStart w:id="13" w:name="chapter_13"/>
      <w:pPr>
        <w:pStyle w:val="Heading1"/>
      </w:pPr>
      <w:r>
        <w:t>十三 统计分析与失败诊断方案</w:t>
      </w:r>
      <w:bookmarkEnd w:id="13"/>
    </w:p>
    <w:p>
      <w:pPr>
        <w:pStyle w:val="Heading2"/>
      </w:pPr>
      <w:r>
        <w:t>13.1 分析职责</w:t>
      </w:r>
    </w:p>
    <w:p>
      <w:r>
        <w:t>平台负责记录、固定评分、校验和导出。研究团队负责统计推断、质性编码及结论解释；自动分析页面如后续建设，必须展示分析对象、模型假设、区间和缺失处理，不能根据一个均分差生成结论。</w:t>
      </w:r>
    </w:p>
    <w:p>
      <w:r>
        <w:t>正式收集前确定主要结局、主要比较、协变量、组别阈值、排除规则、多重比较策略与停止规则。样本量依据最小有意义效果、预期变异、流失及交互效应的检验需求规划；“每组二十人”不能自动保证研究充分。</w:t>
      </w:r>
    </w:p>
    <w:p>
      <w:pPr>
        <w:pStyle w:val="Heading2"/>
      </w:pPr>
      <w:r>
        <w:t>13.2 主要分析建议</w:t>
      </w:r>
    </w:p>
    <w:p>
      <w:r>
        <w:t>在当前18—25岁专本科目标群体中，以统一问卷和任务为基础，先在同情景内比较S／A，再按预定方式等权汇总情景；缺组情景不填造结果。正式分析可用包含情景与人口学因素的模型估计处理效应，并检验连续前测得分与处理的交互。统一材料并不消除差异项、退出和重复参与等问题。</w:t>
      </w:r>
    </w:p>
    <w:p>
      <w:r>
        <w:t>当选择固定分值模型时，示意为：任务得分等于常数、处理条件、中心化素养分、二者交互和预定协变量之和，再加误差。处理系数表示参考素养水平处的组间差异，交互系数表示差异随素养变化的趋势。模型选型需考虑有序选项及分数离散分布，报告稳健区间或相应敏感性分析。</w:t>
      </w:r>
    </w:p>
    <w:p>
      <w:r>
        <w:t>以原分配组保留干预判定失败和规则降级记录；完成者分析、符合方案分析及缺失结果的敏感性分析应分开报告。仅有 analysis 导出的“有效完成者”不足以覆盖全部入组者，必须核对 raw 数据与招募流转。不能直接比较“实际被追问者”和“未被追问者”来推断策略效果；澄清次数和完成时间属于处理后变量，不随意加入主要总效应模型作为控制项。</w:t>
      </w:r>
    </w:p>
    <w:p>
      <w:r>
        <w:t>组间背景均衡用基线分布和适当的标准化差异说明，不以“没有统计显著差异”证明完全均衡。也不能以“低素养组显著、高素养组不显著”证明收益不同，应检验交互或效果之差。若要论证成本增加不超过可接受范围，应预先给出有依据的界值，再按区间评价。</w:t>
      </w:r>
    </w:p>
    <w:p>
      <w:pPr>
        <w:pStyle w:val="Heading2"/>
      </w:pPr>
      <w:r>
        <w:t>13.3 公平与效率的联合判断</w:t>
      </w:r>
    </w:p>
    <w:p>
      <w:r>
        <w:t>先报告 S／A 两组主要结果，再报告各素养水平的处理效果与交互不确定性，最后报告时间、轮次、主观负担和未完成比例。将“是否提高表现”和“改善是否值得成本”分成两个评价问题。</w:t>
      </w:r>
    </w:p>
    <w:p>
      <w:r>
        <w:t>可以绘制任务表现随素养变化的曲线及置信区间，并以单独图表显示成本差异。不要将任意加权的公平分、准确率和速度合成一个总分，除非权重已有明确理论依据并提供敏感性分析。</w:t>
      </w:r>
    </w:p>
    <w:p>
      <w:pPr>
        <w:pStyle w:val="Heading2"/>
      </w:pPr>
      <w:r>
        <w:t>13.4 失败诊断</w:t>
      </w:r>
    </w:p>
    <w:p>
      <w:r>
        <w:t>候选编码包括意图误解、已提供事实被漏识别、必要条件未追问、无关追问、重复追问、资料路由错误、现行规则未获取、旧规则混用、用户误解资料、正确资料已获取但决策错误、接口失败和时间过长。</w:t>
      </w:r>
    </w:p>
    <w:p>
      <w:r>
        <w:t>每条诊断链接到具体消息、事件和规则，允许多重编码及“证据不足”。编码者先依据手册独立判断，再处理分歧并报告一致性。对话观察只能支持过程解释，不能单独证明某个中介机制的因果作用。</w:t>
      </w:r>
    </w:p>
    <w:p>
      <w:bookmarkStart w:id="14" w:name="chapter_14"/>
      <w:pPr>
        <w:pStyle w:val="Heading1"/>
      </w:pPr>
      <w:r>
        <w:t>十四 页面与交互设计</w:t>
      </w:r>
      <w:bookmarkEnd w:id="14"/>
    </w:p>
    <w:p>
      <w:pPr>
        <w:pStyle w:val="Heading2"/>
      </w:pPr>
      <w:r>
        <w:t>14.1 参与者页面</w:t>
      </w:r>
    </w:p>
    <w:p>
      <w:r>
        <w:t>研究说明页用短段落说明目的、时长范围、记录内容和退出；同意选项不默认勾选。背景与前测页显示已完成题数，题干和选项保持稳定顺序或记录随机顺序，提交错误定位到具体题目。</w:t>
      </w:r>
    </w:p>
    <w:p>
      <w:r>
        <w:t>任务页优先显示目标与案例，固定保留“查看案例事实”入口。聊天消息区分用户、资料回复与系统状态；资料正文带完整来源名称和适用时间。避免用颜色表达“你属于较弱群体”等判断。</w:t>
      </w:r>
    </w:p>
    <w:p>
      <w:r>
        <w:t>决策入口明确说明进入后不能继续提问，并由服务端再次校验。决策页各方案采用相同视觉样式和可比较排版，不突出正确答案；依据与反馈均说明是否必填。完成页给出明确保存成功状态，不诱导参与者再次提交。</w:t>
      </w:r>
    </w:p>
    <w:p>
      <w:pPr>
        <w:pStyle w:val="Heading2"/>
      </w:pPr>
      <w:r>
        <w:t>14.2 可访问性</w:t>
      </w:r>
    </w:p>
    <w:p>
      <w:r>
        <w:t>正文采用可缩放字体和清晰行距，移动端避免横向滚动；表单有明确标签，错误提示不只依赖颜色；键盘能够完成主要流程，焦点在页面切换与错误后有合理位置。增加字体大小或阅读辅助时，对同条件参与者按统一规则开放并记录。</w:t>
      </w:r>
    </w:p>
    <w:p>
      <w:r>
        <w:t>当前只面向18—25岁在读专本科，措辞、阅读负担和可访问性需在该群体内认知试访。大学生身份不保证熟悉专业术语或操作。字号、键盘和阅读辅助不得透露正确规则或评分，也不能只向某实验组提供。</w:t>
      </w:r>
    </w:p>
    <w:p>
      <w:pPr>
        <w:pStyle w:val="Heading2"/>
      </w:pPr>
      <w:r>
        <w:t>14.3 后台页面</w:t>
      </w:r>
    </w:p>
    <w:p>
      <w:r>
        <w:t>页首显示研究模式、年龄范围、任务和模型配置；导出按钮旁展示口径。会话详情按时间展示消息与事件，旁边可查看冻结任务和评分映射；人工审核区与原始数据区分开。</w:t>
      </w:r>
    </w:p>
    <w:p>
      <w:r>
        <w:t>删除、归档和新版本启用要显示明确影响范围并写入审计。图表缺样本时显示样本不足或暂无数据，不能用零均分表现缺失；小样本切片只向授权研究者展示，公开展示使用汇总示例。</w:t>
      </w:r>
    </w:p>
    <w:p>
      <w:bookmarkStart w:id="15" w:name="chapter_15"/>
      <w:pPr>
        <w:pStyle w:val="Heading1"/>
      </w:pPr>
      <w:r>
        <w:t>十五 技术架构与接口设计</w:t>
      </w:r>
      <w:bookmarkEnd w:id="15"/>
    </w:p>
    <w:p>
      <w:pPr>
        <w:pStyle w:val="Heading2"/>
      </w:pPr>
      <w:r>
        <w:t>15.1 当前技术架构</w:t>
      </w:r>
    </w:p>
    <w:p>
      <w:r>
        <w:t>浏览器静态页面调用 FastAPI 后端，后端通过模型适配层访问兼容的模型接口，并将任务、消息和事件存入 SQLite。当前前端为原生 HTML、CSS 和 JavaScript，不是 React；不存在为了说明书而默认承诺已使用的框架。[2]</w:t>
      </w:r>
    </w:p>
    <w:p>
      <w:r>
        <w:t>前端处理输入与展示，不掌握API密钥或计分答案。后端承担学生准入、前测校验、分组、会话状态、模型调用、客观评分与导出。真实模型负责依据公共资料进行自然对话、解释与澄清，不直接写入分数；最终质量分仍从冻结选项复算。</w:t>
      </w:r>
    </w:p>
    <w:p>
      <w:r>
        <w:t>原型适合低并发研究投放。若需要更大并发，先通过负载和锁竞争测试确定容量，再考虑任务队列、独立数据库、缓存及多实例部署；不能把单机原型默认描述为已支持大规模并发。</w:t>
      </w:r>
    </w:p>
    <w:p>
      <w:pPr>
        <w:pStyle w:val="Heading2"/>
      </w:pPr>
      <w:r>
        <w:t>15.2 模型适配层</w:t>
      </w:r>
    </w:p>
    <w:p>
      <w:r>
        <w:t>统一封装服务地址、模型名称、温度、输出上限、超时和异常。配置标识覆盖影响行为的主要参数，调用日志保存必要元数据，秘密凭证只存在后端配置中，不写入导出或前端。</w:t>
      </w:r>
    </w:p>
    <w:p>
      <w:r>
        <w:t>demo 模式允许明确标识的规则演示；pilot 和 live 使用真实模型或明确配置的本地模型。演示结果不进入正式分析。正式运行期间发生模型服务变动应记为新批次或异常，不悄悄切换供应商继续同一条件。</w:t>
      </w:r>
    </w:p>
    <w:p>
      <w:pPr>
        <w:pStyle w:val="Heading2"/>
      </w:pPr>
      <w:r>
        <w:t>15.3 关键接口</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701"/>
        <w:gridCol w:w="3969"/>
        <w:gridCol w:w="3572"/>
      </w:tblGrid>
      <w:tr>
        <w:trPr>
          <w:cantSplit/>
          <w:tblHeader/>
        </w:trPr>
        <w:tc>
          <w:tcPr>
            <w:tcW w:type="dxa" w:w="1701"/>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接口类别</w:t>
            </w:r>
          </w:p>
        </w:tc>
        <w:tc>
          <w:tcPr>
            <w:tcW w:type="dxa" w:w="3969"/>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当前接口示例</w:t>
            </w:r>
          </w:p>
        </w:tc>
        <w:tc>
          <w:tcPr>
            <w:tcW w:type="dxa" w:w="357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责任</w:t>
            </w:r>
          </w:p>
        </w:tc>
      </w:tr>
      <w:tr>
        <w:trPr>
          <w:cantSplit/>
        </w:trPr>
        <w:tc>
          <w:tcPr>
            <w:tcW w:type="dxa" w:w="170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研究信息</w:t>
            </w:r>
          </w:p>
        </w:tc>
        <w:tc>
          <w:tcPr>
            <w:tcW w:type="dxa" w:w="3969"/>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GET /api/info 与 GET /api/pretest</w:t>
            </w:r>
          </w:p>
        </w:tc>
        <w:tc>
          <w:tcPr>
            <w:tcW w:type="dxa" w:w="357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按合法age_band返回同一份问卷</w:t>
            </w:r>
          </w:p>
        </w:tc>
      </w:tr>
      <w:tr>
        <w:trPr>
          <w:cantSplit/>
        </w:trPr>
        <w:tc>
          <w:tcPr>
            <w:tcW w:type="dxa" w:w="170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会话创建</w:t>
            </w:r>
          </w:p>
        </w:tc>
        <w:tc>
          <w:tcPr>
            <w:tcW w:type="dxa" w:w="3969"/>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POST /api/start</w:t>
            </w:r>
          </w:p>
        </w:tc>
        <w:tc>
          <w:tcPr>
            <w:tcW w:type="dxa" w:w="357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准入 前测计分 分配 快照 起点</w:t>
            </w:r>
          </w:p>
        </w:tc>
      </w:tr>
      <w:tr>
        <w:trPr>
          <w:cantSplit/>
        </w:trPr>
        <w:tc>
          <w:tcPr>
            <w:tcW w:type="dxa" w:w="170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会话读取与退出</w:t>
            </w:r>
          </w:p>
        </w:tc>
        <w:tc>
          <w:tcPr>
            <w:tcW w:type="dxa" w:w="3969"/>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GET 或 DELETE /api/session/{id}</w:t>
            </w:r>
          </w:p>
        </w:tc>
        <w:tc>
          <w:tcPr>
            <w:tcW w:type="dxa" w:w="357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本人恢复或按会话删除</w:t>
            </w:r>
          </w:p>
        </w:tc>
      </w:tr>
      <w:tr>
        <w:trPr>
          <w:cantSplit/>
        </w:trPr>
        <w:tc>
          <w:tcPr>
            <w:tcW w:type="dxa" w:w="170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任务消息</w:t>
            </w:r>
          </w:p>
        </w:tc>
        <w:tc>
          <w:tcPr>
            <w:tcW w:type="dxa" w:w="3969"/>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POST /api/session/{id}/message</w:t>
            </w:r>
          </w:p>
        </w:tc>
        <w:tc>
          <w:tcPr>
            <w:tcW w:type="dxa" w:w="357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状态校验 澄清或资料回复 日志</w:t>
            </w:r>
          </w:p>
        </w:tc>
      </w:tr>
      <w:tr>
        <w:trPr>
          <w:cantSplit/>
        </w:trPr>
        <w:tc>
          <w:tcPr>
            <w:tcW w:type="dxa" w:w="170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进入决策</w:t>
            </w:r>
          </w:p>
        </w:tc>
        <w:tc>
          <w:tcPr>
            <w:tcW w:type="dxa" w:w="3969"/>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POST /api/session/{id}/decision</w:t>
            </w:r>
          </w:p>
        </w:tc>
        <w:tc>
          <w:tcPr>
            <w:tcW w:type="dxa" w:w="357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共同门槛与聊天锁定</w:t>
            </w:r>
          </w:p>
        </w:tc>
      </w:tr>
      <w:tr>
        <w:trPr>
          <w:cantSplit/>
        </w:trPr>
        <w:tc>
          <w:tcPr>
            <w:tcW w:type="dxa" w:w="170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最终提交</w:t>
            </w:r>
          </w:p>
        </w:tc>
        <w:tc>
          <w:tcPr>
            <w:tcW w:type="dxa" w:w="3969"/>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POST /api/session/{id}/submit</w:t>
            </w:r>
          </w:p>
        </w:tc>
        <w:tc>
          <w:tcPr>
            <w:tcW w:type="dxa" w:w="357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令牌映射 首次评分 结束时间</w:t>
            </w:r>
          </w:p>
        </w:tc>
      </w:tr>
      <w:tr>
        <w:trPr>
          <w:cantSplit/>
        </w:trPr>
        <w:tc>
          <w:tcPr>
            <w:tcW w:type="dxa" w:w="170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研究后台</w:t>
            </w:r>
          </w:p>
        </w:tc>
        <w:tc>
          <w:tcPr>
            <w:tcW w:type="dxa" w:w="3969"/>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/api/admin 下的配置 审核与导出接口</w:t>
            </w:r>
          </w:p>
        </w:tc>
        <w:tc>
          <w:tcPr>
            <w:tcW w:type="dxa" w:w="357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认证及研究数据操作</w:t>
            </w:r>
          </w:p>
        </w:tc>
      </w:tr>
    </w:tbl>
    <w:p>
      <w:pPr>
        <w:spacing w:after="0" w:before="0" w:line="80" w:lineRule="exact"/>
      </w:pPr>
      <w:r>
        <w:rPr>
          <w:rFonts w:ascii="Arial" w:hAnsi="Arial" w:eastAsia="Songti SC"/>
          <w:color w:val="000000"/>
          <w:sz w:val="8"/>
        </w:rPr>
      </w:r>
    </w:p>
    <w:p>
      <w:r>
        <w:t>具体路径以当前路由清单为准，新增功能不直接复用旧路径却改变语义。完整 API 文档应列出请求字段、响应、状态码、幂等策略和版本兼容规则。对跨会话访问、非法选项和配置不匹配必须返回可识别错误。</w:t>
      </w:r>
    </w:p>
    <w:p>
      <w:pPr>
        <w:pStyle w:val="Heading2"/>
      </w:pPr>
      <w:r>
        <w:t>15.4 并发与持久化</w:t>
      </w:r>
    </w:p>
    <w:p>
      <w:r>
        <w:t>分配和提交使用短事务，模型等待期间不持有写锁。开始请求request_id与载荷摘要防重复入组；消息请求通过request_id、进行中状态及尝试标识防乱序、重复与超时旧回复覆盖。失败本轮不占有效轮次，已完成的相同消息请求返回已存结果。最终提交后再次提交返回409并保留首次数据，而不是重复计分。</w:t>
      </w:r>
    </w:p>
    <w:p>
      <w:r>
        <w:t>数据库迁移在备份后执行，迁移脚本带版本和回滚说明。定期备份后进行隔离恢复验证，检查会话、消息、事件和任务快照的一致性。备份成功提示不能代替恢复测试。</w:t>
      </w:r>
    </w:p>
    <w:p>
      <w:pPr>
        <w:pStyle w:val="Heading2"/>
      </w:pPr>
      <w:r>
        <w:t>15.5 当前线上入口与数据库隔离</w:t>
      </w:r>
    </w:p>
    <w:p>
      <w:r>
        <w:t>当前根站用于大学生合成展示，后端在8001；/admin/preview进入管理员专用真实模型试跑，后端在8000。浏览器试跑请求使用同源/preview-api前缀，由反向代理转发到真实模型服务并去除该前缀。/static/app.js使用新版前端；试跑API需要认证，RESEARCHER_PREVIEW_ONLY=1时不能从该服务创建普通参与者记录。两个入口不能仅凭同一域名就当作同一运行模式。</w:t>
      </w:r>
    </w:p>
    <w:p>
      <w:r>
        <w:t>compose.yaml将宿主university-data挂载到容器/app/data，显式DATABASE_PATH=/app/data/lens.sqlite3。compose.preview.yaml附加真实模型试跑隔离。compose.showcase.yaml将university-showcase-data挂载到/app/university-showcase-data，DATABASE_PATH=/app/university-showcase-data/showcase.sqlite3，配合SHOWCASE_MODE=1及demo运行；新保护逻辑拒绝旧showcase-data路径，不能仅改宿主目录仍用旧容器路径。</w:t>
      </w:r>
    </w:p>
    <w:p>
      <w:r>
        <w:t>旧data、showcase-data、600条来源、V1、V2、V3及临时库先做一致性备份并转存服务器外私有位置，核验后从服务器移除；旧答案和对话不重写。V4使用新展示库与新批次收据，沿用V3个人数据和对话过程，旧收据不复用。服务器仅保留两个当前学生数据目录，Compose不再挂载synthetic-datasets。新真实试跑和合成展示使用不同库；研究者试跑record_kind=researcher_preview，不进入普通participant分析。live模式会自动准备带独立-live标识的学生候选任务，正式招募前仍须审查和冻结；若要正式招募，须配置live、真实模型和参与口令，并完成研究准备，不能把现有管理员试跑入口直接当作正式收集入口。</w:t>
      </w:r>
    </w:p>
    <w:p>
      <w:bookmarkStart w:id="16" w:name="chapter_16"/>
      <w:pPr>
        <w:pStyle w:val="Heading1"/>
      </w:pPr>
      <w:r>
        <w:t>十六 隐私 安全与研究伦理</w:t>
      </w:r>
      <w:bookmarkEnd w:id="16"/>
    </w:p>
    <w:p>
      <w:r>
        <w:t>研究说明应列出收集字段、用途、谁可访问、是否传给第三方模型、保存期限、退出和删除方式及研究联系方式。问卷草稿和数据保留方案由研究负责人确认，必要研究审批在正式招募前完成。</w:t>
      </w:r>
    </w:p>
    <w:p>
      <w:r>
        <w:t>优先使用匿名会话，不强制姓名、学号、电话和证件号。参与者输入可能含个人信息，页面需提醒避免输入，研究团队制定发现后的处理流程。严格意义上，无姓名不等于完全匿名；对话内容和小群体背景仍可能带来再识别风险。</w:t>
      </w:r>
    </w:p>
    <w:p>
      <w:r>
        <w:t>当前学生版不招募未成年人、研究生、非在读或超出18—25岁的人群。即使配置旧未成年人邀请码，也不能开启旧年龄组；旧字段仅作历史兼容。在读和年龄声明是技术准入，不替代招募真实性与适用研究审批。</w:t>
      </w:r>
    </w:p>
    <w:p>
      <w:r>
        <w:t>后台网页登录使用有期限的HttpOnly Cookie；脚本仍可用HTTP Basic，二者不意味着已经提供多角色权限。HTTPS与随机管理员凭证由部署者维护，真实密钥留在私有后端.env，公开模板MODEL_API_KEY仅为“自行填写API”，不写入网页或常用导出。敏感后台响应禁止缓存，后台浏览器写请求执行同源检查，Basic脚本保持兼容。限速、细粒度授权和独立操作审计仍需按投放规模补强。</w:t>
      </w:r>
    </w:p>
    <w:p>
      <w:r>
        <w:t>浏览器渲染模型和用户内容时避免执行 HTML 或脚本；导出 CSV 应处理公式注入；当前接口限制消息长度和同会话进行中的重复请求，会话标识兼访问凭证；通用频率限制与更细授权仍需补强。资料和用户输入均视为数据，不能让其中的指令修改系统权限、评分或获取其他会话。</w:t>
      </w:r>
    </w:p>
    <w:p>
      <w:r>
        <w:t>API 密钥、数据库、原始对话及真实研究导出不进入公开代码仓库。公开演示仅使用合成案例，常用JSON及完整归档保留来源标记，三类常用CSV仅含业务列；公开研究数据前开展脱敏和再识别检查。向模型服务发送的数据仅限当前任务所需，不包含前测能力标签、凭证或未授权资料。</w:t>
      </w:r>
    </w:p>
    <w:p>
      <w:r>
        <w:t>保留期限、备份期限和删除范围在正式同意材料中写明具体值，不能长期使用“后续确定”。本人会话删除API和页面入口已实现；仍须完善最小化删除审计、备份保留及恢复后的删除一致性。删除是否影响已经形成的汇总结果应事先告知。</w:t>
      </w:r>
    </w:p>
    <w:p>
      <w:bookmarkStart w:id="17" w:name="chapter_17"/>
      <w:pPr>
        <w:pStyle w:val="Heading1"/>
      </w:pPr>
      <w:r>
        <w:t>十七 现有能力与完整方案的差距</w:t>
      </w:r>
      <w:bookmarkEnd w:id="17"/>
    </w:p>
    <w:p>
      <w:r>
        <w:t>以下以2026年10月22日大学生版代码和部署口径为依据，区分已有工程能力与研究验证要求。工程测试通过不能替代测量验证、研究审批、真实招募或效应证据。</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能力</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现有原型</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完整版本要补强的内容</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参与与前测</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学生准入 统一30题 三年龄背景分层</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在读真实性 题项验证 同意版本</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实验分配</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同资格和配置筛选 情景及组平衡 事务写入</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隐藏分配序列 真实重复参与控制</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任务资料</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一套校园任务 四私事实情景 冻结快照</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来源元数据 完整发布清单 情景验证</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澄清机制</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真实模型直接答 S共同提示 A额外提示 全历史</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实际遵从率 人工必要性编码</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决策评分</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两类各5选项 80＋20分 可行与最优 首次保护</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评分权重与部分分验证</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时长记录</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服务器起止 总经过时间 延迟事件</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显式超时与退出状态 失败请求一致计数</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会话复核</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只读记录 自动纳入 历史审核归档</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双人过程编码 分歧裁决 更细权限</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导出</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精简记录表 对话长表 完整归档 独立合成下载</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完整发布包与研究分析清单</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版本追溯</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任务快照 配置 ID 提示词版本</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完整发布包 问卷 同意及代码关联</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研究分析</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描述性分布及部分均分差</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正式推断由团队线下完成</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隐私安全</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准入 后台认证 会话删除 后端密钥</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删除审计 恢复验证 限速与细粒度授权</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系统健壮性</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请求去重 失败重试 过期尝试隔离 并发测试</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投放规模下负载和恢复验收</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表达等义评测</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当前没有独立模块</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构造规范 人工等义审查 多次运行 单独数据集</w:t>
            </w:r>
          </w:p>
        </w:tc>
      </w:tr>
    </w:tbl>
    <w:p>
      <w:pPr>
        <w:spacing w:after="0" w:before="0" w:line="80" w:lineRule="exact"/>
      </w:pPr>
      <w:r>
        <w:rPr>
          <w:rFonts w:ascii="Arial" w:hAnsi="Arial" w:eastAsia="Songti SC"/>
          <w:color w:val="000000"/>
          <w:sz w:val="8"/>
        </w:rPr>
      </w:r>
    </w:p>
    <w:p>
      <w:r>
        <w:t>当前真实模型试跑可检查完整对话与提示词行为；合成展示仅演示统计及导出，不代表模型遵从或真实参与者结果。正式投放优先完成候选题项、任务评分与目标群体适用性验证、冻结发布配置、重复参与控制和隐私数据流核验。</w:t>
      </w:r>
    </w:p>
    <w:p>
      <w:bookmarkStart w:id="18" w:name="chapter_18"/>
      <w:pPr>
        <w:pStyle w:val="Heading1"/>
      </w:pPr>
      <w:r>
        <w:t>十八 开发计划与验收标准</w:t>
      </w:r>
      <w:bookmarkEnd w:id="18"/>
    </w:p>
    <w:p>
      <w:pPr>
        <w:pStyle w:val="Heading2"/>
      </w:pPr>
      <w:r>
        <w:t>18.1 分阶段建设</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阶段</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主要工作</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通过条件</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第一阶段 原型核验</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核对已有流程 数据字段和计分 进行小规模流程预测试</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每条关键记录可从原始事件复算</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第二阶段 正式实验准备</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验证问卷任务 冻结配置 补强分配 状态 隐私与备份</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发布清单齐全 招募及同意流程可执行</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第三阶段 数据采集</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统一版本投放 监测异常 依规则审核与导出</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样本流转与导出数量一致 异常有记录</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第四阶段 分析与改进</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按方案分析 质性诊断 形成 A2 并独立验证</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结果与假设区分 改进验证不复用同一证据</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第五阶段 可选扩展</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等义表达 多任务 多模型 自动分析工作台</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独立版本 明确新增研究问题与数据边界</w:t>
            </w:r>
          </w:p>
        </w:tc>
      </w:tr>
    </w:tbl>
    <w:p>
      <w:pPr>
        <w:spacing w:after="0" w:before="0" w:line="80" w:lineRule="exact"/>
      </w:pPr>
      <w:r>
        <w:rPr>
          <w:rFonts w:ascii="Arial" w:hAnsi="Arial" w:eastAsia="Songti SC"/>
          <w:color w:val="000000"/>
          <w:sz w:val="8"/>
        </w:rPr>
      </w:r>
    </w:p>
    <w:p>
      <w:r>
        <w:t>每个阶段先解决数据与流程问题，再增加展示功能。开发排期按任务负责人和依赖关系细化，不以未经评估的固定日期承诺全部完成。</w:t>
      </w:r>
    </w:p>
    <w:p>
      <w:pPr>
        <w:pStyle w:val="Heading2"/>
      </w:pPr>
      <w:r>
        <w:t>18.2 必须通过的功能验收</w:t>
      </w:r>
    </w:p>
    <w:p>
      <w:pPr>
        <w:pStyle w:val="ListParagraph"/>
        <w:ind w:left="255" w:hanging="255"/>
      </w:pPr>
      <w:r>
        <w:t>1. 不同意、年龄越界、非在读专本科、身份未确认、口令错误或30题不完整时不能创建新版会话。</w:t>
      </w:r>
    </w:p>
    <w:p>
      <w:pPr>
        <w:pStyle w:val="ListParagraph"/>
        <w:ind w:left="255" w:hanging="255"/>
      </w:pPr>
      <w:r>
        <w:t>2. 两组模型、公共提示和资料一致，仅A组附加澄清提示，私事实和评分不在初始模型输入。</w:t>
      </w:r>
    </w:p>
    <w:p>
      <w:pPr>
        <w:pStyle w:val="ListParagraph"/>
        <w:ind w:left="255" w:hanging="255"/>
      </w:pPr>
      <w:r>
        <w:t>3. 并发创建不会写入重复会话或突破分配事务约束；达到组容量后的行为明确。</w:t>
      </w:r>
    </w:p>
    <w:p>
      <w:pPr>
        <w:pStyle w:val="ListParagraph"/>
        <w:ind w:left="255" w:hanging="255"/>
      </w:pPr>
      <w:r>
        <w:t>4. 刷新恢复不重新分配、不重置时间、不改变当前会话选项顺序。</w:t>
      </w:r>
    </w:p>
    <w:p>
      <w:pPr>
        <w:pStyle w:val="ListParagraph"/>
        <w:ind w:left="255" w:hanging="255"/>
      </w:pPr>
      <w:r>
        <w:t>5. 两类决策选项在进入后才下发且不含分值；正常两轮、超时例外与待回复阻止均经服务端校验。</w:t>
      </w:r>
    </w:p>
    <w:p>
      <w:pPr>
        <w:pStyle w:val="ListParagraph"/>
        <w:ind w:left="255" w:hanging="255"/>
      </w:pPr>
      <w:r>
        <w:t>6. 篡改分数、选项或跨会话令牌不能改变结果；重复提交保留第一次选择和时间。</w:t>
      </w:r>
    </w:p>
    <w:p>
      <w:pPr>
        <w:pStyle w:val="ListParagraph"/>
        <w:ind w:left="255" w:hanging="255"/>
      </w:pPr>
      <w:r>
        <w:t>7. 未完成记录在 raw 中保留空分数与空完成时长；analysis 的每条筛选条件可核对。</w:t>
      </w:r>
    </w:p>
    <w:p>
      <w:pPr>
        <w:pStyle w:val="ListParagraph"/>
        <w:ind w:left="255" w:hanging="255"/>
      </w:pPr>
      <w:r>
        <w:t>8. 修改任务或模型配置后旧快照不改变，配置冲突有明确错误与事件记录。</w:t>
      </w:r>
    </w:p>
    <w:p>
      <w:pPr>
        <w:pStyle w:val="ListParagraph"/>
        <w:ind w:left="255" w:hanging="255"/>
      </w:pPr>
      <w:r>
        <w:t>9. 真实模型超时、空输出、长度截断和网络失败可重试、不占有效轮次、不生成规则回复冒充模型。</w:t>
      </w:r>
    </w:p>
    <w:p>
      <w:pPr>
        <w:pStyle w:val="ListParagraph"/>
        <w:ind w:left="255" w:hanging="255"/>
      </w:pPr>
      <w:r>
        <w:t>10. CSV 与 JSON 的核心字段可逐会话核对；数据库备份能够隔离恢复。</w:t>
      </w:r>
    </w:p>
    <w:p>
      <w:pPr>
        <w:pStyle w:val="Heading2"/>
      </w:pPr>
      <w:r>
        <w:t>18.3 必须通过的研究验收</w:t>
      </w:r>
    </w:p>
    <w:p>
      <w:r>
        <w:t>研究验收须确认统一学生题卷和校园任务完成目标群体预测试，评分与主要结局、样本计划、停止规则和分析方案已固定；年龄／在读招募范围一致，S／A仅有预定提示差异，人工澄清编码可用于具体消息，真实与模拟数据不混算，图表带分母和版本。</w:t>
      </w:r>
    </w:p>
    <w:p>
      <w:r>
        <w:t>现有测试文件可支持工程验收，但本说明书不以其存在替代测试结果。正式发布应由执行人员保存测试日期、代码版本、环境、通过结果与残余问题清单。</w:t>
      </w:r>
    </w:p>
    <w:p>
      <w:bookmarkStart w:id="19" w:name="chapter_19"/>
      <w:pPr>
        <w:pStyle w:val="Heading1"/>
      </w:pPr>
      <w:r>
        <w:t>十九 一个完整任务的运行示例</w:t>
      </w:r>
      <w:bookmarkEnd w:id="19"/>
    </w:p>
    <w:p>
      <w:r>
        <w:t>以下为虚构案例的流程说明，展示数据如何形成；不是参与者记录或实验结果。</w:t>
      </w:r>
    </w:p>
    <w:p>
      <w:r>
        <w:t>某位符合准入的专本科生完成统一30题前测，进入校园共创活动任务。虚构申请人陈禾为21岁在读本科生，本例分配 first_3：仅参与者掌握“每周最多到场3次、此前从未获得本项目名额”。这些是案例事实，不是该参与者本人的年龄、学籍或经历。</w:t>
      </w:r>
    </w:p>
    <w:p>
      <w:r>
        <w:t>用户先问“要交什么、最晚何时、交到哪里”，S／A均应回答报名表和参加计划、2026年11月18日17:00前、到活动服务点提交，不先追问到场次数。若接着问“他应选哪种登记和安排”，A组在缺少必要事实时可先问此前是否获本项目名额，再核实每周可到场次数；S组没有额外澄清指令，但也可能自然追问或说明哪些条件尚不能确定。</w:t>
      </w:r>
    </w:p>
    <w:p>
      <w:r>
        <w:t>用户补充“三次，以前没拿过这个项目名额”，模型结合全部对话继续给出登记甲和现场安排的建议及依据，不能再次机械要求同一事实。此前参加过活动不等于获得过名额，其他比赛奖品不决定本项目登记类别。更正公告取代旧截止，资料没有真实地址或网址时不能编造。</w:t>
      </w:r>
    </w:p>
    <w:p>
      <w:r>
        <w:t>用户进入决策后不能继续聊天。参加与办理两组选项各5个，分别按会话稳定排序。本例选择登记甲＋现场安排得80分，选择以11月18日17:00为限到服务点交齐报名表和参加计划得20分；服务端从情景快照复算总分100、可行1、最优1。其他情景最优参加方案不同。首次成功提交写入结束时间，不能再修改选择或分数。</w:t>
      </w:r>
    </w:p>
    <w:p>
      <w:r>
        <w:t>常用raw导出保留逐题选择、背景、分组、决策、过程和时间，完整archive另含任务快照、消息、模型事件、请求及历史审核信息。未提交的分数和完成时长为空，退出并删除则移除当前会话与关联数据。研究者不得替真实参与者补填答案；若演示本流程，须明确标记人工模拟。</w:t>
      </w:r>
    </w:p>
    <w:p>
      <w:bookmarkStart w:id="20" w:name="chapter_20"/>
      <w:pPr>
        <w:pStyle w:val="Heading1"/>
      </w:pPr>
      <w:r>
        <w:t>附录一 核心数据字典</w:t>
      </w:r>
      <w:bookmarkEnd w:id="20"/>
    </w:p>
    <w:p>
      <w:r>
        <w:t>下表区分常用精简表、完整归档与建议新增字段。常用CSV采用中文表头、JSON采用英文键，以当前schema为准；内部凭证及快照仅在认证归档提供，来源与资格见常用JSON及归档，三类CSV省略这些列。</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35"/>
        <w:gridCol w:w="3118"/>
        <w:gridCol w:w="3288"/>
      </w:tblGrid>
      <w:tr>
        <w:trPr>
          <w:cantSplit/>
          <w:tblHeader/>
        </w:trPr>
        <w:tc>
          <w:tcPr>
            <w:tcW w:type="dxa" w:w="283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字段或字段组</w:t>
            </w:r>
          </w:p>
        </w:tc>
        <w:tc>
          <w:tcPr>
            <w:tcW w:type="dxa" w:w="311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含义与类型</w:t>
            </w:r>
          </w:p>
        </w:tc>
        <w:tc>
          <w:tcPr>
            <w:tcW w:type="dxa" w:w="328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缺失及使用规则</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record_id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常用表永久记录编号 如R0001</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多表连接 删除后不复用 不代表独立人数</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id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内部随机会话标识兼访问凭证</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只在完整归档提供 不公开分享</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record_kind 与 data_origin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participant／researcher_preview／synthetic等来源</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仅JSON及归档 真实参与 试跑 合成分开</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is_synthetic 与 timestamp_is_simulated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合成及模拟时点标记</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JSON及归档保留 常用CSV不含</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analysis_eligible 与 platform_analysis_eligible</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正式参与者分析资格</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合成固定false／0 常用CSV不含</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showcase_analysis_eligible</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当前合成展示统计可计算</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仅JSON及归档 不能代替正式资格</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task_id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任务标识 版本在任务快照 version 中</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旧记录继续绑定旧任务</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task_snapshot_json</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创建时任务资料和评分配置 JSON 字符串</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不可用当前任务覆盖</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run_mode 与 is_demo</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运行模式和材料阶段标记</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pilot也可能is_demo为1 不能仅凭该字段判断合成</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age_band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18-20／21-23／24-25人口学区间</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不直接代表素养 三者同卷同任务</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scenario_id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first_1／first_3／return_1／return_3</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两项私事实组合 用于案例分层</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anchor_score</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18个指定题ID的兼容分项</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非跨版本校准锚题</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education_stage 与 student_confirmed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college／bachelor及在读确认1</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未确认旧记录默认0 不自动改成大学生</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topic_familiarity</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核查通知规则的熟悉程度 1—5</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自报背景 不等于客观信息素养</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literacy_instrument_version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问卷版本</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跨版本不自动等值</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literacy_answers_json</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逐题原始选择 JSON 字符串</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用于复算与逐题检查</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literacy_score 与 literacy_percent</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原始答对数与百分数</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保留连续值 不只留区间</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literacy_band 与 literacy_band_width</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分配区间及区间宽度</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分配用途 不等于固定能力标签</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group_id 与 interaction_condition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S／A 及普通／自适应条件</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以原始分配为准</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design_version 与 assignment_seed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研究设计版本及分配随机配置</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当前种子不能单独证明序列可复现</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model_config_id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模型及主要参数配置摘要</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不同配置需隔离核对</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prompt_version 与 clarification_strategy</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共同提示或共同＋额外提示 策略prompt</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旧module配置映射 不把历史模块记录并入新版</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created_at 与 ended_at</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服务端 UTC 起止时间</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未完成 ended_at 为空</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decision_started_at</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进入决策的时间</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同时保存阶段切换事件</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task_completion_seconds</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会话创建至首次成功提交 秒</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未完成为空 不含前测 非活跃操作时间</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dialogue_elapsed_seconds 与 decision_elapsed_seconds</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对话阶段及决策阶段经过秒数</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缺少时点为空 不补造</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pretest_time_seconds</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前测作答耗时</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无起点埋点 真实与合成前测耗时均为空</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mean_reply_seconds</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会话内AI平均回复秒数</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真实取实测 展示取逐轮估计 无日志不补</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reply_time_source 等</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耗时来源 样本数与估计器版本</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记录JSON存来源／版本 逐轮依据见归档</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decision_choice_id 与 execution_choice_id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参加与办理的内部最终选项</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归档保存 内部ID不等于公开令牌或显示字母</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decision_quality_score</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参加最高80＋办理最高20</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候选决策质量 不等于现实成功率</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decision_feasible 与 decision_optimal</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规则可行及满足本任务最优目标</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两项结合判断 与质量分分开</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user_turns 与 ai_clarification_count</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已保存用户消息及澄清动作数</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两组均计数 标记误差须复核</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ai_guidance_count 与 ai_prompt_count</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任务引导数 及引导＋澄清总数</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一般回答不自动算主动提示</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messages_json 与 model_events_json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消息和事件的 JSON 编码字符串</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二次解析后可展开为长表</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submission 与 feedback_json</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决策依据及费力感 帮助感 1 至 5 分</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不参与固定评分</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process_alert_details_json 与 flags_json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按答案和对话派生的提醒与代码</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不按低分或组别造异常 不自动排除</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review_status 与 review_reason</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审核状态与原因 review_code 为原因码</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不覆盖原始结局</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review_history_json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审核修改历史的 JSON 编码字符串</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保留操作者及时间</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consent_version 建议新增</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同意材料版本及确认时间</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不保存不必要身份信息</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request_id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开始及消息请求去重标识</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已实现 归档可查请求状态 不复用不同载荷</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release_id 建议新增</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完整冻结发布清单标识</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连接问卷 任务 模型 代码</w:t>
            </w:r>
          </w:p>
        </w:tc>
      </w:tr>
    </w:tbl>
    <w:p>
      <w:pPr>
        <w:spacing w:after="0" w:before="0" w:line="80" w:lineRule="exact"/>
      </w:pPr>
      <w:r>
        <w:rPr>
          <w:rFonts w:ascii="Arial" w:hAnsi="Arial" w:eastAsia="Songti SC"/>
          <w:color w:val="000000"/>
          <w:sz w:val="8"/>
        </w:rPr>
      </w:r>
    </w:p>
    <w:p>
      <w:bookmarkStart w:id="21" w:name="chapter_21"/>
      <w:pPr>
        <w:pStyle w:val="Heading1"/>
        <w:pageBreakBefore/>
      </w:pPr>
      <w:r>
        <w:t>附录二 等义表达评测模块扩展规格</w:t>
      </w:r>
      <w:bookmarkEnd w:id="21"/>
    </w:p>
    <w:p>
      <w:r>
        <w:t>该模块用于补充原题目中的表达形式证据，不属于当前已实现功能，也不改变本轮真实参与者的两组设计。</w:t>
      </w:r>
    </w:p>
    <w:p>
      <w:r>
        <w:t>最小单元为“任务事实集 × 意图 × 信息充分性状态 × 表达版本 × 交互机制 × 重复运行”。表达版本可包含规范书面表达、自然口语和结构较松散但意思明确的表达；不使用侮辱性能力标签。所有版本必须保持决定答案的事实和请求一致。</w:t>
      </w:r>
    </w:p>
    <w:p>
      <w:r>
        <w:t>先由两名研究者独立核查语义与事实，再冻结测试集。包含条件完整和条件缺失两种状态，才能区分对真实缺口的合理追问与对表达形式的额外追问。每次运行使用全新上下文和相同参数，记录输出、追问、资料选择、延迟及异常。</w:t>
      </w:r>
    </w:p>
    <w:p>
      <w:r>
        <w:t>主要比较同事实、同意图下的任务支持质量差、不必要追问差和额外轮次。测试单元内配对分析，多次运行用于刻画生成随机性，不能把同一题的多次输出都当作独立参与者。模型自动评分只能辅助，关键结局需人工标准或可验证规则。</w:t>
      </w:r>
    </w:p>
    <w:p>
      <w:r>
        <w:t>该模块输出可支持“系统对等义表达的响应稳定性”结论；真实参与者模块输出可支持“干预对不同素养用户的任务效果”结论。二者相互补充，但不能将构造语料的结果冒充真实用户体验。</w:t>
      </w:r>
    </w:p>
    <w:p>
      <w:bookmarkStart w:id="22" w:name="chapter_22"/>
      <w:pPr>
        <w:pStyle w:val="Heading1"/>
        <w:pageBreakBefore/>
      </w:pPr>
      <w:r>
        <w:t>附录三 项目依据与参考资料</w:t>
      </w:r>
      <w:bookmarkEnd w:id="22"/>
    </w:p>
    <w:p>
      <w:r>
        <w:t>1  idea汇总.docx。研究主线、两组被试间设计、计时与评分口径、原始导出和线下分析边界的项目材料。</w:t>
      </w:r>
    </w:p>
    <w:p>
      <w:r>
        <w:t>2  lens_lab 大学生版代码、README.md与docs/research-design.md。核查日期2026年10月22日。重点为app/student_materials.py、app/student_seed.py、app/student_review.py、app/main.py、app/model.py、app/record_reporting.py、app/clean_exports.py、app/student_showcase.py、app/student_synthetic_exports.py、app/db.py及static页面。旧age_forms／age_tasks／clarify仅按其历史或demo用途解释。</w:t>
      </w:r>
    </w:p>
    <w:p>
      <w:r>
        <w:t>3  材料.pdf。保留早期表达差异、必要性、有效性、公平性和交互成本的研究框架；与当前设计的构念关系见第二章。</w:t>
      </w:r>
    </w:p>
    <w:p>
      <w:r>
        <w:t>4  NIST AI Risk Management Framework AI RMF 1.0，2023。用于支持对有效性、可靠性、公平性及风险测量的多维记录。https://doi.org/10.6028/NIST.AI.100-1</w:t>
      </w:r>
    </w:p>
    <w:p>
      <w:r>
        <w:t>5  NIST Artificial Intelligence Risk Management Framework Generative Artificial Intelligence Profile，2024。用于支持生成式 AI 的场景化测量、文档记录与评估边界。https://doi.org/10.6028/NIST.AI.600-1</w:t>
      </w:r>
    </w:p>
    <w:p>
      <w:r>
        <w:t>6  Rao S and Daumé III H，2018。Learning to Ask Good Questions Ranking Clarification Questions using Neural Expected Value of Perfect Information。ACL 2018。用于说明澄清问题可按补充信息的用途评估，不作为本平台效果的证据。https://aclanthology.org/P18-1255/</w:t>
      </w:r>
    </w:p>
    <w:p>
      <w:r>
        <w:t>上述框架不直接提供本项目量表、评分权重或公平阈值。本说明书中的具体指标和功能是项目设计，需要通过预测试、人工标准和正式实验验证。</w:t>
      </w:r>
    </w:p>
    <w:sectPr w:rsidR="00FC693F" w:rsidRPr="0006063C" w:rsidSect="00034616">
      <w:footerReference w:type="default" r:id="rId9"/>
      <w:pgSz w:w="11906" w:h="16838"/>
      <w:pgMar w:top="1077" w:right="1276" w:bottom="1077" w:left="1276" w:header="720" w:footer="48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Songti SC"/>
        <w:color w:val="60606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10"/>
    </w:pPr>
    <w:rPr>
      <w:rFonts w:ascii="Arial" w:hAnsi="Arial" w:eastAsia="Song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76" w:lineRule="auto"/>
      <w:outlineLvl w:val="0"/>
    </w:pPr>
    <w:rPr>
      <w:rFonts w:ascii="Arial" w:hAnsi="Arial" w:eastAsia="Heiti SC"/>
      <w:b/>
      <w:bCs/>
      <w:i w:val="0"/>
      <w:color w:val="000000"/>
      <w:sz w:val="31"/>
      <w:szCs w:val="28"/>
    </w:rPr>
  </w:style>
  <w:style w:type="paragraph" w:styleId="Heading2">
    <w:name w:val="heading 2"/>
    <w:basedOn w:val="Normal"/>
    <w:next w:val="Normal"/>
    <w:link w:val="Heading2Char"/>
    <w:uiPriority w:val="9"/>
    <w:unhideWhenUsed/>
    <w:qFormat/>
    <w:rsid w:val="00FC693F"/>
    <w:pPr>
      <w:keepNext/>
      <w:keepLines/>
      <w:spacing w:before="200" w:after="140" w:line="276" w:lineRule="auto"/>
      <w:outlineLvl w:val="1"/>
    </w:pPr>
    <w:rPr>
      <w:rFonts w:ascii="Arial" w:hAnsi="Arial" w:eastAsia="Heiti SC"/>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76" w:lineRule="auto" w:before="200"/>
      <w:contextualSpacing/>
    </w:pPr>
    <w:rPr>
      <w:rFonts w:ascii="Arial" w:hAnsi="Arial" w:eastAsia="Heiti SC"/>
      <w:b/>
      <w:i w:val="0"/>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spacing w:before="200" w:after="140" w:line="276" w:lineRule="auto"/>
    </w:pPr>
    <w:rPr>
      <w:rFonts w:ascii="Arial" w:hAnsi="Arial" w:eastAsia="Heiti SC"/>
      <w:b/>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00" w:lineRule="auto" w:after="100"/>
      <w:ind w:left="720"/>
      <w:contextualSpacing/>
    </w:pPr>
    <w:rPr>
      <w:rFonts w:ascii="Arial" w:hAnsi="Arial" w:eastAsia="Songti SC"/>
      <w:color w:val="000000"/>
      <w:sz w:val="21"/>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Line">
    <w:name w:val="TOC Line"/>
    <w:pPr>
      <w:spacing w:after="120" w:line="252" w:lineRule="auto"/>
    </w:pPr>
    <w:rPr>
      <w:rFonts w:ascii="Arial" w:hAnsi="Arial" w:eastAsia="Songti SC"/>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LENS Lab 信息公平性评测平台完整功能逻辑与设计说明书</dc:title>
  <dc:subject>挑战杯研究平台 功能 逻辑 目的 设计与验收</dc:subject>
  <dc:creator>项目研究团队</dc:creator>
  <cp:keywords>信息公平性 AI信息素养 主动澄清 大学生 评测平台 挑战杯</cp:keywords>
  <dc:description>generated by python-docx</dc:description>
  <cp:lastModifiedBy/>
  <cp:revision>1</cp:revision>
  <dcterms:created xsi:type="dcterms:W3CDTF">2013-12-23T23:15:00Z</dcterms:created>
  <dcterms:modified xsi:type="dcterms:W3CDTF">2013-12-23T23:15:00Z</dcterms:modified>
  <cp:category/>
</cp:coreProperties>
</file>