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285" w:rsidRDefault="003A4285" w:rsidP="00F1390B">
      <w:pPr>
        <w:widowControl/>
        <w:rPr>
          <w:rFonts w:ascii="微软雅黑" w:eastAsia="微软雅黑" w:hAnsi="微软雅黑" w:cs="宋体"/>
          <w:color w:val="FF0000"/>
          <w:kern w:val="0"/>
          <w:szCs w:val="21"/>
        </w:rPr>
      </w:pPr>
      <w:r>
        <w:rPr>
          <w:noProof/>
        </w:rPr>
        <w:drawing>
          <wp:inline distT="0" distB="0" distL="0" distR="0" wp14:anchorId="30A344DD" wp14:editId="1037FD05">
            <wp:extent cx="5274310" cy="173736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37360"/>
                    </a:xfrm>
                    <a:prstGeom prst="rect">
                      <a:avLst/>
                    </a:prstGeom>
                  </pic:spPr>
                </pic:pic>
              </a:graphicData>
            </a:graphic>
          </wp:inline>
        </w:drawing>
      </w:r>
      <w:bookmarkStart w:id="0" w:name="_GoBack"/>
      <w:bookmarkEnd w:id="0"/>
    </w:p>
    <w:p w:rsidR="00F1390B" w:rsidRPr="00F1390B" w:rsidRDefault="00F1390B" w:rsidP="00F1390B">
      <w:pPr>
        <w:widowControl/>
        <w:rPr>
          <w:rFonts w:ascii="微软雅黑" w:eastAsia="微软雅黑" w:hAnsi="微软雅黑" w:cs="宋体"/>
          <w:color w:val="FF0000"/>
          <w:kern w:val="0"/>
          <w:szCs w:val="21"/>
        </w:rPr>
      </w:pPr>
      <w:r w:rsidRPr="00F1390B">
        <w:rPr>
          <w:rFonts w:ascii="微软雅黑" w:eastAsia="微软雅黑" w:hAnsi="微软雅黑" w:cs="宋体" w:hint="eastAsia"/>
          <w:color w:val="FF0000"/>
          <w:kern w:val="0"/>
          <w:szCs w:val="21"/>
        </w:rPr>
        <w:t>美国联邦基金利率</w:t>
      </w:r>
    </w:p>
    <w:p w:rsidR="008B28D0" w:rsidRDefault="008B28D0">
      <w:r>
        <w:rPr>
          <w:noProof/>
        </w:rPr>
        <w:drawing>
          <wp:inline distT="0" distB="0" distL="0" distR="0" wp14:anchorId="3856CBC4" wp14:editId="189839E7">
            <wp:extent cx="5274310" cy="15398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39875"/>
                    </a:xfrm>
                    <a:prstGeom prst="rect">
                      <a:avLst/>
                    </a:prstGeom>
                  </pic:spPr>
                </pic:pic>
              </a:graphicData>
            </a:graphic>
          </wp:inline>
        </w:drawing>
      </w:r>
    </w:p>
    <w:p w:rsidR="008B28D0" w:rsidRDefault="00F1390B">
      <w:r>
        <w:rPr>
          <w:rFonts w:hint="eastAsia"/>
        </w:rPr>
        <w:t>摩根大通</w:t>
      </w:r>
      <w:proofErr w:type="spellStart"/>
      <w:r>
        <w:rPr>
          <w:rFonts w:hint="eastAsia"/>
        </w:rPr>
        <w:t>p</w:t>
      </w:r>
      <w:r>
        <w:t>mi</w:t>
      </w:r>
      <w:proofErr w:type="spellEnd"/>
    </w:p>
    <w:p w:rsidR="008B28D0" w:rsidRDefault="008B28D0">
      <w:r>
        <w:rPr>
          <w:noProof/>
        </w:rPr>
        <w:drawing>
          <wp:inline distT="0" distB="0" distL="0" distR="0" wp14:anchorId="271EFAA8" wp14:editId="79E87B37">
            <wp:extent cx="5274310" cy="937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37895"/>
                    </a:xfrm>
                    <a:prstGeom prst="rect">
                      <a:avLst/>
                    </a:prstGeom>
                  </pic:spPr>
                </pic:pic>
              </a:graphicData>
            </a:graphic>
          </wp:inline>
        </w:drawing>
      </w:r>
    </w:p>
    <w:p w:rsidR="008B28D0" w:rsidRPr="00F1390B" w:rsidRDefault="00F1390B" w:rsidP="00F1390B">
      <w:pPr>
        <w:widowControl/>
        <w:rPr>
          <w:rFonts w:ascii="微软雅黑" w:eastAsia="微软雅黑" w:hAnsi="微软雅黑" w:cs="宋体"/>
          <w:color w:val="FF0000"/>
          <w:kern w:val="0"/>
          <w:szCs w:val="21"/>
        </w:rPr>
      </w:pPr>
      <w:r w:rsidRPr="00F1390B">
        <w:rPr>
          <w:rFonts w:ascii="微软雅黑" w:eastAsia="微软雅黑" w:hAnsi="微软雅黑" w:cs="宋体" w:hint="eastAsia"/>
          <w:color w:val="FF0000"/>
          <w:kern w:val="0"/>
          <w:szCs w:val="21"/>
        </w:rPr>
        <w:t>美国道琼斯指数</w:t>
      </w:r>
    </w:p>
    <w:p w:rsidR="008B28D0" w:rsidRDefault="00F1390B">
      <w:r>
        <w:rPr>
          <w:noProof/>
        </w:rPr>
        <w:drawing>
          <wp:inline distT="0" distB="0" distL="0" distR="0" wp14:anchorId="629BA9CE" wp14:editId="14361EEA">
            <wp:extent cx="4603713" cy="1753136"/>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4937" cy="1757410"/>
                    </a:xfrm>
                    <a:prstGeom prst="rect">
                      <a:avLst/>
                    </a:prstGeom>
                  </pic:spPr>
                </pic:pic>
              </a:graphicData>
            </a:graphic>
          </wp:inline>
        </w:drawing>
      </w:r>
    </w:p>
    <w:p w:rsidR="008B28D0" w:rsidRDefault="008B28D0"/>
    <w:p w:rsidR="0048733C" w:rsidRDefault="00F1390B">
      <w:r>
        <w:rPr>
          <w:rFonts w:hint="eastAsia"/>
        </w:rPr>
        <w:t>时间滞后证据记录</w:t>
      </w:r>
    </w:p>
    <w:p w:rsidR="0048733C" w:rsidRDefault="0048733C"/>
    <w:tbl>
      <w:tblPr>
        <w:tblW w:w="7140" w:type="dxa"/>
        <w:tblCellMar>
          <w:left w:w="0" w:type="dxa"/>
          <w:right w:w="0" w:type="dxa"/>
        </w:tblCellMar>
        <w:tblLook w:val="04A0" w:firstRow="1" w:lastRow="0" w:firstColumn="1" w:lastColumn="0" w:noHBand="0" w:noVBand="1"/>
      </w:tblPr>
      <w:tblGrid>
        <w:gridCol w:w="435"/>
        <w:gridCol w:w="5276"/>
        <w:gridCol w:w="1429"/>
      </w:tblGrid>
      <w:tr w:rsidR="0048733C">
        <w:trPr>
          <w:trHeight w:val="330"/>
        </w:trPr>
        <w:tc>
          <w:tcPr>
            <w:tcW w:w="435"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 w:val="22"/>
                <w:szCs w:val="22"/>
              </w:rPr>
            </w:pPr>
            <w:r>
              <w:rPr>
                <w:rFonts w:ascii="微软雅黑" w:eastAsia="微软雅黑" w:hAnsi="微软雅黑" w:cs="微软雅黑" w:hint="eastAsia"/>
                <w:color w:val="BF8F00"/>
                <w:kern w:val="0"/>
                <w:sz w:val="22"/>
                <w:szCs w:val="22"/>
                <w:lang w:bidi="ar"/>
              </w:rPr>
              <w:t>7</w:t>
            </w:r>
          </w:p>
        </w:tc>
        <w:tc>
          <w:tcPr>
            <w:tcW w:w="5282"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Cs w:val="21"/>
              </w:rPr>
            </w:pPr>
            <w:r>
              <w:rPr>
                <w:rFonts w:ascii="微软雅黑" w:eastAsia="微软雅黑" w:hAnsi="微软雅黑" w:cs="微软雅黑" w:hint="eastAsia"/>
                <w:color w:val="BF8F00"/>
                <w:kern w:val="0"/>
                <w:szCs w:val="21"/>
                <w:lang w:bidi="ar"/>
              </w:rPr>
              <w:t>进口金额累计同比</w:t>
            </w:r>
          </w:p>
        </w:tc>
        <w:tc>
          <w:tcPr>
            <w:tcW w:w="1430"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Cs w:val="21"/>
              </w:rPr>
            </w:pPr>
            <w:r>
              <w:rPr>
                <w:rFonts w:ascii="微软雅黑" w:eastAsia="微软雅黑" w:hAnsi="微软雅黑" w:cs="微软雅黑" w:hint="eastAsia"/>
                <w:color w:val="BF8F00"/>
                <w:kern w:val="0"/>
                <w:szCs w:val="21"/>
                <w:lang w:bidi="ar"/>
              </w:rPr>
              <w:t>1月</w:t>
            </w:r>
          </w:p>
        </w:tc>
      </w:tr>
      <w:tr w:rsidR="0048733C">
        <w:trPr>
          <w:trHeight w:val="330"/>
        </w:trPr>
        <w:tc>
          <w:tcPr>
            <w:tcW w:w="435"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 w:val="22"/>
                <w:szCs w:val="22"/>
              </w:rPr>
            </w:pPr>
            <w:r>
              <w:rPr>
                <w:rFonts w:ascii="微软雅黑" w:eastAsia="微软雅黑" w:hAnsi="微软雅黑" w:cs="微软雅黑" w:hint="eastAsia"/>
                <w:color w:val="BF8F00"/>
                <w:kern w:val="0"/>
                <w:sz w:val="22"/>
                <w:szCs w:val="22"/>
                <w:lang w:bidi="ar"/>
              </w:rPr>
              <w:t>8</w:t>
            </w:r>
          </w:p>
        </w:tc>
        <w:tc>
          <w:tcPr>
            <w:tcW w:w="5282"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 w:val="22"/>
                <w:szCs w:val="22"/>
              </w:rPr>
            </w:pPr>
            <w:r>
              <w:rPr>
                <w:rFonts w:ascii="微软雅黑" w:eastAsia="微软雅黑" w:hAnsi="微软雅黑" w:cs="微软雅黑" w:hint="eastAsia"/>
                <w:color w:val="BF8F00"/>
                <w:kern w:val="0"/>
                <w:sz w:val="22"/>
                <w:szCs w:val="22"/>
                <w:lang w:bidi="ar"/>
              </w:rPr>
              <w:t>出口金额累计同比</w:t>
            </w:r>
          </w:p>
        </w:tc>
        <w:tc>
          <w:tcPr>
            <w:tcW w:w="1430"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 w:val="22"/>
                <w:szCs w:val="22"/>
              </w:rPr>
            </w:pPr>
            <w:r>
              <w:rPr>
                <w:rFonts w:ascii="微软雅黑" w:eastAsia="微软雅黑" w:hAnsi="微软雅黑" w:cs="微软雅黑" w:hint="eastAsia"/>
                <w:color w:val="BF8F00"/>
                <w:kern w:val="0"/>
                <w:sz w:val="22"/>
                <w:szCs w:val="22"/>
                <w:lang w:bidi="ar"/>
              </w:rPr>
              <w:t>1月</w:t>
            </w:r>
          </w:p>
        </w:tc>
      </w:tr>
      <w:tr w:rsidR="0048733C">
        <w:trPr>
          <w:trHeight w:val="330"/>
        </w:trPr>
        <w:tc>
          <w:tcPr>
            <w:tcW w:w="435"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 w:val="22"/>
                <w:szCs w:val="22"/>
              </w:rPr>
            </w:pPr>
            <w:r>
              <w:rPr>
                <w:rFonts w:ascii="微软雅黑" w:eastAsia="微软雅黑" w:hAnsi="微软雅黑" w:cs="微软雅黑" w:hint="eastAsia"/>
                <w:color w:val="BF8F00"/>
                <w:kern w:val="0"/>
                <w:sz w:val="22"/>
                <w:szCs w:val="22"/>
                <w:lang w:bidi="ar"/>
              </w:rPr>
              <w:lastRenderedPageBreak/>
              <w:t>9</w:t>
            </w:r>
          </w:p>
        </w:tc>
        <w:tc>
          <w:tcPr>
            <w:tcW w:w="5282"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 w:val="22"/>
                <w:szCs w:val="22"/>
              </w:rPr>
            </w:pPr>
            <w:r>
              <w:rPr>
                <w:rFonts w:ascii="微软雅黑" w:eastAsia="微软雅黑" w:hAnsi="微软雅黑" w:cs="微软雅黑" w:hint="eastAsia"/>
                <w:color w:val="BF8F00"/>
                <w:kern w:val="0"/>
                <w:sz w:val="22"/>
                <w:szCs w:val="22"/>
                <w:lang w:bidi="ar"/>
              </w:rPr>
              <w:t>固定资产投资累计同比</w:t>
            </w:r>
          </w:p>
        </w:tc>
        <w:tc>
          <w:tcPr>
            <w:tcW w:w="1430"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Cs w:val="21"/>
              </w:rPr>
            </w:pPr>
            <w:r>
              <w:rPr>
                <w:rFonts w:ascii="微软雅黑" w:eastAsia="微软雅黑" w:hAnsi="微软雅黑" w:cs="微软雅黑" w:hint="eastAsia"/>
                <w:color w:val="BF8F00"/>
                <w:kern w:val="0"/>
                <w:szCs w:val="21"/>
                <w:lang w:bidi="ar"/>
              </w:rPr>
              <w:t>1月</w:t>
            </w:r>
          </w:p>
        </w:tc>
      </w:tr>
      <w:tr w:rsidR="0048733C">
        <w:trPr>
          <w:trHeight w:val="330"/>
        </w:trPr>
        <w:tc>
          <w:tcPr>
            <w:tcW w:w="435"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 w:val="22"/>
                <w:szCs w:val="22"/>
              </w:rPr>
            </w:pPr>
            <w:r>
              <w:rPr>
                <w:rFonts w:ascii="微软雅黑" w:eastAsia="微软雅黑" w:hAnsi="微软雅黑" w:cs="微软雅黑" w:hint="eastAsia"/>
                <w:color w:val="BF8F00"/>
                <w:kern w:val="0"/>
                <w:sz w:val="22"/>
                <w:szCs w:val="22"/>
                <w:lang w:bidi="ar"/>
              </w:rPr>
              <w:t>10</w:t>
            </w:r>
          </w:p>
        </w:tc>
        <w:tc>
          <w:tcPr>
            <w:tcW w:w="5282"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 w:val="22"/>
                <w:szCs w:val="22"/>
              </w:rPr>
            </w:pPr>
            <w:r>
              <w:rPr>
                <w:rFonts w:ascii="微软雅黑" w:eastAsia="微软雅黑" w:hAnsi="微软雅黑" w:cs="微软雅黑" w:hint="eastAsia"/>
                <w:color w:val="BF8F00"/>
                <w:kern w:val="0"/>
                <w:sz w:val="22"/>
                <w:szCs w:val="22"/>
                <w:lang w:bidi="ar"/>
              </w:rPr>
              <w:t>房地产开发投资累计同比</w:t>
            </w:r>
          </w:p>
        </w:tc>
        <w:tc>
          <w:tcPr>
            <w:tcW w:w="1430"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Cs w:val="21"/>
              </w:rPr>
            </w:pPr>
            <w:r>
              <w:rPr>
                <w:rFonts w:ascii="微软雅黑" w:eastAsia="微软雅黑" w:hAnsi="微软雅黑" w:cs="微软雅黑" w:hint="eastAsia"/>
                <w:color w:val="BF8F00"/>
                <w:kern w:val="0"/>
                <w:szCs w:val="21"/>
                <w:lang w:bidi="ar"/>
              </w:rPr>
              <w:t>1月</w:t>
            </w:r>
          </w:p>
        </w:tc>
      </w:tr>
      <w:tr w:rsidR="0048733C">
        <w:trPr>
          <w:trHeight w:val="330"/>
        </w:trPr>
        <w:tc>
          <w:tcPr>
            <w:tcW w:w="435"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 w:val="22"/>
                <w:szCs w:val="22"/>
              </w:rPr>
            </w:pPr>
            <w:r>
              <w:rPr>
                <w:rFonts w:ascii="微软雅黑" w:eastAsia="微软雅黑" w:hAnsi="微软雅黑" w:cs="微软雅黑" w:hint="eastAsia"/>
                <w:color w:val="BF8F00"/>
                <w:kern w:val="0"/>
                <w:sz w:val="22"/>
                <w:szCs w:val="22"/>
                <w:lang w:bidi="ar"/>
              </w:rPr>
              <w:t>11</w:t>
            </w:r>
          </w:p>
        </w:tc>
        <w:tc>
          <w:tcPr>
            <w:tcW w:w="5282"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Cs w:val="21"/>
              </w:rPr>
            </w:pPr>
            <w:r>
              <w:rPr>
                <w:rFonts w:ascii="微软雅黑" w:eastAsia="微软雅黑" w:hAnsi="微软雅黑" w:cs="微软雅黑" w:hint="eastAsia"/>
                <w:color w:val="BF8F00"/>
                <w:kern w:val="0"/>
                <w:szCs w:val="21"/>
                <w:lang w:bidi="ar"/>
              </w:rPr>
              <w:t>社会消费品零售总额同比增长</w:t>
            </w:r>
          </w:p>
        </w:tc>
        <w:tc>
          <w:tcPr>
            <w:tcW w:w="1430"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Cs w:val="21"/>
              </w:rPr>
            </w:pPr>
            <w:r>
              <w:rPr>
                <w:rFonts w:ascii="微软雅黑" w:eastAsia="微软雅黑" w:hAnsi="微软雅黑" w:cs="微软雅黑" w:hint="eastAsia"/>
                <w:color w:val="BF8F00"/>
                <w:kern w:val="0"/>
                <w:szCs w:val="21"/>
                <w:lang w:bidi="ar"/>
              </w:rPr>
              <w:t>1月</w:t>
            </w:r>
          </w:p>
        </w:tc>
      </w:tr>
      <w:tr w:rsidR="0048733C">
        <w:trPr>
          <w:trHeight w:val="330"/>
        </w:trPr>
        <w:tc>
          <w:tcPr>
            <w:tcW w:w="435"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 w:val="22"/>
                <w:szCs w:val="22"/>
              </w:rPr>
            </w:pPr>
            <w:r>
              <w:rPr>
                <w:rFonts w:ascii="微软雅黑" w:eastAsia="微软雅黑" w:hAnsi="微软雅黑" w:cs="微软雅黑" w:hint="eastAsia"/>
                <w:color w:val="BF8F00"/>
                <w:kern w:val="0"/>
                <w:sz w:val="22"/>
                <w:szCs w:val="22"/>
                <w:lang w:bidi="ar"/>
              </w:rPr>
              <w:t>12</w:t>
            </w:r>
          </w:p>
        </w:tc>
        <w:tc>
          <w:tcPr>
            <w:tcW w:w="5282"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Cs w:val="21"/>
              </w:rPr>
            </w:pPr>
            <w:r>
              <w:rPr>
                <w:rFonts w:ascii="微软雅黑" w:eastAsia="微软雅黑" w:hAnsi="微软雅黑" w:cs="微软雅黑" w:hint="eastAsia"/>
                <w:color w:val="BF8F00"/>
                <w:kern w:val="0"/>
                <w:szCs w:val="21"/>
                <w:lang w:bidi="ar"/>
              </w:rPr>
              <w:t>规模以上工业增加值同比</w:t>
            </w:r>
          </w:p>
        </w:tc>
        <w:tc>
          <w:tcPr>
            <w:tcW w:w="1430" w:type="dxa"/>
            <w:tcBorders>
              <w:top w:val="nil"/>
              <w:left w:val="nil"/>
              <w:bottom w:val="nil"/>
              <w:right w:val="nil"/>
            </w:tcBorders>
            <w:shd w:val="clear" w:color="auto" w:fill="auto"/>
            <w:tcMar>
              <w:top w:w="10" w:type="dxa"/>
              <w:left w:w="10" w:type="dxa"/>
              <w:right w:w="10" w:type="dxa"/>
            </w:tcMar>
            <w:vAlign w:val="center"/>
          </w:tcPr>
          <w:p w:rsidR="0048733C" w:rsidRDefault="00F1390B">
            <w:pPr>
              <w:widowControl/>
              <w:jc w:val="center"/>
              <w:textAlignment w:val="center"/>
              <w:rPr>
                <w:rFonts w:ascii="微软雅黑" w:eastAsia="微软雅黑" w:hAnsi="微软雅黑" w:cs="微软雅黑"/>
                <w:color w:val="BF8F00"/>
                <w:szCs w:val="21"/>
              </w:rPr>
            </w:pPr>
            <w:r>
              <w:rPr>
                <w:rFonts w:ascii="微软雅黑" w:eastAsia="微软雅黑" w:hAnsi="微软雅黑" w:cs="微软雅黑" w:hint="eastAsia"/>
                <w:color w:val="BF8F00"/>
                <w:kern w:val="0"/>
                <w:szCs w:val="21"/>
                <w:lang w:bidi="ar"/>
              </w:rPr>
              <w:t>1月</w:t>
            </w:r>
          </w:p>
        </w:tc>
      </w:tr>
    </w:tbl>
    <w:p w:rsidR="0048733C" w:rsidRDefault="00F1390B">
      <w:r>
        <w:rPr>
          <w:rFonts w:hint="eastAsia"/>
        </w:rPr>
        <w:t>7</w:t>
      </w:r>
      <w:r>
        <w:rPr>
          <w:rFonts w:hint="eastAsia"/>
        </w:rPr>
        <w:t>、</w:t>
      </w:r>
      <w:r>
        <w:rPr>
          <w:rFonts w:hint="eastAsia"/>
        </w:rPr>
        <w:t>8</w:t>
      </w:r>
      <w:r>
        <w:rPr>
          <w:rFonts w:hint="eastAsia"/>
        </w:rPr>
        <w:t>：</w:t>
      </w:r>
    </w:p>
    <w:p w:rsidR="0048733C" w:rsidRDefault="00F1390B">
      <w:r>
        <w:rPr>
          <w:noProof/>
        </w:rPr>
        <w:drawing>
          <wp:inline distT="0" distB="0" distL="114300" distR="114300">
            <wp:extent cx="1742440" cy="1062990"/>
            <wp:effectExtent l="0" t="0" r="10160" b="3810"/>
            <wp:docPr id="2" name="图片 2" descr="22e958ccbc42d588e123558c69a3d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e958ccbc42d588e123558c69a3d93"/>
                    <pic:cNvPicPr>
                      <a:picLocks noChangeAspect="1"/>
                    </pic:cNvPicPr>
                  </pic:nvPicPr>
                  <pic:blipFill>
                    <a:blip r:embed="rId11"/>
                    <a:stretch>
                      <a:fillRect/>
                    </a:stretch>
                  </pic:blipFill>
                  <pic:spPr>
                    <a:xfrm>
                      <a:off x="0" y="0"/>
                      <a:ext cx="1742440" cy="1062990"/>
                    </a:xfrm>
                    <a:prstGeom prst="rect">
                      <a:avLst/>
                    </a:prstGeom>
                  </pic:spPr>
                </pic:pic>
              </a:graphicData>
            </a:graphic>
          </wp:inline>
        </w:drawing>
      </w:r>
      <w:r>
        <w:rPr>
          <w:noProof/>
        </w:rPr>
        <w:drawing>
          <wp:inline distT="0" distB="0" distL="114300" distR="114300">
            <wp:extent cx="1826895" cy="895985"/>
            <wp:effectExtent l="0" t="0" r="1905" b="5715"/>
            <wp:docPr id="3" name="图片 3" descr="7c486b597077d97998dd790e4f626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c486b597077d97998dd790e4f626df"/>
                    <pic:cNvPicPr>
                      <a:picLocks noChangeAspect="1"/>
                    </pic:cNvPicPr>
                  </pic:nvPicPr>
                  <pic:blipFill>
                    <a:blip r:embed="rId12"/>
                    <a:stretch>
                      <a:fillRect/>
                    </a:stretch>
                  </pic:blipFill>
                  <pic:spPr>
                    <a:xfrm>
                      <a:off x="0" y="0"/>
                      <a:ext cx="1826895" cy="895985"/>
                    </a:xfrm>
                    <a:prstGeom prst="rect">
                      <a:avLst/>
                    </a:prstGeom>
                  </pic:spPr>
                </pic:pic>
              </a:graphicData>
            </a:graphic>
          </wp:inline>
        </w:drawing>
      </w:r>
    </w:p>
    <w:p w:rsidR="0048733C" w:rsidRDefault="00F1390B">
      <w:r>
        <w:rPr>
          <w:noProof/>
        </w:rPr>
        <w:drawing>
          <wp:inline distT="0" distB="0" distL="114300" distR="114300">
            <wp:extent cx="4311015" cy="3130550"/>
            <wp:effectExtent l="0" t="0" r="6985" b="6350"/>
            <wp:docPr id="4" name="图片 4" descr="4715fd2e4085145543ab83f7c621f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715fd2e4085145543ab83f7c621ff7"/>
                    <pic:cNvPicPr>
                      <a:picLocks noChangeAspect="1"/>
                    </pic:cNvPicPr>
                  </pic:nvPicPr>
                  <pic:blipFill>
                    <a:blip r:embed="rId13"/>
                    <a:stretch>
                      <a:fillRect/>
                    </a:stretch>
                  </pic:blipFill>
                  <pic:spPr>
                    <a:xfrm>
                      <a:off x="0" y="0"/>
                      <a:ext cx="4311015" cy="3130550"/>
                    </a:xfrm>
                    <a:prstGeom prst="rect">
                      <a:avLst/>
                    </a:prstGeom>
                  </pic:spPr>
                </pic:pic>
              </a:graphicData>
            </a:graphic>
          </wp:inline>
        </w:drawing>
      </w:r>
    </w:p>
    <w:p w:rsidR="0048733C" w:rsidRDefault="00F1390B">
      <w:r>
        <w:rPr>
          <w:rFonts w:hint="eastAsia"/>
        </w:rPr>
        <w:t>9</w:t>
      </w:r>
      <w:r>
        <w:rPr>
          <w:rFonts w:hint="eastAsia"/>
        </w:rPr>
        <w:t>、</w:t>
      </w:r>
      <w:r>
        <w:rPr>
          <w:rFonts w:hint="eastAsia"/>
        </w:rPr>
        <w:t>10</w:t>
      </w:r>
      <w:r>
        <w:rPr>
          <w:rFonts w:hint="eastAsia"/>
        </w:rPr>
        <w:t>、</w:t>
      </w:r>
      <w:r>
        <w:rPr>
          <w:rFonts w:hint="eastAsia"/>
        </w:rPr>
        <w:t>11</w:t>
      </w:r>
      <w:r>
        <w:rPr>
          <w:rFonts w:hint="eastAsia"/>
        </w:rPr>
        <w:t>、</w:t>
      </w:r>
      <w:r>
        <w:rPr>
          <w:rFonts w:hint="eastAsia"/>
        </w:rPr>
        <w:t>12</w:t>
      </w:r>
      <w:r>
        <w:rPr>
          <w:rFonts w:hint="eastAsia"/>
        </w:rPr>
        <w:t>：</w:t>
      </w:r>
    </w:p>
    <w:p w:rsidR="0048733C" w:rsidRDefault="00F1390B">
      <w:r>
        <w:rPr>
          <w:noProof/>
        </w:rPr>
        <w:lastRenderedPageBreak/>
        <w:drawing>
          <wp:inline distT="0" distB="0" distL="114300" distR="114300">
            <wp:extent cx="5269865" cy="4673600"/>
            <wp:effectExtent l="0" t="0" r="635" b="0"/>
            <wp:docPr id="5" name="图片 5" descr="1573106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73106311(1)"/>
                    <pic:cNvPicPr>
                      <a:picLocks noChangeAspect="1"/>
                    </pic:cNvPicPr>
                  </pic:nvPicPr>
                  <pic:blipFill>
                    <a:blip r:embed="rId14"/>
                    <a:stretch>
                      <a:fillRect/>
                    </a:stretch>
                  </pic:blipFill>
                  <pic:spPr>
                    <a:xfrm>
                      <a:off x="0" y="0"/>
                      <a:ext cx="5269865" cy="4673600"/>
                    </a:xfrm>
                    <a:prstGeom prst="rect">
                      <a:avLst/>
                    </a:prstGeom>
                  </pic:spPr>
                </pic:pic>
              </a:graphicData>
            </a:graphic>
          </wp:inline>
        </w:drawing>
      </w:r>
    </w:p>
    <w:p w:rsidR="0048733C" w:rsidRDefault="00F1390B">
      <w:r>
        <w:t>http://www.stats.gov.cn/tjsj/xxgbrc/201812/t20181224_1640994.html</w:t>
      </w:r>
    </w:p>
    <w:p w:rsidR="0048733C" w:rsidRDefault="00F1390B">
      <w:r>
        <w:t>1.</w:t>
      </w:r>
      <w:r>
        <w:t>本表公布的发布内容为指标上月、上季或累计数据，发布日期为初步计划，届时可能有所调整。</w:t>
      </w:r>
    </w:p>
    <w:p w:rsidR="0048733C" w:rsidRDefault="00F1390B">
      <w:r>
        <w:t>2.1</w:t>
      </w:r>
      <w:r>
        <w:t>月、</w:t>
      </w:r>
      <w:r>
        <w:t>4</w:t>
      </w:r>
      <w:r>
        <w:t>月、</w:t>
      </w:r>
      <w:r>
        <w:t>7</w:t>
      </w:r>
      <w:r>
        <w:t>月、</w:t>
      </w:r>
      <w:r>
        <w:t>10</w:t>
      </w:r>
      <w:r>
        <w:t>月分别召开年度、季度国民经济运行情况新闻发布会，国内生产总值、农业生产、工业和能源生产、固定资产投资、房地产开发投资和销售、社会消费品零售总额、城乡居民收支和城镇调查失业率等指标数据将在发布会上一并公布。在发布国民经济运行情况新闻发布稿的同时，分别发布工业和能源生产、固定资产投资、房地产开发投资和销售、社会消费品零售总额</w:t>
      </w:r>
      <w:r>
        <w:t>2018</w:t>
      </w:r>
      <w:r>
        <w:t>年</w:t>
      </w:r>
      <w:r>
        <w:t>12</w:t>
      </w:r>
      <w:r>
        <w:t>月及</w:t>
      </w:r>
      <w:r>
        <w:t>2019</w:t>
      </w:r>
      <w:r>
        <w:t>年</w:t>
      </w:r>
      <w:r>
        <w:t>3</w:t>
      </w:r>
      <w:r>
        <w:t>月、</w:t>
      </w:r>
      <w:r>
        <w:t>6</w:t>
      </w:r>
      <w:r>
        <w:t>月、</w:t>
      </w:r>
      <w:r>
        <w:t>9</w:t>
      </w:r>
      <w:r>
        <w:t>月当月或累计数据情况新闻稿。</w:t>
      </w:r>
    </w:p>
    <w:p w:rsidR="0048733C" w:rsidRDefault="00F1390B">
      <w:r>
        <w:t>3.3</w:t>
      </w:r>
      <w:r>
        <w:t>、</w:t>
      </w:r>
      <w:r>
        <w:t>5</w:t>
      </w:r>
      <w:r>
        <w:t>、</w:t>
      </w:r>
      <w:r>
        <w:t>6</w:t>
      </w:r>
      <w:r>
        <w:t>、</w:t>
      </w:r>
      <w:r>
        <w:t>8</w:t>
      </w:r>
      <w:r>
        <w:t>、</w:t>
      </w:r>
      <w:r>
        <w:t>9</w:t>
      </w:r>
      <w:r>
        <w:t>、</w:t>
      </w:r>
      <w:r>
        <w:t>11</w:t>
      </w:r>
      <w:r>
        <w:t>和</w:t>
      </w:r>
      <w:r>
        <w:t>12</w:t>
      </w:r>
      <w:r>
        <w:t>月份举办月度国民经济运行情况新闻发布会，工业和能源生产、固定资产投资、房地产开发投资和销售、社会消费品零售总额和城镇调查失业率等指标数据将在发布会上一并公布。在发布国民经济运行情况新闻发布稿的同时，分别发布工业和能源生产、固定资产投资、房地产开发投资和销售、社会消费品零售总额当月或累计数据情况新闻稿。</w:t>
      </w:r>
    </w:p>
    <w:p w:rsidR="0048733C" w:rsidRDefault="00F1390B">
      <w:r>
        <w:t>4.</w:t>
      </w:r>
      <w:r>
        <w:t>根据统计报表制度，</w:t>
      </w:r>
      <w:r>
        <w:t>2</w:t>
      </w:r>
      <w:r>
        <w:t>月份不发布</w:t>
      </w:r>
      <w:r>
        <w:t>1</w:t>
      </w:r>
      <w:r>
        <w:t>月份规模以上工业和能源生产、固定资产投资、房地产开发投资和销售、社会消费品零售总额和工业经济效益数据。</w:t>
      </w:r>
    </w:p>
    <w:p w:rsidR="00851CF3" w:rsidRDefault="00851CF3"/>
    <w:tbl>
      <w:tblPr>
        <w:tblStyle w:val="a3"/>
        <w:tblW w:w="0" w:type="auto"/>
        <w:tblLook w:val="04A0" w:firstRow="1" w:lastRow="0" w:firstColumn="1" w:lastColumn="0" w:noHBand="0" w:noVBand="1"/>
      </w:tblPr>
      <w:tblGrid>
        <w:gridCol w:w="5280"/>
        <w:gridCol w:w="1420"/>
      </w:tblGrid>
      <w:tr w:rsidR="00851CF3" w:rsidRPr="00851CF3" w:rsidTr="00851CF3">
        <w:trPr>
          <w:trHeight w:val="330"/>
        </w:trPr>
        <w:tc>
          <w:tcPr>
            <w:tcW w:w="5280" w:type="dxa"/>
            <w:hideMark/>
          </w:tcPr>
          <w:p w:rsidR="00851CF3" w:rsidRPr="00851CF3" w:rsidRDefault="00851CF3" w:rsidP="00851CF3">
            <w:r w:rsidRPr="00851CF3">
              <w:rPr>
                <w:rFonts w:hint="eastAsia"/>
              </w:rPr>
              <w:t>CPI</w:t>
            </w:r>
            <w:r w:rsidRPr="00851CF3">
              <w:rPr>
                <w:rFonts w:hint="eastAsia"/>
              </w:rPr>
              <w:t>同比增长</w:t>
            </w:r>
          </w:p>
        </w:tc>
        <w:tc>
          <w:tcPr>
            <w:tcW w:w="1420" w:type="dxa"/>
            <w:hideMark/>
          </w:tcPr>
          <w:p w:rsidR="00851CF3" w:rsidRPr="00851CF3" w:rsidRDefault="00851CF3" w:rsidP="00851CF3">
            <w:r w:rsidRPr="00851CF3">
              <w:rPr>
                <w:rFonts w:hint="eastAsia"/>
              </w:rPr>
              <w:t>1</w:t>
            </w:r>
            <w:r w:rsidRPr="00851CF3">
              <w:rPr>
                <w:rFonts w:hint="eastAsia"/>
              </w:rPr>
              <w:t>月</w:t>
            </w:r>
          </w:p>
        </w:tc>
      </w:tr>
      <w:tr w:rsidR="00851CF3" w:rsidRPr="00851CF3" w:rsidTr="00851CF3">
        <w:trPr>
          <w:trHeight w:val="330"/>
        </w:trPr>
        <w:tc>
          <w:tcPr>
            <w:tcW w:w="5280" w:type="dxa"/>
            <w:hideMark/>
          </w:tcPr>
          <w:p w:rsidR="00851CF3" w:rsidRPr="00851CF3" w:rsidRDefault="00851CF3" w:rsidP="00851CF3">
            <w:r w:rsidRPr="00851CF3">
              <w:rPr>
                <w:rFonts w:hint="eastAsia"/>
              </w:rPr>
              <w:t>PPI</w:t>
            </w:r>
            <w:r w:rsidRPr="00851CF3">
              <w:rPr>
                <w:rFonts w:hint="eastAsia"/>
              </w:rPr>
              <w:t>同比增长</w:t>
            </w:r>
          </w:p>
        </w:tc>
        <w:tc>
          <w:tcPr>
            <w:tcW w:w="1420" w:type="dxa"/>
            <w:hideMark/>
          </w:tcPr>
          <w:p w:rsidR="00851CF3" w:rsidRPr="00851CF3" w:rsidRDefault="00851CF3" w:rsidP="00851CF3">
            <w:r w:rsidRPr="00851CF3">
              <w:rPr>
                <w:rFonts w:hint="eastAsia"/>
              </w:rPr>
              <w:t>1</w:t>
            </w:r>
            <w:r w:rsidRPr="00851CF3">
              <w:rPr>
                <w:rFonts w:hint="eastAsia"/>
              </w:rPr>
              <w:t>月</w:t>
            </w:r>
          </w:p>
        </w:tc>
      </w:tr>
      <w:tr w:rsidR="00851CF3" w:rsidRPr="00851CF3" w:rsidTr="00851CF3">
        <w:trPr>
          <w:trHeight w:val="345"/>
        </w:trPr>
        <w:tc>
          <w:tcPr>
            <w:tcW w:w="5280" w:type="dxa"/>
            <w:hideMark/>
          </w:tcPr>
          <w:p w:rsidR="00851CF3" w:rsidRPr="00851CF3" w:rsidRDefault="00851CF3" w:rsidP="00851CF3">
            <w:r w:rsidRPr="00851CF3">
              <w:rPr>
                <w:rFonts w:hint="eastAsia"/>
              </w:rPr>
              <w:t>社会融资规模存量同比增速</w:t>
            </w:r>
          </w:p>
        </w:tc>
        <w:tc>
          <w:tcPr>
            <w:tcW w:w="1420" w:type="dxa"/>
            <w:hideMark/>
          </w:tcPr>
          <w:p w:rsidR="00851CF3" w:rsidRPr="00851CF3" w:rsidRDefault="00851CF3" w:rsidP="00851CF3">
            <w:r w:rsidRPr="00851CF3">
              <w:rPr>
                <w:rFonts w:hint="eastAsia"/>
              </w:rPr>
              <w:t>1</w:t>
            </w:r>
            <w:r w:rsidRPr="00851CF3">
              <w:rPr>
                <w:rFonts w:hint="eastAsia"/>
              </w:rPr>
              <w:t>月</w:t>
            </w:r>
          </w:p>
        </w:tc>
      </w:tr>
      <w:tr w:rsidR="00851CF3" w:rsidRPr="00851CF3" w:rsidTr="00851CF3">
        <w:trPr>
          <w:trHeight w:val="345"/>
        </w:trPr>
        <w:tc>
          <w:tcPr>
            <w:tcW w:w="5280" w:type="dxa"/>
            <w:hideMark/>
          </w:tcPr>
          <w:p w:rsidR="00851CF3" w:rsidRPr="00851CF3" w:rsidRDefault="00851CF3" w:rsidP="00851CF3">
            <w:r w:rsidRPr="00851CF3">
              <w:rPr>
                <w:rFonts w:hint="eastAsia"/>
              </w:rPr>
              <w:lastRenderedPageBreak/>
              <w:t>m1</w:t>
            </w:r>
            <w:r w:rsidRPr="00851CF3">
              <w:rPr>
                <w:rFonts w:hint="eastAsia"/>
              </w:rPr>
              <w:t>同比增长</w:t>
            </w:r>
          </w:p>
        </w:tc>
        <w:tc>
          <w:tcPr>
            <w:tcW w:w="1420" w:type="dxa"/>
            <w:hideMark/>
          </w:tcPr>
          <w:p w:rsidR="00851CF3" w:rsidRPr="00851CF3" w:rsidRDefault="00851CF3" w:rsidP="00851CF3">
            <w:r w:rsidRPr="00851CF3">
              <w:rPr>
                <w:rFonts w:hint="eastAsia"/>
              </w:rPr>
              <w:t>1</w:t>
            </w:r>
            <w:r w:rsidRPr="00851CF3">
              <w:rPr>
                <w:rFonts w:hint="eastAsia"/>
              </w:rPr>
              <w:t>月</w:t>
            </w:r>
          </w:p>
        </w:tc>
      </w:tr>
      <w:tr w:rsidR="00851CF3" w:rsidRPr="00851CF3" w:rsidTr="00851CF3">
        <w:trPr>
          <w:trHeight w:val="345"/>
        </w:trPr>
        <w:tc>
          <w:tcPr>
            <w:tcW w:w="5280" w:type="dxa"/>
            <w:hideMark/>
          </w:tcPr>
          <w:p w:rsidR="00851CF3" w:rsidRPr="00851CF3" w:rsidRDefault="00851CF3" w:rsidP="00851CF3">
            <w:r w:rsidRPr="00851CF3">
              <w:rPr>
                <w:rFonts w:hint="eastAsia"/>
              </w:rPr>
              <w:t>m2</w:t>
            </w:r>
            <w:r w:rsidRPr="00851CF3">
              <w:rPr>
                <w:rFonts w:hint="eastAsia"/>
              </w:rPr>
              <w:t>同比增长</w:t>
            </w:r>
          </w:p>
        </w:tc>
        <w:tc>
          <w:tcPr>
            <w:tcW w:w="1420" w:type="dxa"/>
            <w:hideMark/>
          </w:tcPr>
          <w:p w:rsidR="00851CF3" w:rsidRPr="00851CF3" w:rsidRDefault="00851CF3" w:rsidP="00851CF3">
            <w:r w:rsidRPr="00851CF3">
              <w:rPr>
                <w:rFonts w:hint="eastAsia"/>
              </w:rPr>
              <w:t>1</w:t>
            </w:r>
            <w:r w:rsidRPr="00851CF3">
              <w:rPr>
                <w:rFonts w:hint="eastAsia"/>
              </w:rPr>
              <w:t>月</w:t>
            </w:r>
          </w:p>
        </w:tc>
      </w:tr>
      <w:tr w:rsidR="00851CF3" w:rsidRPr="00851CF3" w:rsidTr="00851CF3">
        <w:trPr>
          <w:trHeight w:val="345"/>
        </w:trPr>
        <w:tc>
          <w:tcPr>
            <w:tcW w:w="5280" w:type="dxa"/>
            <w:hideMark/>
          </w:tcPr>
          <w:p w:rsidR="00851CF3" w:rsidRPr="00851CF3" w:rsidRDefault="00851CF3" w:rsidP="00851CF3">
            <w:r w:rsidRPr="00851CF3">
              <w:rPr>
                <w:rFonts w:hint="eastAsia"/>
              </w:rPr>
              <w:t>dr007(</w:t>
            </w:r>
            <w:r w:rsidRPr="00851CF3">
              <w:rPr>
                <w:rFonts w:hint="eastAsia"/>
              </w:rPr>
              <w:t>可按月取平均</w:t>
            </w:r>
            <w:r w:rsidRPr="00851CF3">
              <w:rPr>
                <w:rFonts w:hint="eastAsia"/>
              </w:rPr>
              <w:t>)</w:t>
            </w:r>
          </w:p>
        </w:tc>
        <w:tc>
          <w:tcPr>
            <w:tcW w:w="1420" w:type="dxa"/>
            <w:hideMark/>
          </w:tcPr>
          <w:p w:rsidR="00851CF3" w:rsidRPr="00851CF3" w:rsidRDefault="00851CF3" w:rsidP="00851CF3">
            <w:r w:rsidRPr="00851CF3">
              <w:rPr>
                <w:rFonts w:hint="eastAsia"/>
              </w:rPr>
              <w:t>无滞后</w:t>
            </w:r>
          </w:p>
        </w:tc>
      </w:tr>
      <w:tr w:rsidR="00851CF3" w:rsidRPr="00851CF3" w:rsidTr="00851CF3">
        <w:trPr>
          <w:trHeight w:val="330"/>
        </w:trPr>
        <w:tc>
          <w:tcPr>
            <w:tcW w:w="5280" w:type="dxa"/>
            <w:hideMark/>
          </w:tcPr>
          <w:p w:rsidR="00851CF3" w:rsidRPr="00851CF3" w:rsidRDefault="00851CF3" w:rsidP="00851CF3">
            <w:r w:rsidRPr="00851CF3">
              <w:rPr>
                <w:rFonts w:hint="eastAsia"/>
              </w:rPr>
              <w:t>中债国债到期收益率</w:t>
            </w:r>
            <w:r w:rsidRPr="00851CF3">
              <w:rPr>
                <w:rFonts w:hint="eastAsia"/>
              </w:rPr>
              <w:t>:1</w:t>
            </w:r>
            <w:r w:rsidRPr="00851CF3">
              <w:rPr>
                <w:rFonts w:hint="eastAsia"/>
              </w:rPr>
              <w:t>年</w:t>
            </w:r>
            <w:r w:rsidRPr="00851CF3">
              <w:rPr>
                <w:rFonts w:hint="eastAsia"/>
              </w:rPr>
              <w:t>:</w:t>
            </w:r>
            <w:r w:rsidRPr="00851CF3">
              <w:rPr>
                <w:rFonts w:hint="eastAsia"/>
              </w:rPr>
              <w:t>月</w:t>
            </w:r>
          </w:p>
        </w:tc>
        <w:tc>
          <w:tcPr>
            <w:tcW w:w="1420" w:type="dxa"/>
            <w:hideMark/>
          </w:tcPr>
          <w:p w:rsidR="00851CF3" w:rsidRPr="00851CF3" w:rsidRDefault="00851CF3" w:rsidP="00851CF3">
            <w:r w:rsidRPr="00851CF3">
              <w:rPr>
                <w:rFonts w:hint="eastAsia"/>
              </w:rPr>
              <w:t>无滞后</w:t>
            </w:r>
          </w:p>
        </w:tc>
      </w:tr>
    </w:tbl>
    <w:p w:rsidR="00851CF3" w:rsidRDefault="00851CF3"/>
    <w:p w:rsidR="00851CF3" w:rsidRDefault="00851CF3"/>
    <w:p w:rsidR="00851CF3" w:rsidRDefault="00851CF3">
      <w:r>
        <w:rPr>
          <w:noProof/>
        </w:rPr>
        <w:drawing>
          <wp:inline distT="0" distB="0" distL="0" distR="0">
            <wp:extent cx="5272405" cy="1748790"/>
            <wp:effectExtent l="0" t="0" r="4445" b="3810"/>
            <wp:docPr id="8" name="图片 8" descr="C:\Users\LJM\AppData\Local\Temp\WeChat Files\6965e53b86a4c6e6b8697b5a062e1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M\AppData\Local\Temp\WeChat Files\6965e53b86a4c6e6b8697b5a062e1b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2405" cy="1748790"/>
                    </a:xfrm>
                    <a:prstGeom prst="rect">
                      <a:avLst/>
                    </a:prstGeom>
                    <a:noFill/>
                    <a:ln>
                      <a:noFill/>
                    </a:ln>
                  </pic:spPr>
                </pic:pic>
              </a:graphicData>
            </a:graphic>
          </wp:inline>
        </w:drawing>
      </w:r>
    </w:p>
    <w:p w:rsidR="00851CF3" w:rsidRDefault="00851CF3">
      <w:r>
        <w:rPr>
          <w:noProof/>
        </w:rPr>
        <w:drawing>
          <wp:inline distT="0" distB="0" distL="0" distR="0">
            <wp:extent cx="3999865" cy="1294130"/>
            <wp:effectExtent l="0" t="0" r="635" b="1270"/>
            <wp:docPr id="9" name="图片 9" descr="C:\Users\LJM\AppData\Local\Temp\WeChat Files\7cb3bf6c117a7a1dc09aa3e8b2d1f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JM\AppData\Local\Temp\WeChat Files\7cb3bf6c117a7a1dc09aa3e8b2d1f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9865" cy="1294130"/>
                    </a:xfrm>
                    <a:prstGeom prst="rect">
                      <a:avLst/>
                    </a:prstGeom>
                    <a:noFill/>
                    <a:ln>
                      <a:noFill/>
                    </a:ln>
                  </pic:spPr>
                </pic:pic>
              </a:graphicData>
            </a:graphic>
          </wp:inline>
        </w:drawing>
      </w:r>
    </w:p>
    <w:p w:rsidR="00851CF3" w:rsidRDefault="00851CF3">
      <w:r>
        <w:rPr>
          <w:noProof/>
        </w:rPr>
        <w:drawing>
          <wp:inline distT="0" distB="0" distL="0" distR="0">
            <wp:extent cx="3943121" cy="2427705"/>
            <wp:effectExtent l="0" t="0" r="635" b="0"/>
            <wp:docPr id="10" name="图片 10" descr="C:\Users\LJM\AppData\Local\Temp\WeChat Files\60e604551cf4f22c7e1ce11dde9db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JM\AppData\Local\Temp\WeChat Files\60e604551cf4f22c7e1ce11dde9db9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200" cy="2428369"/>
                    </a:xfrm>
                    <a:prstGeom prst="rect">
                      <a:avLst/>
                    </a:prstGeom>
                    <a:noFill/>
                    <a:ln>
                      <a:noFill/>
                    </a:ln>
                  </pic:spPr>
                </pic:pic>
              </a:graphicData>
            </a:graphic>
          </wp:inline>
        </w:drawing>
      </w:r>
    </w:p>
    <w:p w:rsidR="00851CF3" w:rsidRDefault="00851CF3">
      <w:r>
        <w:rPr>
          <w:noProof/>
        </w:rPr>
        <w:lastRenderedPageBreak/>
        <w:drawing>
          <wp:inline distT="0" distB="0" distL="0" distR="0">
            <wp:extent cx="3224597" cy="2308038"/>
            <wp:effectExtent l="0" t="0" r="0" b="0"/>
            <wp:docPr id="11" name="图片 11" descr="C:\Users\LJM\AppData\Local\Temp\WeChat Files\c81d6edc537c219cf6e5827b61840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JM\AppData\Local\Temp\WeChat Files\c81d6edc537c219cf6e5827b618409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8490" cy="2310825"/>
                    </a:xfrm>
                    <a:prstGeom prst="rect">
                      <a:avLst/>
                    </a:prstGeom>
                    <a:noFill/>
                    <a:ln>
                      <a:noFill/>
                    </a:ln>
                  </pic:spPr>
                </pic:pic>
              </a:graphicData>
            </a:graphic>
          </wp:inline>
        </w:drawing>
      </w:r>
    </w:p>
    <w:p w:rsidR="00851CF3" w:rsidRDefault="00851CF3">
      <w:r>
        <w:rPr>
          <w:noProof/>
        </w:rPr>
        <w:drawing>
          <wp:inline distT="0" distB="0" distL="0" distR="0">
            <wp:extent cx="5267325" cy="1748790"/>
            <wp:effectExtent l="0" t="0" r="9525" b="3810"/>
            <wp:docPr id="12" name="图片 12" descr="C:\Users\LJM\AppData\Local\Temp\WeChat Files\74edf504aea56cd733000afa2bf58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JM\AppData\Local\Temp\WeChat Files\74edf504aea56cd733000afa2bf581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1748790"/>
                    </a:xfrm>
                    <a:prstGeom prst="rect">
                      <a:avLst/>
                    </a:prstGeom>
                    <a:noFill/>
                    <a:ln>
                      <a:noFill/>
                    </a:ln>
                  </pic:spPr>
                </pic:pic>
              </a:graphicData>
            </a:graphic>
          </wp:inline>
        </w:drawing>
      </w:r>
    </w:p>
    <w:p w:rsidR="00851CF3" w:rsidRDefault="00851CF3">
      <w:r>
        <w:rPr>
          <w:noProof/>
        </w:rPr>
        <w:drawing>
          <wp:inline distT="0" distB="0" distL="0" distR="0">
            <wp:extent cx="5267325" cy="1390015"/>
            <wp:effectExtent l="0" t="0" r="9525" b="635"/>
            <wp:docPr id="13" name="图片 13" descr="C:\Users\LJM\AppData\Local\Temp\WeChat Files\c32958e7b34ef4f37380cd0a297c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JM\AppData\Local\Temp\WeChat Files\c32958e7b34ef4f37380cd0a297c71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7325" cy="1390015"/>
                    </a:xfrm>
                    <a:prstGeom prst="rect">
                      <a:avLst/>
                    </a:prstGeom>
                    <a:noFill/>
                    <a:ln>
                      <a:noFill/>
                    </a:ln>
                  </pic:spPr>
                </pic:pic>
              </a:graphicData>
            </a:graphic>
          </wp:inline>
        </w:drawing>
      </w:r>
    </w:p>
    <w:p w:rsidR="00851CF3" w:rsidRDefault="00851CF3">
      <w:r>
        <w:rPr>
          <w:noProof/>
        </w:rPr>
        <w:lastRenderedPageBreak/>
        <w:drawing>
          <wp:inline distT="0" distB="0" distL="0" distR="0">
            <wp:extent cx="3798507" cy="4010527"/>
            <wp:effectExtent l="0" t="0" r="0" b="0"/>
            <wp:docPr id="14" name="图片 14" descr="C:\Users\LJM\AppData\Local\Temp\WeChat Files\6fff0207ff90ea2b8a3f787c73571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JM\AppData\Local\Temp\WeChat Files\6fff0207ff90ea2b8a3f787c735719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9628" cy="4011711"/>
                    </a:xfrm>
                    <a:prstGeom prst="rect">
                      <a:avLst/>
                    </a:prstGeom>
                    <a:noFill/>
                    <a:ln>
                      <a:noFill/>
                    </a:ln>
                  </pic:spPr>
                </pic:pic>
              </a:graphicData>
            </a:graphic>
          </wp:inline>
        </w:drawing>
      </w:r>
    </w:p>
    <w:p w:rsidR="00851CF3" w:rsidRDefault="00851CF3">
      <w:r w:rsidRPr="00851CF3">
        <w:rPr>
          <w:rFonts w:hint="eastAsia"/>
        </w:rPr>
        <w:t>中债收益率曲线包括国债在内的各信用等级的到期、即期和远期收益曲线约</w:t>
      </w:r>
      <w:r w:rsidRPr="00851CF3">
        <w:rPr>
          <w:rFonts w:hint="eastAsia"/>
        </w:rPr>
        <w:t>1000</w:t>
      </w:r>
      <w:r w:rsidRPr="00851CF3">
        <w:rPr>
          <w:rFonts w:hint="eastAsia"/>
        </w:rPr>
        <w:t>余条，采用赫尔米特模型编制。曲线数据源包括银行间市场和交易所市场的做市商报价、货币经纪公司报价、成交价和结算价等。收益率曲线的样本点优先选取新发行且满足流动性要求的债券。中债收益率曲线每个工作日日终发布一次，发布时间为北京时间</w:t>
      </w:r>
      <w:r w:rsidRPr="00851CF3">
        <w:rPr>
          <w:rFonts w:hint="eastAsia"/>
        </w:rPr>
        <w:t>17:30</w:t>
      </w:r>
      <w:r w:rsidRPr="00851CF3">
        <w:rPr>
          <w:rFonts w:hint="eastAsia"/>
        </w:rPr>
        <w:t>。</w:t>
      </w:r>
    </w:p>
    <w:p w:rsidR="00851CF3" w:rsidRDefault="00851CF3">
      <w:r w:rsidRPr="00851CF3">
        <w:rPr>
          <w:noProof/>
        </w:rPr>
        <w:drawing>
          <wp:inline distT="0" distB="0" distL="0" distR="0">
            <wp:extent cx="3509805" cy="2192421"/>
            <wp:effectExtent l="0" t="0" r="0" b="0"/>
            <wp:docPr id="15" name="图片 15" descr="C:\Users\LJM\AppData\Local\Temp\WeChat Files\75409077ec475604906ef91b403ea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JM\AppData\Local\Temp\WeChat Files\75409077ec475604906ef91b403ea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1672" cy="2193587"/>
                    </a:xfrm>
                    <a:prstGeom prst="rect">
                      <a:avLst/>
                    </a:prstGeom>
                    <a:noFill/>
                    <a:ln>
                      <a:noFill/>
                    </a:ln>
                  </pic:spPr>
                </pic:pic>
              </a:graphicData>
            </a:graphic>
          </wp:inline>
        </w:drawing>
      </w:r>
    </w:p>
    <w:sectPr w:rsidR="00851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360" w:rsidRDefault="00F15360" w:rsidP="003A4285">
      <w:r>
        <w:separator/>
      </w:r>
    </w:p>
  </w:endnote>
  <w:endnote w:type="continuationSeparator" w:id="0">
    <w:p w:rsidR="00F15360" w:rsidRDefault="00F15360" w:rsidP="003A4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360" w:rsidRDefault="00F15360" w:rsidP="003A4285">
      <w:r>
        <w:separator/>
      </w:r>
    </w:p>
  </w:footnote>
  <w:footnote w:type="continuationSeparator" w:id="0">
    <w:p w:rsidR="00F15360" w:rsidRDefault="00F15360" w:rsidP="003A42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D3224D"/>
    <w:rsid w:val="003A4285"/>
    <w:rsid w:val="0048733C"/>
    <w:rsid w:val="00851CF3"/>
    <w:rsid w:val="008B28D0"/>
    <w:rsid w:val="00F1390B"/>
    <w:rsid w:val="00F15360"/>
    <w:rsid w:val="66D32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C0990E"/>
  <w15:docId w15:val="{7294B9F0-D502-47D7-91AE-A5E891C6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51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3A428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A4285"/>
    <w:rPr>
      <w:rFonts w:asciiTheme="minorHAnsi" w:eastAsiaTheme="minorEastAsia" w:hAnsiTheme="minorHAnsi" w:cstheme="minorBidi"/>
      <w:kern w:val="2"/>
      <w:sz w:val="18"/>
      <w:szCs w:val="18"/>
    </w:rPr>
  </w:style>
  <w:style w:type="paragraph" w:styleId="a6">
    <w:name w:val="footer"/>
    <w:basedOn w:val="a"/>
    <w:link w:val="a7"/>
    <w:rsid w:val="003A4285"/>
    <w:pPr>
      <w:tabs>
        <w:tab w:val="center" w:pos="4153"/>
        <w:tab w:val="right" w:pos="8306"/>
      </w:tabs>
      <w:snapToGrid w:val="0"/>
      <w:jc w:val="left"/>
    </w:pPr>
    <w:rPr>
      <w:sz w:val="18"/>
      <w:szCs w:val="18"/>
    </w:rPr>
  </w:style>
  <w:style w:type="character" w:customStyle="1" w:styleId="a7">
    <w:name w:val="页脚 字符"/>
    <w:basedOn w:val="a0"/>
    <w:link w:val="a6"/>
    <w:rsid w:val="003A428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22868">
      <w:bodyDiv w:val="1"/>
      <w:marLeft w:val="0"/>
      <w:marRight w:val="0"/>
      <w:marTop w:val="0"/>
      <w:marBottom w:val="0"/>
      <w:divBdr>
        <w:top w:val="none" w:sz="0" w:space="0" w:color="auto"/>
        <w:left w:val="none" w:sz="0" w:space="0" w:color="auto"/>
        <w:bottom w:val="none" w:sz="0" w:space="0" w:color="auto"/>
        <w:right w:val="none" w:sz="0" w:space="0" w:color="auto"/>
      </w:divBdr>
    </w:div>
    <w:div w:id="367263763">
      <w:bodyDiv w:val="1"/>
      <w:marLeft w:val="0"/>
      <w:marRight w:val="0"/>
      <w:marTop w:val="0"/>
      <w:marBottom w:val="0"/>
      <w:divBdr>
        <w:top w:val="none" w:sz="0" w:space="0" w:color="auto"/>
        <w:left w:val="none" w:sz="0" w:space="0" w:color="auto"/>
        <w:bottom w:val="none" w:sz="0" w:space="0" w:color="auto"/>
        <w:right w:val="none" w:sz="0" w:space="0" w:color="auto"/>
      </w:divBdr>
    </w:div>
    <w:div w:id="519273718">
      <w:bodyDiv w:val="1"/>
      <w:marLeft w:val="0"/>
      <w:marRight w:val="0"/>
      <w:marTop w:val="0"/>
      <w:marBottom w:val="0"/>
      <w:divBdr>
        <w:top w:val="none" w:sz="0" w:space="0" w:color="auto"/>
        <w:left w:val="none" w:sz="0" w:space="0" w:color="auto"/>
        <w:bottom w:val="none" w:sz="0" w:space="0" w:color="auto"/>
        <w:right w:val="none" w:sz="0" w:space="0" w:color="auto"/>
      </w:divBdr>
    </w:div>
    <w:div w:id="1877813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潘秋云</cp:lastModifiedBy>
  <cp:revision>2</cp:revision>
  <dcterms:created xsi:type="dcterms:W3CDTF">2019-11-07T08:42:00Z</dcterms:created>
  <dcterms:modified xsi:type="dcterms:W3CDTF">2019-11-07T08:42:00Z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