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F1" w:rsidRDefault="00316AF1"/>
    <w:p w:rsidR="00316AF1" w:rsidRDefault="008D030E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②</w:t>
      </w:r>
    </w:p>
    <w:p w:rsidR="00316AF1" w:rsidRDefault="008D030E">
      <w:r>
        <w:rPr>
          <w:rFonts w:hint="eastAsia"/>
        </w:rPr>
        <w:t>3</w:t>
      </w:r>
      <w:r>
        <w:rPr>
          <w:rFonts w:hint="eastAsia"/>
        </w:rPr>
        <w:t>·长期：通货膨胀率、联邦基金利率、道琼斯工业指数和广义货币的增长率对</w:t>
      </w:r>
      <w:r>
        <w:rPr>
          <w:rFonts w:hint="eastAsia"/>
          <w:b/>
          <w:bCs/>
          <w:color w:val="C00000"/>
        </w:rPr>
        <w:t>LIBOR</w:t>
      </w:r>
      <w:r>
        <w:rPr>
          <w:rFonts w:hint="eastAsia"/>
        </w:rPr>
        <w:t>利率的水平值和斜率有影响</w:t>
      </w:r>
      <w:r>
        <w:rPr>
          <w:rFonts w:hint="eastAsia"/>
        </w:rPr>
        <w:t xml:space="preserve">  </w:t>
      </w:r>
      <w:r>
        <w:rPr>
          <w:rFonts w:hint="eastAsia"/>
        </w:rPr>
        <w:t>水平值还受到三年期国债收益率的影响</w:t>
      </w:r>
      <w:r>
        <w:rPr>
          <w:rFonts w:hint="eastAsia"/>
        </w:rPr>
        <w:t xml:space="preserve"> </w:t>
      </w:r>
      <w:r>
        <w:rPr>
          <w:rFonts w:hint="eastAsia"/>
        </w:rPr>
        <w:t>短期：通货膨胀率和联邦基金利率影响水平值</w:t>
      </w:r>
      <w:r>
        <w:rPr>
          <w:rFonts w:hint="eastAsia"/>
        </w:rPr>
        <w:t xml:space="preserve"> </w:t>
      </w:r>
      <w:r>
        <w:rPr>
          <w:rFonts w:hint="eastAsia"/>
        </w:rPr>
        <w:t>三年期国债收益率影响斜率（唯一）</w:t>
      </w:r>
    </w:p>
    <w:p w:rsidR="00316AF1" w:rsidRDefault="008D030E">
      <w:r>
        <w:rPr>
          <w:rFonts w:hint="eastAsia"/>
        </w:rPr>
        <w:t>4</w:t>
      </w:r>
      <w:r>
        <w:rPr>
          <w:rFonts w:hint="eastAsia"/>
        </w:rPr>
        <w:t>·</w:t>
      </w:r>
      <w:r>
        <w:rPr>
          <w:rFonts w:hint="eastAsia"/>
          <w:b/>
          <w:bCs/>
          <w:color w:val="7030A0"/>
          <w:shd w:val="clear" w:color="FFFFFF" w:fill="D9D9D9"/>
        </w:rPr>
        <w:t>M2</w:t>
      </w:r>
      <w:r>
        <w:rPr>
          <w:rFonts w:hint="eastAsia"/>
        </w:rPr>
        <w:t>、固定资产投资、</w:t>
      </w:r>
      <w:r>
        <w:rPr>
          <w:rFonts w:hint="eastAsia"/>
          <w:b/>
          <w:bCs/>
          <w:color w:val="0000FF"/>
        </w:rPr>
        <w:t>cPI</w:t>
      </w:r>
      <w:r>
        <w:rPr>
          <w:rFonts w:hint="eastAsia"/>
        </w:rPr>
        <w:t>、</w:t>
      </w:r>
      <w:r>
        <w:rPr>
          <w:rFonts w:hint="eastAsia"/>
          <w:b/>
          <w:bCs/>
          <w:color w:val="C00000"/>
        </w:rPr>
        <w:t>liBOR</w:t>
      </w:r>
      <w:r>
        <w:rPr>
          <w:rFonts w:hint="eastAsia"/>
        </w:rPr>
        <w:t>和美元兑换人民币</w:t>
      </w:r>
      <w:r>
        <w:rPr>
          <w:rFonts w:hint="eastAsia"/>
          <w:b/>
          <w:bCs/>
          <w:color w:val="00B0F0"/>
        </w:rPr>
        <w:t>汇率</w:t>
      </w:r>
    </w:p>
    <w:p w:rsidR="00316AF1" w:rsidRDefault="008D030E">
      <w:r>
        <w:rPr>
          <w:rFonts w:hint="eastAsia"/>
        </w:rPr>
        <w:t>5</w:t>
      </w:r>
      <w:r>
        <w:rPr>
          <w:rFonts w:hint="eastAsia"/>
        </w:rPr>
        <w:t>·货币供给量（</w:t>
      </w:r>
      <w:r>
        <w:rPr>
          <w:rFonts w:hint="eastAsia"/>
          <w:b/>
          <w:bCs/>
          <w:color w:val="7030A0"/>
          <w:shd w:val="clear" w:color="FFFFFF" w:fill="D9D9D9"/>
        </w:rPr>
        <w:t>M2</w:t>
      </w:r>
      <w:r>
        <w:rPr>
          <w:rFonts w:hint="eastAsia"/>
        </w:rPr>
        <w:t>），货币需求量（固定资产投资），物价水平（</w:t>
      </w:r>
      <w:r>
        <w:rPr>
          <w:rFonts w:hint="eastAsia"/>
          <w:b/>
          <w:bCs/>
          <w:color w:val="0000FF"/>
        </w:rPr>
        <w:t>CPI</w:t>
      </w:r>
      <w:r>
        <w:rPr>
          <w:rFonts w:hint="eastAsia"/>
        </w:rPr>
        <w:t>），国际利率水平（</w:t>
      </w:r>
      <w:r>
        <w:rPr>
          <w:rFonts w:hint="eastAsia"/>
          <w:b/>
          <w:bCs/>
          <w:color w:val="C00000"/>
        </w:rPr>
        <w:t>LIBOR</w:t>
      </w:r>
      <w:r>
        <w:rPr>
          <w:rFonts w:hint="eastAsia"/>
        </w:rPr>
        <w:t>），</w:t>
      </w:r>
      <w:r>
        <w:rPr>
          <w:rFonts w:hint="eastAsia"/>
          <w:b/>
          <w:bCs/>
          <w:color w:val="00B0F0"/>
        </w:rPr>
        <w:t>汇率</w:t>
      </w:r>
      <w:r>
        <w:rPr>
          <w:rFonts w:hint="eastAsia"/>
        </w:rPr>
        <w:t>（美元兑换人民币汇率）</w:t>
      </w:r>
    </w:p>
    <w:p w:rsidR="00316AF1" w:rsidRDefault="00316AF1">
      <w:pPr>
        <w:rPr>
          <w:rFonts w:hint="eastAsia"/>
          <w:b/>
          <w:bCs/>
          <w:sz w:val="24"/>
          <w:szCs w:val="32"/>
        </w:rPr>
      </w:pPr>
    </w:p>
    <w:p w:rsidR="00667560" w:rsidRDefault="00667560"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3.</w:t>
      </w:r>
      <w:r w:rsidR="00DB4320" w:rsidRPr="00DB4320">
        <w:rPr>
          <w:rFonts w:hint="eastAsia"/>
        </w:rPr>
        <w:t xml:space="preserve"> </w:t>
      </w:r>
      <w:r w:rsidR="00DB4320" w:rsidRPr="00DB4320">
        <w:rPr>
          <w:rFonts w:hint="eastAsia"/>
          <w:b/>
          <w:bCs/>
          <w:sz w:val="24"/>
          <w:szCs w:val="32"/>
        </w:rPr>
        <w:t>国外同业拆借利率期限结构影响因素的实证分析——以美元</w:t>
      </w:r>
      <w:r w:rsidR="00DB4320" w:rsidRPr="00DB4320">
        <w:rPr>
          <w:rFonts w:hint="eastAsia"/>
          <w:b/>
          <w:bCs/>
          <w:sz w:val="24"/>
          <w:szCs w:val="32"/>
        </w:rPr>
        <w:t>LIBOR</w:t>
      </w:r>
      <w:r w:rsidR="00DB4320" w:rsidRPr="00DB4320">
        <w:rPr>
          <w:rFonts w:hint="eastAsia"/>
          <w:b/>
          <w:bCs/>
          <w:sz w:val="24"/>
          <w:szCs w:val="32"/>
        </w:rPr>
        <w:t>为例</w:t>
      </w:r>
    </w:p>
    <w:p w:rsidR="00667560" w:rsidRDefault="00DB4320">
      <w:pPr>
        <w:rPr>
          <w:rFonts w:hint="eastAsia"/>
        </w:rPr>
      </w:pPr>
      <w:r>
        <w:rPr>
          <w:rFonts w:hint="eastAsia"/>
        </w:rPr>
        <w:t>·</w:t>
      </w:r>
      <w:r w:rsidR="00667560">
        <w:t>经济基本面和具体市场的资金面．</w:t>
      </w:r>
    </w:p>
    <w:p w:rsidR="00667560" w:rsidRDefault="00DB4320">
      <w:pPr>
        <w:rPr>
          <w:rFonts w:hint="eastAsia"/>
        </w:rPr>
      </w:pPr>
      <w:r>
        <w:rPr>
          <w:rFonts w:hint="eastAsia"/>
        </w:rPr>
        <w:t>·</w:t>
      </w:r>
      <w:r w:rsidR="00667560">
        <w:t>经济的基本面</w:t>
      </w:r>
      <w:r w:rsidR="00667560">
        <w:rPr>
          <w:rFonts w:hint="eastAsia"/>
        </w:rPr>
        <w:t>:</w:t>
      </w:r>
      <w:r w:rsidR="00667560">
        <w:t>道琼斯工业指数、失业率、消费者物价指数</w:t>
      </w:r>
    </w:p>
    <w:p w:rsidR="00667560" w:rsidRDefault="00667560">
      <w:pPr>
        <w:rPr>
          <w:rFonts w:hint="eastAsia"/>
        </w:rPr>
      </w:pPr>
      <w:r>
        <w:t>资金面的供求情况</w:t>
      </w:r>
      <w:r>
        <w:rPr>
          <w:rFonts w:hint="eastAsia"/>
        </w:rPr>
        <w:t xml:space="preserve">: </w:t>
      </w:r>
      <w:r>
        <w:t>广义货币供给和联邦基金利率</w:t>
      </w:r>
    </w:p>
    <w:p w:rsidR="00667560" w:rsidRDefault="00667560">
      <w:pPr>
        <w:rPr>
          <w:rFonts w:hint="eastAsia"/>
        </w:rPr>
      </w:pPr>
      <w:r>
        <w:rPr>
          <w:rFonts w:hint="eastAsia"/>
        </w:rPr>
        <w:t>1</w:t>
      </w:r>
      <w:r>
        <w:t>市场债券的实际收益率水平</w:t>
      </w:r>
      <w:r>
        <w:rPr>
          <w:rFonts w:hint="eastAsia"/>
        </w:rPr>
        <w:t>:</w:t>
      </w:r>
      <w:r w:rsidRPr="00667560">
        <w:t xml:space="preserve"> </w:t>
      </w:r>
      <w:r>
        <w:t>：</w:t>
      </w:r>
      <w:r w:rsidRPr="003E6D3E">
        <w:rPr>
          <w:b/>
        </w:rPr>
        <w:t>三年期美国国债收益率</w:t>
      </w:r>
      <w:r w:rsidR="003E6D3E">
        <w:t>≈</w:t>
      </w:r>
      <w:r w:rsidR="003E6D3E">
        <w:t>三年期中国国债收益率</w:t>
      </w:r>
    </w:p>
    <w:p w:rsidR="00CD1EE0" w:rsidRDefault="00CD1EE0">
      <w:pPr>
        <w:rPr>
          <w:rFonts w:hint="eastAsia"/>
        </w:rPr>
      </w:pPr>
      <w:r>
        <w:rPr>
          <w:rFonts w:hint="eastAsia"/>
        </w:rPr>
        <w:t>三年期中国国债收益率数据来源：</w:t>
      </w:r>
    </w:p>
    <w:p w:rsidR="00CD1EE0" w:rsidRDefault="00CD1EE0">
      <w:pPr>
        <w:rPr>
          <w:rFonts w:hint="eastAsia"/>
        </w:rPr>
      </w:pPr>
      <w:hyperlink r:id="rId7" w:history="1">
        <w:r w:rsidRPr="00A265B7">
          <w:rPr>
            <w:rStyle w:val="a5"/>
          </w:rPr>
          <w:t>https://cn.investing.com/rates-bonds/china-3-year-bond-yield-historical-data</w:t>
        </w:r>
      </w:hyperlink>
    </w:p>
    <w:p w:rsidR="00CD1EE0" w:rsidRDefault="00622C45">
      <w:pPr>
        <w:rPr>
          <w:rFonts w:hint="eastAsia"/>
        </w:rPr>
      </w:pPr>
      <w:r>
        <w:rPr>
          <w:rFonts w:hint="eastAsia"/>
        </w:rPr>
        <w:t>三年期美国国债收益率数据来源：</w:t>
      </w:r>
      <w:r>
        <w:rPr>
          <w:rFonts w:hint="eastAsia"/>
        </w:rPr>
        <w:t>wind</w:t>
      </w:r>
    </w:p>
    <w:p w:rsidR="00667560" w:rsidRDefault="00667560">
      <w:pPr>
        <w:rPr>
          <w:rFonts w:hint="eastAsia"/>
        </w:rPr>
      </w:pPr>
      <w:r>
        <w:rPr>
          <w:rFonts w:hint="eastAsia"/>
        </w:rPr>
        <w:t>2</w:t>
      </w:r>
      <w:r>
        <w:t>是衡量通货膨胀的最重要指标，是货币政策调整的主要考虑因素</w:t>
      </w:r>
      <w:r>
        <w:rPr>
          <w:rFonts w:hint="eastAsia"/>
        </w:rPr>
        <w:t>:</w:t>
      </w:r>
      <w:r w:rsidRPr="00667560">
        <w:t xml:space="preserve"> </w:t>
      </w:r>
      <w:r>
        <w:t>：</w:t>
      </w:r>
      <w:r w:rsidRPr="003E6D3E">
        <w:rPr>
          <w:b/>
        </w:rPr>
        <w:t>消费者物价指数</w:t>
      </w:r>
    </w:p>
    <w:p w:rsidR="00667560" w:rsidRDefault="00667560">
      <w:pPr>
        <w:rPr>
          <w:rFonts w:hint="eastAsia"/>
        </w:rPr>
      </w:pPr>
      <w:r>
        <w:rPr>
          <w:rFonts w:hint="eastAsia"/>
        </w:rPr>
        <w:t>3</w:t>
      </w:r>
      <w:r>
        <w:t>股市素有经济橱窗之称</w:t>
      </w:r>
      <w:r>
        <w:rPr>
          <w:rFonts w:hint="eastAsia"/>
        </w:rPr>
        <w:t>:</w:t>
      </w:r>
      <w:r w:rsidRPr="00667560">
        <w:t xml:space="preserve"> </w:t>
      </w:r>
      <w:r>
        <w:t>：</w:t>
      </w:r>
      <w:r w:rsidRPr="003E6D3E">
        <w:rPr>
          <w:b/>
        </w:rPr>
        <w:t>道琼斯工业指数的增长</w:t>
      </w:r>
      <w:r w:rsidR="00B83FE2">
        <w:rPr>
          <w:rFonts w:hint="eastAsia"/>
        </w:rPr>
        <w:t>（</w:t>
      </w:r>
      <w:r w:rsidR="00B83FE2">
        <w:rPr>
          <w:rFonts w:hint="eastAsia"/>
        </w:rPr>
        <w:t>wind</w:t>
      </w:r>
      <w:r w:rsidR="00B83FE2">
        <w:rPr>
          <w:rFonts w:hint="eastAsia"/>
        </w:rPr>
        <w:t>）</w:t>
      </w:r>
      <w:r>
        <w:rPr>
          <w:rFonts w:hint="eastAsia"/>
        </w:rPr>
        <w:t>(</w:t>
      </w:r>
      <w:r>
        <w:t>根据</w:t>
      </w:r>
      <w:r>
        <w:t>30</w:t>
      </w:r>
      <w:r>
        <w:t>支纽约证交所挂牌交易的绩优</w:t>
      </w:r>
      <w:r>
        <w:t xml:space="preserve"> </w:t>
      </w:r>
      <w:r>
        <w:t>股</w:t>
      </w:r>
      <w:r>
        <w:t>(</w:t>
      </w:r>
      <w:r>
        <w:t>蓝筹股</w:t>
      </w:r>
      <w:r>
        <w:t>)</w:t>
      </w:r>
      <w:r>
        <w:t>所编制的股价加权平均指数</w:t>
      </w:r>
      <w:r>
        <w:rPr>
          <w:rFonts w:hint="eastAsia"/>
        </w:rPr>
        <w:t>)</w:t>
      </w:r>
      <w:r w:rsidR="003E6D3E">
        <w:rPr>
          <w:rFonts w:hint="eastAsia"/>
        </w:rPr>
        <w:t>≈</w:t>
      </w:r>
      <w:r w:rsidR="00DB4320">
        <w:rPr>
          <w:rFonts w:hint="eastAsia"/>
        </w:rPr>
        <w:t>上证</w:t>
      </w:r>
      <w:r w:rsidR="00DB4320">
        <w:rPr>
          <w:rFonts w:hint="eastAsia"/>
        </w:rPr>
        <w:t>50</w:t>
      </w:r>
      <w:r w:rsidR="00B83FE2">
        <w:rPr>
          <w:rFonts w:hint="eastAsia"/>
        </w:rPr>
        <w:t>（</w:t>
      </w:r>
      <w:r w:rsidR="00B83FE2">
        <w:rPr>
          <w:rFonts w:hint="eastAsia"/>
        </w:rPr>
        <w:t>wind</w:t>
      </w:r>
      <w:r w:rsidR="00B83FE2">
        <w:rPr>
          <w:rFonts w:hint="eastAsia"/>
        </w:rPr>
        <w:t>）</w:t>
      </w:r>
    </w:p>
    <w:p w:rsidR="00667560" w:rsidRDefault="00667560">
      <w:pPr>
        <w:rPr>
          <w:rFonts w:hint="eastAsia"/>
        </w:rPr>
      </w:pPr>
      <w:r>
        <w:rPr>
          <w:rFonts w:hint="eastAsia"/>
        </w:rPr>
        <w:t>4</w:t>
      </w:r>
      <w:r>
        <w:t>，反映投资和中间市场的活跃程度</w:t>
      </w:r>
      <w:r>
        <w:rPr>
          <w:rFonts w:hint="eastAsia"/>
        </w:rPr>
        <w:t>:</w:t>
      </w:r>
      <w:r w:rsidRPr="00667560">
        <w:t xml:space="preserve"> </w:t>
      </w:r>
      <w:r>
        <w:t>：</w:t>
      </w:r>
      <w:r w:rsidRPr="003E6D3E">
        <w:rPr>
          <w:b/>
        </w:rPr>
        <w:t>广义货币的增长率</w:t>
      </w:r>
    </w:p>
    <w:p w:rsidR="00667560" w:rsidRDefault="00667560">
      <w:pPr>
        <w:rPr>
          <w:rFonts w:hint="eastAsia"/>
        </w:rPr>
      </w:pPr>
      <w:r>
        <w:rPr>
          <w:rFonts w:hint="eastAsia"/>
        </w:rPr>
        <w:t>5</w:t>
      </w:r>
      <w:r>
        <w:t>储通过调整联邦基金利率水平来放宽或紧缩货币，以稳定物价及</w:t>
      </w:r>
      <w:r>
        <w:t xml:space="preserve"> </w:t>
      </w:r>
      <w:r>
        <w:t>促使经济持续稳定成长</w:t>
      </w:r>
      <w:r>
        <w:rPr>
          <w:rFonts w:hint="eastAsia"/>
        </w:rPr>
        <w:t>:</w:t>
      </w:r>
      <w:r w:rsidRPr="00667560">
        <w:t xml:space="preserve"> </w:t>
      </w:r>
      <w:r w:rsidRPr="003E6D3E">
        <w:rPr>
          <w:b/>
        </w:rPr>
        <w:t>联邦基金利率</w:t>
      </w:r>
      <w:r w:rsidR="00C9793F">
        <w:rPr>
          <w:rFonts w:hint="eastAsia"/>
          <w:b/>
        </w:rPr>
        <w:t>(wind)</w:t>
      </w:r>
      <w:r w:rsidR="003E6D3E">
        <w:rPr>
          <w:rFonts w:hint="eastAsia"/>
          <w:b/>
        </w:rPr>
        <w:t>=</w:t>
      </w:r>
      <w:r w:rsidR="003E6D3E" w:rsidRPr="003E6D3E">
        <w:rPr>
          <w:rFonts w:hint="eastAsia"/>
        </w:rPr>
        <w:t>商业银行间的</w:t>
      </w:r>
      <w:hyperlink r:id="rId8" w:tgtFrame="_blank" w:history="1">
        <w:r w:rsidR="003E6D3E" w:rsidRPr="003E6D3E">
          <w:rPr>
            <w:rFonts w:hint="eastAsia"/>
          </w:rPr>
          <w:t>隔夜拆借利率</w:t>
        </w:r>
      </w:hyperlink>
      <w:r w:rsidR="003E6D3E">
        <w:rPr>
          <w:rFonts w:hint="eastAsia"/>
        </w:rPr>
        <w:t>≈</w:t>
      </w:r>
      <w:r w:rsidR="003E6D3E">
        <w:rPr>
          <w:rFonts w:hint="eastAsia"/>
        </w:rPr>
        <w:t>chibor</w:t>
      </w:r>
    </w:p>
    <w:p w:rsidR="00B83FE2" w:rsidRDefault="00B83FE2">
      <w:pPr>
        <w:rPr>
          <w:rFonts w:hint="eastAsia"/>
        </w:rPr>
      </w:pPr>
      <w:r>
        <w:t>C</w:t>
      </w:r>
      <w:r>
        <w:rPr>
          <w:rFonts w:hint="eastAsia"/>
        </w:rPr>
        <w:t>hibor</w:t>
      </w:r>
      <w:r>
        <w:rPr>
          <w:rFonts w:hint="eastAsia"/>
        </w:rPr>
        <w:t>：</w:t>
      </w:r>
    </w:p>
    <w:p w:rsidR="00B83FE2" w:rsidRDefault="00B83FE2">
      <w:pPr>
        <w:rPr>
          <w:rFonts w:hint="eastAsia"/>
        </w:rPr>
      </w:pPr>
      <w:r w:rsidRPr="00B83FE2">
        <w:t>http://data.eastmoney.com/shibor/shibor.aspx?m=ch&amp;t=98&amp;d=99231&amp;cu=cny&amp;type=009086</w:t>
      </w:r>
    </w:p>
    <w:p w:rsidR="00DB4320" w:rsidRDefault="00DB4320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3833371" cy="20245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936" cy="2026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F24" w:rsidRDefault="007D0F24">
      <w:pPr>
        <w:rPr>
          <w:rFonts w:hint="eastAsia"/>
          <w:b/>
          <w:bCs/>
          <w:color w:val="00B0F0"/>
        </w:rPr>
      </w:pPr>
      <w:r>
        <w:rPr>
          <w:rFonts w:hint="eastAsia"/>
          <w:b/>
        </w:rPr>
        <w:t>4.</w:t>
      </w:r>
      <w:r w:rsidRPr="007D0F24">
        <w:rPr>
          <w:rFonts w:hint="eastAsia"/>
          <w:b/>
          <w:bCs/>
          <w:color w:val="7030A0"/>
          <w:shd w:val="clear" w:color="FFFFFF" w:fill="D9D9D9"/>
        </w:rPr>
        <w:t xml:space="preserve"> </w:t>
      </w:r>
      <w:r>
        <w:rPr>
          <w:rFonts w:hint="eastAsia"/>
          <w:b/>
          <w:bCs/>
          <w:color w:val="7030A0"/>
          <w:shd w:val="clear" w:color="FFFFFF" w:fill="D9D9D9"/>
        </w:rPr>
        <w:t>M2</w:t>
      </w:r>
      <w:r>
        <w:rPr>
          <w:rFonts w:hint="eastAsia"/>
        </w:rPr>
        <w:t>、固定资产投资、</w:t>
      </w:r>
      <w:r>
        <w:rPr>
          <w:rFonts w:hint="eastAsia"/>
          <w:b/>
          <w:bCs/>
          <w:color w:val="0000FF"/>
        </w:rPr>
        <w:t>cPI</w:t>
      </w:r>
      <w:r>
        <w:rPr>
          <w:rFonts w:hint="eastAsia"/>
        </w:rPr>
        <w:t>、</w:t>
      </w:r>
      <w:r>
        <w:rPr>
          <w:rFonts w:hint="eastAsia"/>
          <w:b/>
          <w:bCs/>
          <w:color w:val="C00000"/>
        </w:rPr>
        <w:t>liBOR</w:t>
      </w:r>
      <w:r>
        <w:rPr>
          <w:rFonts w:hint="eastAsia"/>
        </w:rPr>
        <w:t>和美元兑换人民币</w:t>
      </w:r>
      <w:r>
        <w:rPr>
          <w:rFonts w:hint="eastAsia"/>
          <w:b/>
          <w:bCs/>
          <w:color w:val="00B0F0"/>
        </w:rPr>
        <w:t>汇率</w:t>
      </w:r>
    </w:p>
    <w:p w:rsidR="007D0F24" w:rsidRDefault="007D0F24">
      <w:pPr>
        <w:rPr>
          <w:rFonts w:hint="eastAsia"/>
        </w:rPr>
      </w:pPr>
      <w:r>
        <w:rPr>
          <w:rFonts w:hint="eastAsia"/>
        </w:rPr>
        <w:t>货币需求量（固定资产投资额）</w:t>
      </w:r>
      <w:hyperlink r:id="rId10" w:history="1">
        <w:r w:rsidR="00FD06DF" w:rsidRPr="00A265B7">
          <w:rPr>
            <w:rStyle w:val="a5"/>
          </w:rPr>
          <w:t>http://www.stats.gov.cn/tjsj/</w:t>
        </w:r>
      </w:hyperlink>
    </w:p>
    <w:p w:rsidR="00FD06DF" w:rsidRPr="00FD06DF" w:rsidRDefault="00FD06DF">
      <w:pPr>
        <w:rPr>
          <w:b/>
        </w:rPr>
      </w:pPr>
      <w:r w:rsidRPr="00FD06DF">
        <w:rPr>
          <w:b/>
        </w:rPr>
        <w:t>http://data.stats.gov.cn/search.htm?s=%E5%9B%BA%E5%AE%9A%E8%B5%84%E4%BA%A7%E6%8A%95%E8%B5%84%E9%A2%9D</w:t>
      </w:r>
    </w:p>
    <w:sectPr w:rsidR="00FD06DF" w:rsidRPr="00FD06DF" w:rsidSect="00316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30E" w:rsidRDefault="008D030E" w:rsidP="00667560">
      <w:r>
        <w:separator/>
      </w:r>
    </w:p>
  </w:endnote>
  <w:endnote w:type="continuationSeparator" w:id="0">
    <w:p w:rsidR="008D030E" w:rsidRDefault="008D030E" w:rsidP="00667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30E" w:rsidRDefault="008D030E" w:rsidP="00667560">
      <w:r>
        <w:separator/>
      </w:r>
    </w:p>
  </w:footnote>
  <w:footnote w:type="continuationSeparator" w:id="0">
    <w:p w:rsidR="008D030E" w:rsidRDefault="008D030E" w:rsidP="006675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4BB3703"/>
    <w:rsid w:val="00316AF1"/>
    <w:rsid w:val="003E6D3E"/>
    <w:rsid w:val="00622C45"/>
    <w:rsid w:val="00667560"/>
    <w:rsid w:val="007D0F24"/>
    <w:rsid w:val="008D030E"/>
    <w:rsid w:val="00B83FE2"/>
    <w:rsid w:val="00C9793F"/>
    <w:rsid w:val="00CD1EE0"/>
    <w:rsid w:val="00DB4320"/>
    <w:rsid w:val="00FD06DF"/>
    <w:rsid w:val="64BB3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6AF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67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675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67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6756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3E6D3E"/>
    <w:rPr>
      <w:color w:val="0000FF"/>
      <w:u w:val="single"/>
    </w:rPr>
  </w:style>
  <w:style w:type="paragraph" w:styleId="a6">
    <w:name w:val="Balloon Text"/>
    <w:basedOn w:val="a"/>
    <w:link w:val="Char1"/>
    <w:rsid w:val="00DB4320"/>
    <w:rPr>
      <w:sz w:val="18"/>
      <w:szCs w:val="18"/>
    </w:rPr>
  </w:style>
  <w:style w:type="character" w:customStyle="1" w:styleId="Char1">
    <w:name w:val="批注框文本 Char"/>
    <w:basedOn w:val="a0"/>
    <w:link w:val="a6"/>
    <w:rsid w:val="00DB432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9%9A%94%E5%A4%9C%E6%8B%86%E5%80%9F%E5%88%A9%E7%8E%87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n.investing.com/rates-bonds/china-3-year-bond-yield-historical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tats.gov.cn/tjsj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’</dc:creator>
  <cp:lastModifiedBy>DELL-01</cp:lastModifiedBy>
  <cp:revision>8</cp:revision>
  <dcterms:created xsi:type="dcterms:W3CDTF">2019-09-19T05:06:00Z</dcterms:created>
  <dcterms:modified xsi:type="dcterms:W3CDTF">2019-09-21T03:40:00Z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