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hint="eastAsia"/>
          <w:b/>
          <w:bCs/>
          <w:sz w:val="24"/>
          <w:szCs w:val="32"/>
          <w:lang w:val="en-US" w:eastAsia="zh-CN"/>
        </w:rPr>
      </w:pPr>
      <w:r>
        <w:drawing>
          <wp:inline distT="0" distB="0" distL="114300" distR="114300">
            <wp:extent cx="5270500" cy="533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0500" cy="533400"/>
                    </a:xfrm>
                    <a:prstGeom prst="rect">
                      <a:avLst/>
                    </a:prstGeom>
                    <a:noFill/>
                    <a:ln>
                      <a:noFill/>
                    </a:ln>
                  </pic:spPr>
                </pic:pic>
              </a:graphicData>
            </a:graphic>
          </wp:inline>
        </w:drawing>
      </w:r>
      <w:bookmarkStart w:id="0" w:name="_GoBack"/>
      <w:bookmarkEnd w:id="0"/>
    </w:p>
    <w:p>
      <w:pPr>
        <w:jc w:val="left"/>
        <w:rPr>
          <w:rFonts w:hint="default" w:eastAsiaTheme="minorEastAsia"/>
          <w:b/>
          <w:bCs/>
          <w:sz w:val="24"/>
          <w:szCs w:val="32"/>
          <w:lang w:val="en-US" w:eastAsia="zh-CN"/>
        </w:rPr>
      </w:pPr>
      <w:r>
        <w:rPr>
          <w:rFonts w:hint="eastAsia"/>
          <w:b/>
          <w:bCs/>
          <w:sz w:val="24"/>
          <w:szCs w:val="32"/>
          <w:lang w:val="en-US" w:eastAsia="zh-CN"/>
        </w:rPr>
        <w:t>一、关于shibor</w:t>
      </w:r>
    </w:p>
    <w:p>
      <w:pPr>
        <w:jc w:val="left"/>
      </w:pPr>
      <w:r>
        <w:drawing>
          <wp:inline distT="0" distB="0" distL="114300" distR="114300">
            <wp:extent cx="4530725" cy="1363345"/>
            <wp:effectExtent l="0" t="0" r="3175" b="825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5"/>
                    <a:srcRect l="1152"/>
                    <a:stretch>
                      <a:fillRect/>
                    </a:stretch>
                  </pic:blipFill>
                  <pic:spPr>
                    <a:xfrm>
                      <a:off x="0" y="0"/>
                      <a:ext cx="4530725" cy="1363345"/>
                    </a:xfrm>
                    <a:prstGeom prst="rect">
                      <a:avLst/>
                    </a:prstGeom>
                    <a:noFill/>
                    <a:ln>
                      <a:noFill/>
                    </a:ln>
                  </pic:spPr>
                </pic:pic>
              </a:graphicData>
            </a:graphic>
          </wp:inline>
        </w:drawing>
      </w:r>
    </w:p>
    <w:p>
      <w:pPr>
        <w:jc w:val="left"/>
      </w:pPr>
      <w:r>
        <w:drawing>
          <wp:inline distT="0" distB="0" distL="114300" distR="114300">
            <wp:extent cx="4528185" cy="3067050"/>
            <wp:effectExtent l="0" t="0" r="5715" b="635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6"/>
                    <a:stretch>
                      <a:fillRect/>
                    </a:stretch>
                  </pic:blipFill>
                  <pic:spPr>
                    <a:xfrm>
                      <a:off x="0" y="0"/>
                      <a:ext cx="4528185" cy="3067050"/>
                    </a:xfrm>
                    <a:prstGeom prst="rect">
                      <a:avLst/>
                    </a:prstGeom>
                    <a:noFill/>
                    <a:ln>
                      <a:noFill/>
                    </a:ln>
                  </pic:spPr>
                </pic:pic>
              </a:graphicData>
            </a:graphic>
          </wp:inline>
        </w:drawing>
      </w:r>
    </w:p>
    <w:p>
      <w:pPr>
        <w:jc w:val="left"/>
        <w:rPr>
          <w:rFonts w:hint="eastAsia"/>
          <w:b/>
          <w:bCs/>
          <w:sz w:val="24"/>
          <w:szCs w:val="32"/>
          <w:lang w:val="en-US" w:eastAsia="zh-CN"/>
        </w:rPr>
      </w:pPr>
    </w:p>
    <w:p>
      <w:pPr>
        <w:jc w:val="left"/>
        <w:rPr>
          <w:rFonts w:hint="default" w:eastAsiaTheme="minorEastAsia"/>
          <w:b/>
          <w:bCs/>
          <w:sz w:val="24"/>
          <w:szCs w:val="32"/>
          <w:lang w:val="en-US" w:eastAsia="zh-CN"/>
        </w:rPr>
      </w:pPr>
      <w:r>
        <w:rPr>
          <w:rFonts w:hint="eastAsia"/>
          <w:b/>
          <w:bCs/>
          <w:sz w:val="24"/>
          <w:szCs w:val="32"/>
          <w:lang w:val="en-US" w:eastAsia="zh-CN"/>
        </w:rPr>
        <w:t>二、2011年&lt;基于利率市场化shibor利率影响因素的研究&gt;论文思路</w:t>
      </w:r>
    </w:p>
    <w:p>
      <w:pPr>
        <w:rPr>
          <w:rFonts w:hint="eastAsia"/>
          <w:lang w:val="en-US" w:eastAsia="zh-CN"/>
        </w:rPr>
      </w:pPr>
    </w:p>
    <w:p>
      <w:pPr>
        <w:rPr>
          <w:rFonts w:hint="eastAsia"/>
          <w:lang w:val="en-US" w:eastAsia="zh-CN"/>
        </w:rPr>
      </w:pPr>
      <w:r>
        <w:rPr>
          <w:rFonts w:hint="eastAsia"/>
          <w:lang w:val="en-US" w:eastAsia="zh-CN"/>
        </w:rPr>
        <w:t>第一部分：文献综述，对前任的研究成果进行概括介绍。</w:t>
      </w:r>
    </w:p>
    <w:p>
      <w:pPr>
        <w:rPr>
          <w:rFonts w:hint="eastAsia"/>
          <w:lang w:val="en-US" w:eastAsia="zh-CN"/>
        </w:rPr>
      </w:pPr>
      <w:r>
        <w:rPr>
          <w:rFonts w:hint="eastAsia"/>
          <w:lang w:val="en-US" w:eastAsia="zh-CN"/>
        </w:rPr>
        <w:t>第二部分：课题历史背景，分析shibor功能和受影响的主要因素。</w:t>
      </w:r>
    </w:p>
    <w:p>
      <w:pPr>
        <w:rPr>
          <w:rFonts w:hint="eastAsia"/>
          <w:lang w:val="en-US" w:eastAsia="zh-CN"/>
        </w:rPr>
      </w:pPr>
      <w:r>
        <w:rPr>
          <w:rFonts w:hint="eastAsia"/>
          <w:lang w:val="en-US" w:eastAsia="zh-CN"/>
        </w:rPr>
        <w:t>第三部分：建模，利用数据对模型回归分析，模型检验</w:t>
      </w:r>
    </w:p>
    <w:p>
      <w:pPr>
        <w:rPr>
          <w:rFonts w:hint="eastAsia"/>
          <w:shd w:val="clear" w:color="FFFFFF" w:fill="D9D9D9"/>
          <w:lang w:val="en-US" w:eastAsia="zh-CN"/>
        </w:rPr>
      </w:pPr>
    </w:p>
    <w:p>
      <w:pPr>
        <w:rPr>
          <w:rFonts w:hint="default"/>
          <w:shd w:val="clear" w:color="FFFFFF" w:fill="D9D9D9"/>
          <w:lang w:val="en-US" w:eastAsia="zh-CN"/>
        </w:rPr>
      </w:pPr>
      <w:r>
        <w:rPr>
          <w:rFonts w:hint="eastAsia"/>
          <w:shd w:val="clear" w:color="FFFFFF" w:fill="D9D9D9"/>
          <w:lang w:val="en-US" w:eastAsia="zh-CN"/>
        </w:rPr>
        <w:t>研究思路：</w:t>
      </w:r>
    </w:p>
    <w:p>
      <w:pPr>
        <w:numPr>
          <w:ilvl w:val="0"/>
          <w:numId w:val="1"/>
        </w:numPr>
        <w:rPr>
          <w:rFonts w:hint="eastAsia"/>
          <w:shd w:val="clear" w:color="FFFFFF" w:fill="D9D9D9"/>
          <w:lang w:val="en-US" w:eastAsia="zh-CN"/>
        </w:rPr>
      </w:pPr>
      <w:r>
        <w:rPr>
          <w:rFonts w:hint="eastAsia"/>
          <w:shd w:val="clear" w:color="FFFFFF" w:fill="D9D9D9"/>
          <w:lang w:val="en-US" w:eastAsia="zh-CN"/>
        </w:rPr>
        <w:t>运用多元线性回归分析，确定影响shibor利率的主要因素</w:t>
      </w:r>
    </w:p>
    <w:p>
      <w:pPr>
        <w:numPr>
          <w:ilvl w:val="0"/>
          <w:numId w:val="1"/>
        </w:numPr>
        <w:rPr>
          <w:rFonts w:hint="default"/>
          <w:shd w:val="clear" w:color="FFFFFF" w:fill="D9D9D9"/>
          <w:lang w:val="en-US" w:eastAsia="zh-CN"/>
        </w:rPr>
      </w:pPr>
      <w:r>
        <w:rPr>
          <w:rFonts w:hint="eastAsia"/>
          <w:shd w:val="clear" w:color="FFFFFF" w:fill="D9D9D9"/>
          <w:lang w:val="en-US" w:eastAsia="zh-CN"/>
        </w:rPr>
        <w:t>建立用线性回归方程表示的模型</w:t>
      </w:r>
    </w:p>
    <w:p>
      <w:pPr>
        <w:numPr>
          <w:ilvl w:val="0"/>
          <w:numId w:val="1"/>
        </w:numPr>
        <w:rPr>
          <w:rFonts w:hint="default"/>
          <w:shd w:val="clear" w:color="FFFFFF" w:fill="D9D9D9"/>
          <w:lang w:val="en-US" w:eastAsia="zh-CN"/>
        </w:rPr>
      </w:pPr>
      <w:r>
        <w:rPr>
          <w:rFonts w:hint="eastAsia"/>
          <w:shd w:val="clear" w:color="FFFFFF" w:fill="D9D9D9"/>
          <w:lang w:val="en-US" w:eastAsia="zh-CN"/>
        </w:rPr>
        <w:t>利用统计检验来检验线性回归方程和变量的显著性检验</w:t>
      </w:r>
    </w:p>
    <w:p>
      <w:pPr>
        <w:numPr>
          <w:ilvl w:val="0"/>
          <w:numId w:val="1"/>
        </w:numPr>
        <w:rPr>
          <w:rFonts w:hint="default"/>
          <w:shd w:val="clear" w:color="FFFFFF" w:fill="D9D9D9"/>
          <w:lang w:val="en-US" w:eastAsia="zh-CN"/>
        </w:rPr>
      </w:pPr>
      <w:r>
        <w:rPr>
          <w:rFonts w:hint="eastAsia"/>
          <w:shd w:val="clear" w:color="FFFFFF" w:fill="D9D9D9"/>
          <w:lang w:val="en-US" w:eastAsia="zh-CN"/>
        </w:rPr>
        <w:t>线性回归模型预测下一阶段shibor利率走势</w:t>
      </w:r>
    </w:p>
    <w:p>
      <w:pPr>
        <w:rPr>
          <w:rFonts w:hint="default"/>
          <w:lang w:val="en-US" w:eastAsia="zh-CN"/>
        </w:rPr>
      </w:pPr>
    </w:p>
    <w:p>
      <w:pPr>
        <w:rPr>
          <w:rFonts w:hint="eastAsia"/>
          <w:b/>
          <w:bCs/>
          <w:sz w:val="24"/>
          <w:szCs w:val="32"/>
          <w:lang w:val="en-US" w:eastAsia="zh-CN"/>
        </w:rPr>
      </w:pPr>
      <w:r>
        <w:rPr>
          <w:rFonts w:hint="eastAsia"/>
          <w:b/>
          <w:bCs/>
          <w:sz w:val="24"/>
          <w:szCs w:val="32"/>
          <w:lang w:val="en-US" w:eastAsia="zh-CN"/>
        </w:rPr>
        <w:t>第一部分：文献综述，对前任的研究成果进行概括介绍。</w:t>
      </w:r>
    </w:p>
    <w:p>
      <w:pPr>
        <w:numPr>
          <w:ilvl w:val="0"/>
          <w:numId w:val="2"/>
        </w:numPr>
        <w:rPr>
          <w:rFonts w:hint="eastAsia"/>
          <w:b/>
          <w:bCs/>
          <w:lang w:val="en-US" w:eastAsia="zh-CN"/>
        </w:rPr>
      </w:pPr>
      <w:r>
        <w:rPr>
          <w:rFonts w:hint="eastAsia"/>
          <w:b/>
          <w:bCs/>
          <w:lang w:val="en-US" w:eastAsia="zh-CN"/>
        </w:rPr>
        <w:t>关于shibor利率研究</w:t>
      </w:r>
    </w:p>
    <w:p>
      <w:pPr>
        <w:numPr>
          <w:ilvl w:val="0"/>
          <w:numId w:val="0"/>
        </w:numPr>
        <w:rPr>
          <w:rFonts w:hint="eastAsia"/>
          <w:lang w:val="en-US" w:eastAsia="zh-CN"/>
        </w:rPr>
      </w:pPr>
      <w:r>
        <w:rPr>
          <w:rFonts w:hint="eastAsia"/>
          <w:lang w:val="en-US" w:eastAsia="zh-CN"/>
        </w:rPr>
        <w:t>·2008分析如何以shibor为基准利率推进我国存贷款利率市场化，并解决相关问题</w:t>
      </w:r>
    </w:p>
    <w:p>
      <w:pPr>
        <w:numPr>
          <w:ilvl w:val="0"/>
          <w:numId w:val="0"/>
        </w:numPr>
        <w:rPr>
          <w:rFonts w:hint="default"/>
          <w:lang w:val="en-US" w:eastAsia="zh-CN"/>
        </w:rPr>
      </w:pPr>
      <w:r>
        <w:rPr>
          <w:rFonts w:hint="eastAsia"/>
          <w:lang w:val="en-US" w:eastAsia="zh-CN"/>
        </w:rPr>
        <w:t>·2008从shibor推出以来，讨论与货币市场其他利率之间的关系（相关性分析，协整检验，因果检验等数量分析法），确定影响shibor利率水平的因素，建模研究因素对shibor曲线结构的影响</w:t>
      </w:r>
    </w:p>
    <w:p>
      <w:pPr>
        <w:numPr>
          <w:ilvl w:val="0"/>
          <w:numId w:val="0"/>
        </w:numPr>
        <w:rPr>
          <w:rFonts w:hint="eastAsia"/>
          <w:lang w:val="en-US" w:eastAsia="zh-CN"/>
        </w:rPr>
      </w:pPr>
      <w:r>
        <w:rPr>
          <w:rFonts w:hint="eastAsia"/>
          <w:lang w:val="en-US" w:eastAsia="zh-CN"/>
        </w:rPr>
        <w:t>·2009分析比较shibor与libor报价机制和交易技术（定性角度），分析shibor和libor动态特征（定量角度使用CKLS框架下嵌套非线性飘逸函数&amp;GARCH模型，参数估计）</w:t>
      </w:r>
    </w:p>
    <w:p>
      <w:pPr>
        <w:numPr>
          <w:ilvl w:val="0"/>
          <w:numId w:val="0"/>
        </w:numPr>
        <w:rPr>
          <w:rFonts w:hint="eastAsia"/>
          <w:lang w:val="en-US" w:eastAsia="zh-CN"/>
        </w:rPr>
      </w:pPr>
      <w:r>
        <w:rPr>
          <w:rFonts w:hint="eastAsia"/>
          <w:lang w:val="en-US" w:eastAsia="zh-CN"/>
        </w:rPr>
        <w:t>·我国对shibor研究大多分为三类（2010以前）。①利率市场化问题②基准利率地位③利率的决定机制。有关shibor利率的决定因素的论题研究很少。</w:t>
      </w:r>
    </w:p>
    <w:p>
      <w:pPr>
        <w:numPr>
          <w:ilvl w:val="0"/>
          <w:numId w:val="0"/>
        </w:numPr>
        <w:rPr>
          <w:rFonts w:hint="default"/>
          <w:lang w:val="en-US" w:eastAsia="zh-CN"/>
        </w:rPr>
      </w:pPr>
    </w:p>
    <w:p>
      <w:pPr>
        <w:numPr>
          <w:ilvl w:val="0"/>
          <w:numId w:val="2"/>
        </w:numPr>
        <w:rPr>
          <w:rFonts w:hint="default"/>
          <w:b/>
          <w:bCs/>
          <w:lang w:val="en-US" w:eastAsia="zh-CN"/>
        </w:rPr>
      </w:pPr>
      <w:r>
        <w:rPr>
          <w:rFonts w:hint="eastAsia"/>
          <w:b/>
          <w:bCs/>
          <w:lang w:val="en-US" w:eastAsia="zh-CN"/>
        </w:rPr>
        <w:t>利率影响因素研究</w:t>
      </w:r>
    </w:p>
    <w:p>
      <w:pPr>
        <w:numPr>
          <w:ilvl w:val="0"/>
          <w:numId w:val="0"/>
        </w:numPr>
        <w:rPr>
          <w:rFonts w:hint="eastAsia"/>
          <w:lang w:val="en-US" w:eastAsia="zh-CN"/>
        </w:rPr>
      </w:pPr>
      <w:r>
        <w:rPr>
          <w:rFonts w:hint="eastAsia"/>
          <w:lang w:val="en-US" w:eastAsia="zh-CN"/>
        </w:rPr>
        <w:t>·1998chibor分析CHIBOR中最具代表性的隔夜拆借利率和七天拆借利率的协整关系，建立预测模型（ECM精度优于VAR）</w:t>
      </w:r>
    </w:p>
    <w:p>
      <w:pPr>
        <w:numPr>
          <w:ilvl w:val="0"/>
          <w:numId w:val="0"/>
        </w:numPr>
        <w:rPr>
          <w:rFonts w:hint="eastAsia"/>
          <w:lang w:val="en-US" w:eastAsia="zh-CN"/>
        </w:rPr>
      </w:pPr>
      <w:r>
        <w:rPr>
          <w:rFonts w:hint="eastAsia"/>
          <w:lang w:val="en-US" w:eastAsia="zh-CN"/>
        </w:rPr>
        <w:t>·1998选择预测我国同业拆借利率的宏观影响变量（对数化的费雪公式），对同拆率进行拟合预测（带有学习功能的神经网络模型是有效工具）</w:t>
      </w:r>
    </w:p>
    <w:p>
      <w:pPr>
        <w:numPr>
          <w:ilvl w:val="0"/>
          <w:numId w:val="0"/>
        </w:numPr>
        <w:rPr>
          <w:rFonts w:hint="eastAsia"/>
          <w:lang w:val="en-US" w:eastAsia="zh-CN"/>
        </w:rPr>
      </w:pPr>
      <w:r>
        <w:rPr>
          <w:rFonts w:hint="eastAsia"/>
          <w:lang w:val="en-US" w:eastAsia="zh-CN"/>
        </w:rPr>
        <w:t>·2002证明了中国同拆</w:t>
      </w:r>
      <w:r>
        <w:rPr>
          <w:rFonts w:hint="eastAsia"/>
          <w:b/>
          <w:bCs/>
          <w:u w:val="single"/>
          <w:lang w:val="en-US" w:eastAsia="zh-CN"/>
        </w:rPr>
        <w:t>利率波动较小</w:t>
      </w:r>
      <w:r>
        <w:rPr>
          <w:rFonts w:hint="eastAsia"/>
          <w:lang w:val="en-US" w:eastAsia="zh-CN"/>
        </w:rPr>
        <w:t>，大程度上由人为管控导致（用数据对Vasicek和CIR模型进行参数估计）</w:t>
      </w:r>
    </w:p>
    <w:p>
      <w:pPr>
        <w:numPr>
          <w:ilvl w:val="0"/>
          <w:numId w:val="0"/>
        </w:numPr>
        <w:rPr>
          <w:rFonts w:hint="eastAsia"/>
          <w:lang w:val="en-US" w:eastAsia="zh-CN"/>
        </w:rPr>
      </w:pPr>
      <w:r>
        <w:rPr>
          <w:rFonts w:hint="eastAsia"/>
          <w:lang w:val="en-US" w:eastAsia="zh-CN"/>
        </w:rPr>
        <w:t>·2006分析影响基准利率期限结构的因素（</w:t>
      </w:r>
      <w:r>
        <w:rPr>
          <w:rFonts w:hint="eastAsia"/>
          <w:shd w:val="clear" w:color="FFFFFF" w:fill="D9D9D9"/>
          <w:lang w:val="en-US" w:eastAsia="zh-CN"/>
        </w:rPr>
        <w:t>存贷差，狭义货币供应量m1，保费收入</w:t>
      </w:r>
      <w:r>
        <w:rPr>
          <w:rFonts w:hint="eastAsia"/>
          <w:lang w:val="en-US" w:eastAsia="zh-CN"/>
        </w:rPr>
        <w:t>）</w:t>
      </w:r>
    </w:p>
    <w:p>
      <w:pPr>
        <w:numPr>
          <w:ilvl w:val="0"/>
          <w:numId w:val="0"/>
        </w:numPr>
        <w:rPr>
          <w:rFonts w:hint="eastAsia"/>
          <w:lang w:val="en-US" w:eastAsia="zh-CN"/>
        </w:rPr>
      </w:pPr>
      <w:r>
        <w:rPr>
          <w:rFonts w:hint="eastAsia"/>
          <w:lang w:val="en-US" w:eastAsia="zh-CN"/>
        </w:rPr>
        <w:t>·2006分析同拆利率变化影响因素（</w:t>
      </w:r>
      <w:r>
        <w:rPr>
          <w:rFonts w:hint="eastAsia"/>
          <w:shd w:val="clear" w:color="FFFFFF" w:fill="D9D9D9"/>
          <w:lang w:val="en-US" w:eastAsia="zh-CN"/>
        </w:rPr>
        <w:t>贷款利率、超额准备金利率、存款利率</w:t>
      </w:r>
      <w:r>
        <w:rPr>
          <w:rFonts w:hint="eastAsia"/>
          <w:lang w:val="en-US" w:eastAsia="zh-CN"/>
        </w:rPr>
        <w:t>）</w:t>
      </w:r>
    </w:p>
    <w:p>
      <w:pPr>
        <w:numPr>
          <w:ilvl w:val="0"/>
          <w:numId w:val="0"/>
        </w:numPr>
        <w:rPr>
          <w:rFonts w:hint="eastAsia"/>
          <w:lang w:val="en-US" w:eastAsia="zh-CN"/>
        </w:rPr>
      </w:pPr>
      <w:r>
        <w:rPr>
          <w:rFonts w:hint="eastAsia"/>
          <w:lang w:val="en-US" w:eastAsia="zh-CN"/>
        </w:rPr>
        <w:t>·2007以</w:t>
      </w:r>
      <w:r>
        <w:rPr>
          <w:rFonts w:hint="eastAsia"/>
          <w:b w:val="0"/>
          <w:bCs w:val="0"/>
          <w:color w:val="auto"/>
          <w:u w:val="none"/>
          <w:shd w:val="clear" w:color="FFFFFF" w:fill="D9D9D9"/>
          <w:lang w:val="en-US" w:eastAsia="zh-CN"/>
        </w:rPr>
        <w:t>日均隔夜利差序列</w:t>
      </w:r>
      <w:r>
        <w:rPr>
          <w:rFonts w:hint="eastAsia"/>
          <w:lang w:val="en-US" w:eastAsia="zh-CN"/>
        </w:rPr>
        <w:t>作为被解释量，研究表明流动性因素、交易量对其有显著影响（AE(P)-EGARCH模型）</w:t>
      </w:r>
    </w:p>
    <w:p>
      <w:pPr>
        <w:numPr>
          <w:ilvl w:val="0"/>
          <w:numId w:val="0"/>
        </w:numPr>
        <w:rPr>
          <w:rFonts w:hint="eastAsia"/>
          <w:lang w:val="en-US" w:eastAsia="zh-CN"/>
        </w:rPr>
      </w:pPr>
      <w:r>
        <w:rPr>
          <w:rFonts w:hint="eastAsia"/>
          <w:lang w:val="en-US" w:eastAsia="zh-CN"/>
        </w:rPr>
        <w:t>·2007研究我国同拆利率</w:t>
      </w:r>
      <w:r>
        <w:rPr>
          <w:rFonts w:hint="eastAsia"/>
          <w:shd w:val="clear" w:color="FFFFFF" w:fill="D9D9D9"/>
          <w:lang w:val="en-US" w:eastAsia="zh-CN"/>
        </w:rPr>
        <w:t>长期影响因素</w:t>
      </w:r>
      <w:r>
        <w:rPr>
          <w:rFonts w:hint="eastAsia"/>
          <w:lang w:val="en-US" w:eastAsia="zh-CN"/>
        </w:rPr>
        <w:t>（ARIMA模型），发现</w:t>
      </w:r>
      <w:r>
        <w:rPr>
          <w:rFonts w:hint="eastAsia"/>
          <w:shd w:val="clear" w:color="FFFFFF" w:fill="D9D9D9"/>
          <w:lang w:val="en-US" w:eastAsia="zh-CN"/>
        </w:rPr>
        <w:t>一年期人民币银行贷款利率</w:t>
      </w:r>
      <w:r>
        <w:rPr>
          <w:rFonts w:hint="eastAsia"/>
          <w:lang w:val="en-US" w:eastAsia="zh-CN"/>
        </w:rPr>
        <w:t>和</w:t>
      </w:r>
      <w:r>
        <w:rPr>
          <w:rFonts w:hint="eastAsia"/>
          <w:shd w:val="clear" w:color="FFFFFF" w:fill="D9D9D9"/>
          <w:lang w:val="en-US" w:eastAsia="zh-CN"/>
        </w:rPr>
        <w:t>回购利率</w:t>
      </w:r>
      <w:r>
        <w:rPr>
          <w:rFonts w:hint="eastAsia"/>
          <w:lang w:val="en-US" w:eastAsia="zh-CN"/>
        </w:rPr>
        <w:t>存在长期正的影响。（Granger因果检验，各因素理论关系验证）</w:t>
      </w:r>
    </w:p>
    <w:p>
      <w:pPr>
        <w:numPr>
          <w:ilvl w:val="0"/>
          <w:numId w:val="0"/>
        </w:numPr>
        <w:rPr>
          <w:rFonts w:hint="eastAsia"/>
          <w:b/>
          <w:bCs/>
          <w:lang w:val="en-US" w:eastAsia="zh-CN"/>
          <w14:textFill>
            <w14:gradFill>
              <w14:gsLst>
                <w14:gs w14:pos="0">
                  <w14:srgbClr w14:val="7B32B2"/>
                </w14:gs>
                <w14:gs w14:pos="100000">
                  <w14:srgbClr w14:val="401A5D"/>
                </w14:gs>
              </w14:gsLst>
              <w14:lin w14:scaled="0"/>
            </w14:gradFill>
          </w14:textFill>
        </w:rPr>
      </w:pPr>
      <w:r>
        <w:rPr>
          <w:rFonts w:hint="eastAsia"/>
          <w:b/>
          <w:bCs/>
          <w:lang w:val="en-US" w:eastAsia="zh-CN"/>
          <w14:textFill>
            <w14:gradFill>
              <w14:gsLst>
                <w14:gs w14:pos="0">
                  <w14:srgbClr w14:val="7B32B2"/>
                </w14:gs>
                <w14:gs w14:pos="100000">
                  <w14:srgbClr w14:val="401A5D"/>
                </w14:gs>
              </w14:gsLst>
              <w14:lin w14:scaled="0"/>
            </w14:gradFill>
          </w14:textFill>
        </w:rPr>
        <w:t>·关于同拆利率研究角度（2010以前）：①</w:t>
      </w:r>
      <w:r>
        <w:rPr>
          <w:rFonts w:hint="eastAsia"/>
          <w:b/>
          <w:bCs/>
          <w:shd w:val="clear" w:color="FFFFFF" w:fill="D9D9D9"/>
          <w:lang w:val="en-US" w:eastAsia="zh-CN"/>
          <w14:textFill>
            <w14:gradFill>
              <w14:gsLst>
                <w14:gs w14:pos="0">
                  <w14:srgbClr w14:val="7B32B2"/>
                </w14:gs>
                <w14:gs w14:pos="100000">
                  <w14:srgbClr w14:val="401A5D"/>
                </w14:gs>
              </w14:gsLst>
              <w14:lin w14:scaled="0"/>
            </w14:gradFill>
          </w14:textFill>
        </w:rPr>
        <w:t>宏观经济变量</w:t>
      </w:r>
      <w:r>
        <w:rPr>
          <w:rFonts w:hint="eastAsia"/>
          <w:b/>
          <w:bCs/>
          <w:lang w:val="en-US" w:eastAsia="zh-CN"/>
          <w14:textFill>
            <w14:gradFill>
              <w14:gsLst>
                <w14:gs w14:pos="0">
                  <w14:srgbClr w14:val="7B32B2"/>
                </w14:gs>
                <w14:gs w14:pos="100000">
                  <w14:srgbClr w14:val="401A5D"/>
                </w14:gs>
              </w14:gsLst>
              <w14:lin w14:scaled="0"/>
            </w14:gradFill>
          </w14:textFill>
        </w:rPr>
        <w:t>：存款利率、超额准备金率、综合股价值数、货币供应量，与同拆率时间的关系②研究拆借利率的</w:t>
      </w:r>
      <w:r>
        <w:rPr>
          <w:rFonts w:hint="eastAsia"/>
          <w:b/>
          <w:bCs/>
          <w:shd w:val="clear" w:color="FFFFFF" w:fill="D9D9D9"/>
          <w:lang w:val="en-US" w:eastAsia="zh-CN"/>
          <w14:textFill>
            <w14:gradFill>
              <w14:gsLst>
                <w14:gs w14:pos="0">
                  <w14:srgbClr w14:val="7B32B2"/>
                </w14:gs>
                <w14:gs w14:pos="100000">
                  <w14:srgbClr w14:val="401A5D"/>
                </w14:gs>
              </w14:gsLst>
              <w14:lin w14:scaled="0"/>
            </w14:gradFill>
          </w14:textFill>
        </w:rPr>
        <w:t>波动性、流动性，期限结构或构建相应预测模型</w:t>
      </w:r>
      <w:r>
        <w:rPr>
          <w:rFonts w:hint="eastAsia"/>
          <w:b/>
          <w:bCs/>
          <w:lang w:val="en-US" w:eastAsia="zh-CN"/>
          <w14:textFill>
            <w14:gradFill>
              <w14:gsLst>
                <w14:gs w14:pos="0">
                  <w14:srgbClr w14:val="7B32B2"/>
                </w14:gs>
                <w14:gs w14:pos="100000">
                  <w14:srgbClr w14:val="401A5D"/>
                </w14:gs>
              </w14:gsLst>
              <w14:lin w14:scaled="0"/>
            </w14:gradFill>
          </w14:textFill>
        </w:rPr>
        <w:t>。</w:t>
      </w:r>
    </w:p>
    <w:p>
      <w:pPr>
        <w:numPr>
          <w:ilvl w:val="0"/>
          <w:numId w:val="0"/>
        </w:numPr>
        <w:rPr>
          <w:rFonts w:hint="default"/>
          <w:b/>
          <w:bCs/>
          <w:lang w:val="en-US" w:eastAsia="zh-CN"/>
          <w14:textFill>
            <w14:gradFill>
              <w14:gsLst>
                <w14:gs w14:pos="0">
                  <w14:srgbClr w14:val="7B32B2"/>
                </w14:gs>
                <w14:gs w14:pos="100000">
                  <w14:srgbClr w14:val="401A5D"/>
                </w14:gs>
              </w14:gsLst>
              <w14:lin w14:scaled="0"/>
            </w14:gradFill>
          </w14:textFill>
        </w:rPr>
      </w:pPr>
    </w:p>
    <w:p>
      <w:pPr>
        <w:numPr>
          <w:ilvl w:val="0"/>
          <w:numId w:val="2"/>
        </w:numPr>
        <w:rPr>
          <w:rFonts w:hint="default"/>
          <w:b/>
          <w:bCs/>
          <w:lang w:val="en-US" w:eastAsia="zh-CN"/>
        </w:rPr>
      </w:pPr>
      <w:r>
        <w:rPr>
          <w:rFonts w:hint="eastAsia"/>
          <w:b/>
          <w:bCs/>
          <w:lang w:val="en-US" w:eastAsia="zh-CN"/>
        </w:rPr>
        <w:t>国外学者研究</w:t>
      </w:r>
    </w:p>
    <w:p>
      <w:pPr>
        <w:rPr>
          <w:rFonts w:hint="default"/>
          <w:lang w:val="en-US" w:eastAsia="zh-CN"/>
        </w:rPr>
      </w:pPr>
      <w:r>
        <w:rPr>
          <w:rFonts w:hint="eastAsia"/>
          <w:lang w:val="en-US" w:eastAsia="zh-CN"/>
        </w:rPr>
        <w:t>利率市场化程度较高，研究起点早</w:t>
      </w:r>
    </w:p>
    <w:p>
      <w:pPr>
        <w:rPr>
          <w:rFonts w:hint="eastAsia"/>
          <w:lang w:val="en-US" w:eastAsia="zh-CN"/>
        </w:rPr>
      </w:pPr>
      <w:r>
        <w:rPr>
          <w:rFonts w:hint="eastAsia"/>
          <w:lang w:val="en-US" w:eastAsia="zh-CN"/>
        </w:rPr>
        <w:t>·1995证明libor长期利率体现人们对外来短期利率的预期（联合测试，特殊的VAR模型）</w:t>
      </w:r>
    </w:p>
    <w:p>
      <w:pPr>
        <w:rPr>
          <w:rFonts w:hint="eastAsia"/>
          <w:lang w:val="en-US" w:eastAsia="zh-CN"/>
        </w:rPr>
      </w:pPr>
      <w:r>
        <w:rPr>
          <w:rFonts w:hint="eastAsia"/>
          <w:lang w:val="en-US" w:eastAsia="zh-CN"/>
        </w:rPr>
        <w:t>·1999新加坡金融管理局发现新加坡同拆利率主要根据兑换美元汇率及美元利率所变动，银行定期存款利率和优惠贷款利率反过来影响同拆利率</w:t>
      </w:r>
    </w:p>
    <w:p>
      <w:pPr>
        <w:rPr>
          <w:rFonts w:hint="eastAsia"/>
          <w:shd w:val="clear" w:color="FFFFFF" w:fill="D9D9D9"/>
          <w:lang w:val="en-US" w:eastAsia="zh-CN"/>
        </w:rPr>
      </w:pPr>
      <w:r>
        <w:rPr>
          <w:rFonts w:hint="eastAsia"/>
          <w:lang w:val="en-US" w:eastAsia="zh-CN"/>
        </w:rPr>
        <w:t>·</w:t>
      </w:r>
      <w:r>
        <w:rPr>
          <w:rFonts w:hint="eastAsia"/>
          <w:shd w:val="clear" w:color="FFFFFF" w:fill="D9D9D9"/>
          <w:lang w:val="en-US" w:eastAsia="zh-CN"/>
        </w:rPr>
        <w:t>国内研究主要集中在市场化利率的定性研究上</w:t>
      </w:r>
    </w:p>
    <w:p>
      <w:pPr>
        <w:rPr>
          <w:rFonts w:hint="default"/>
          <w:lang w:val="en-US" w:eastAsia="zh-CN"/>
        </w:rPr>
      </w:pPr>
    </w:p>
    <w:p>
      <w:pPr>
        <w:rPr>
          <w:rFonts w:hint="default"/>
          <w:b/>
          <w:bCs/>
          <w:sz w:val="24"/>
          <w:szCs w:val="32"/>
          <w:lang w:val="en-US" w:eastAsia="zh-CN"/>
        </w:rPr>
      </w:pPr>
      <w:r>
        <w:rPr>
          <w:rFonts w:hint="eastAsia"/>
          <w:b/>
          <w:bCs/>
          <w:sz w:val="24"/>
          <w:szCs w:val="32"/>
          <w:lang w:val="en-US" w:eastAsia="zh-CN"/>
        </w:rPr>
        <w:t>第二部分：课题历史背景，分析shibor功能和受影响的主要因素。</w:t>
      </w:r>
    </w:p>
    <w:p>
      <w:pPr>
        <w:rPr>
          <w:rFonts w:hint="eastAsia"/>
          <w:b/>
          <w:bCs/>
          <w:lang w:val="en-US" w:eastAsia="zh-CN"/>
        </w:rPr>
      </w:pPr>
      <w:r>
        <w:rPr>
          <w:rFonts w:hint="eastAsia"/>
          <w:b/>
          <w:bCs/>
          <w:lang w:val="en-US" w:eastAsia="zh-CN"/>
        </w:rPr>
        <w:t>1.（历史理论因素）</w:t>
      </w:r>
    </w:p>
    <w:p>
      <w:pPr>
        <w:rPr>
          <w:rFonts w:hint="eastAsia"/>
          <w:lang w:val="en-US" w:eastAsia="zh-CN"/>
        </w:rPr>
      </w:pPr>
      <w:r>
        <w:rPr>
          <w:rFonts w:hint="eastAsia"/>
          <w:lang w:val="en-US" w:eastAsia="zh-CN"/>
        </w:rPr>
        <w:t>·马克思利率理论：一个国家的平均利润率是相当稳定的，从而利率也是相当稳定的。从总体上，平均利润率对利率起着决定和约束作用。但当</w:t>
      </w:r>
      <w:r>
        <w:rPr>
          <w:rFonts w:hint="eastAsia"/>
          <w:shd w:val="clear" w:color="FFFFFF" w:fill="D9D9D9"/>
          <w:lang w:val="en-US" w:eastAsia="zh-CN"/>
        </w:rPr>
        <w:t>平均利润率</w:t>
      </w:r>
      <w:r>
        <w:rPr>
          <w:rFonts w:hint="eastAsia"/>
          <w:lang w:val="en-US" w:eastAsia="zh-CN"/>
        </w:rPr>
        <w:t>一定是，利率的变动还受</w:t>
      </w:r>
      <w:r>
        <w:rPr>
          <w:rFonts w:hint="eastAsia"/>
          <w:shd w:val="clear" w:color="FFFFFF" w:fill="D9D9D9"/>
          <w:lang w:val="en-US" w:eastAsia="zh-CN"/>
        </w:rPr>
        <w:t>市场竞争、资金供求状况、物价水平、经济周期以及国际利率水平</w:t>
      </w:r>
      <w:r>
        <w:rPr>
          <w:rFonts w:hint="eastAsia"/>
          <w:lang w:val="en-US" w:eastAsia="zh-CN"/>
        </w:rPr>
        <w:t>等因素影响。</w:t>
      </w:r>
    </w:p>
    <w:p>
      <w:pPr>
        <w:rPr>
          <w:rFonts w:hint="eastAsia"/>
          <w:lang w:val="en-US" w:eastAsia="zh-CN"/>
        </w:rPr>
      </w:pPr>
    </w:p>
    <w:p>
      <w:pPr>
        <w:rPr>
          <w:rFonts w:hint="default" w:eastAsiaTheme="minorEastAsia"/>
          <w:lang w:val="en-US" w:eastAsia="zh-CN"/>
        </w:rPr>
      </w:pPr>
      <w:r>
        <w:rPr>
          <w:rFonts w:hint="eastAsia"/>
          <w:lang w:val="en-US" w:eastAsia="zh-CN"/>
        </w:rPr>
        <w:t>·古典学派利率决定理论：任何生产要素的价格都是由供给和需求在均衡条件下决定的。资本是一种生产要素，利率是资本的价格。在商品市场上，储蓄构成资本的供给，投资构成资本的需求。利率水平由储蓄和投资之间的均衡确定，且储蓄是利率的增函数，投资是利率的减函数。货币供给变动只影响一般价格水平，并不影响利率，利率由投资需求与储蓄医院的均衡所决定。</w:t>
      </w:r>
    </w:p>
    <w:p>
      <w:pPr>
        <w:jc w:val="center"/>
      </w:pPr>
      <w:r>
        <w:drawing>
          <wp:inline distT="0" distB="0" distL="114300" distR="114300">
            <wp:extent cx="3709670" cy="1728470"/>
            <wp:effectExtent l="0" t="0" r="11430" b="1143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3709670" cy="1728470"/>
                    </a:xfrm>
                    <a:prstGeom prst="rect">
                      <a:avLst/>
                    </a:prstGeom>
                    <a:noFill/>
                    <a:ln>
                      <a:noFill/>
                    </a:ln>
                  </pic:spPr>
                </pic:pic>
              </a:graphicData>
            </a:graphic>
          </wp:inline>
        </w:drawing>
      </w:r>
    </w:p>
    <w:p>
      <w:pPr>
        <w:jc w:val="center"/>
      </w:pPr>
    </w:p>
    <w:p>
      <w:pPr>
        <w:jc w:val="both"/>
        <w:rPr>
          <w:rFonts w:hint="default"/>
          <w:b/>
          <w:bCs/>
          <w:lang w:val="en-US" w:eastAsia="zh-CN"/>
        </w:rPr>
      </w:pPr>
      <w:r>
        <w:rPr>
          <w:rFonts w:hint="eastAsia"/>
          <w:b/>
          <w:bCs/>
          <w:lang w:val="en-US" w:eastAsia="zh-CN"/>
        </w:rPr>
        <w:t>2.（结合现状分析因素）</w:t>
      </w:r>
    </w:p>
    <w:p>
      <w:pPr>
        <w:jc w:val="both"/>
        <w:rPr>
          <w:rFonts w:hint="eastAsia"/>
          <w:lang w:val="en-US" w:eastAsia="zh-CN"/>
        </w:rPr>
      </w:pPr>
      <w:r>
        <w:rPr>
          <w:rFonts w:hint="eastAsia"/>
          <w:lang w:val="en-US" w:eastAsia="zh-CN"/>
        </w:rPr>
        <w:t>·影响利率因素：平均利润率、</w:t>
      </w:r>
      <w:r>
        <w:rPr>
          <w:rFonts w:hint="eastAsia"/>
          <w:shd w:val="clear" w:color="FFFFFF" w:fill="D9D9D9"/>
          <w:lang w:val="en-US" w:eastAsia="zh-CN"/>
        </w:rPr>
        <w:t>货币供求状况</w:t>
      </w:r>
      <w:r>
        <w:rPr>
          <w:rFonts w:hint="eastAsia"/>
          <w:lang w:val="en-US" w:eastAsia="zh-CN"/>
        </w:rPr>
        <w:t>、经济运行周期、宏观经济政策、</w:t>
      </w:r>
      <w:r>
        <w:rPr>
          <w:rFonts w:hint="eastAsia"/>
          <w:shd w:val="clear" w:color="FFFFFF" w:fill="D9D9D9"/>
          <w:lang w:val="en-US" w:eastAsia="zh-CN"/>
        </w:rPr>
        <w:t>预期通货膨胀率</w:t>
      </w:r>
      <w:r>
        <w:rPr>
          <w:rFonts w:hint="eastAsia"/>
          <w:lang w:val="en-US" w:eastAsia="zh-CN"/>
        </w:rPr>
        <w:t>、</w:t>
      </w:r>
      <w:r>
        <w:rPr>
          <w:rFonts w:hint="eastAsia"/>
          <w:shd w:val="clear" w:color="FFFFFF" w:fill="D9D9D9"/>
          <w:lang w:val="en-US" w:eastAsia="zh-CN"/>
        </w:rPr>
        <w:t>物价水平</w:t>
      </w:r>
      <w:r>
        <w:rPr>
          <w:rFonts w:hint="eastAsia"/>
          <w:lang w:val="en-US" w:eastAsia="zh-CN"/>
        </w:rPr>
        <w:t>、</w:t>
      </w:r>
      <w:r>
        <w:rPr>
          <w:rFonts w:hint="eastAsia"/>
          <w:shd w:val="clear" w:color="FFFFFF" w:fill="D9D9D9"/>
          <w:lang w:val="en-US" w:eastAsia="zh-CN"/>
        </w:rPr>
        <w:t>国际利率水平</w:t>
      </w:r>
      <w:r>
        <w:rPr>
          <w:rFonts w:hint="eastAsia"/>
          <w:lang w:val="en-US" w:eastAsia="zh-CN"/>
        </w:rPr>
        <w:t>、</w:t>
      </w:r>
      <w:r>
        <w:rPr>
          <w:rFonts w:hint="eastAsia"/>
          <w:shd w:val="clear" w:color="FFFFFF" w:fill="D9D9D9"/>
          <w:lang w:val="en-US" w:eastAsia="zh-CN"/>
        </w:rPr>
        <w:t>汇率</w:t>
      </w:r>
      <w:r>
        <w:rPr>
          <w:rFonts w:hint="eastAsia"/>
          <w:lang w:val="en-US" w:eastAsia="zh-CN"/>
        </w:rPr>
        <w:t>（定性or</w:t>
      </w:r>
      <w:r>
        <w:rPr>
          <w:rFonts w:hint="eastAsia"/>
          <w:shd w:val="clear" w:color="FFFFFF" w:fill="D9D9D9"/>
          <w:lang w:val="en-US" w:eastAsia="zh-CN"/>
        </w:rPr>
        <w:t>定量</w:t>
      </w:r>
      <w:r>
        <w:rPr>
          <w:rFonts w:hint="eastAsia"/>
          <w:lang w:val="en-US" w:eastAsia="zh-CN"/>
        </w:rPr>
        <w:t>），注重不同时代背景下的影响因素研究，如背景在推行利率市场化体系下，应结合利率市场化的特点。</w:t>
      </w:r>
    </w:p>
    <w:p>
      <w:pPr>
        <w:jc w:val="both"/>
        <w:rPr>
          <w:rFonts w:hint="eastAsia"/>
          <w:shd w:val="clear" w:color="FFFFFF" w:fill="D9D9D9"/>
          <w:lang w:val="en-US" w:eastAsia="zh-CN"/>
        </w:rPr>
      </w:pPr>
      <w:r>
        <w:rPr>
          <w:rFonts w:hint="eastAsia"/>
          <w:shd w:val="clear" w:color="FFFFFF" w:fill="D9D9D9"/>
          <w:lang w:val="en-US" w:eastAsia="zh-CN"/>
        </w:rPr>
        <w:t>货币供求状况：</w:t>
      </w:r>
    </w:p>
    <w:p>
      <w:pPr>
        <w:jc w:val="both"/>
        <w:rPr>
          <w:rFonts w:hint="eastAsia"/>
          <w:lang w:val="en-US" w:eastAsia="zh-CN"/>
        </w:rPr>
      </w:pPr>
      <w:r>
        <w:rPr>
          <w:rFonts w:hint="eastAsia"/>
          <w:lang w:val="en-US" w:eastAsia="zh-CN"/>
        </w:rPr>
        <w:t>·货币供给量（</w:t>
      </w:r>
      <w:r>
        <w:rPr>
          <w:rFonts w:hint="eastAsia"/>
          <w:b/>
          <w:bCs/>
          <w:sz w:val="22"/>
          <w:szCs w:val="28"/>
          <w:lang w:val="en-US" w:eastAsia="zh-CN"/>
          <w14:textFill>
            <w14:gradFill>
              <w14:gsLst>
                <w14:gs w14:pos="0">
                  <w14:srgbClr w14:val="E30000"/>
                </w14:gs>
                <w14:gs w14:pos="100000">
                  <w14:srgbClr w14:val="760303"/>
                </w14:gs>
              </w14:gsLst>
              <w14:lin w14:scaled="0"/>
            </w14:gradFill>
          </w14:textFill>
        </w:rPr>
        <w:t>M2</w:t>
      </w:r>
      <w:r>
        <w:rPr>
          <w:rFonts w:hint="eastAsia"/>
          <w:lang w:val="en-US" w:eastAsia="zh-CN"/>
        </w:rPr>
        <w:t>）银行货币理论学习：供过于求，利率↓</w:t>
      </w:r>
    </w:p>
    <w:p>
      <w:pPr>
        <w:jc w:val="both"/>
      </w:pPr>
      <w:r>
        <w:drawing>
          <wp:inline distT="0" distB="0" distL="114300" distR="114300">
            <wp:extent cx="4105910" cy="1484630"/>
            <wp:effectExtent l="0" t="0" r="8890" b="127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8"/>
                    <a:stretch>
                      <a:fillRect/>
                    </a:stretch>
                  </pic:blipFill>
                  <pic:spPr>
                    <a:xfrm>
                      <a:off x="0" y="0"/>
                      <a:ext cx="4105910" cy="1484630"/>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·货币需求量：货币交易需求、预防需求、投资需求（股票投资：上证指数，无相关性，由于资本市场是长期市场，而同业拆借利率位于短期市场内，变动应主要由货币市场供求关系决定）</w:t>
      </w:r>
    </w:p>
    <w:p>
      <w:pPr>
        <w:jc w:val="both"/>
        <w:rPr>
          <w:rFonts w:hint="eastAsia"/>
          <w:lang w:val="en-US" w:eastAsia="zh-CN"/>
        </w:rPr>
      </w:pPr>
      <w:r>
        <w:rPr>
          <w:rFonts w:hint="eastAsia"/>
          <w:lang w:val="en-US" w:eastAsia="zh-CN"/>
        </w:rPr>
        <w:t>·数据选择：研究模型是以月度数据为研究对象，shibor/libor都是以每天的一个月利率算数平均所得</w:t>
      </w:r>
    </w:p>
    <w:p>
      <w:pPr>
        <w:jc w:val="both"/>
        <w:rPr>
          <w:rFonts w:hint="eastAsia"/>
          <w:lang w:val="en-US" w:eastAsia="zh-CN"/>
        </w:rPr>
      </w:pPr>
      <w:r>
        <w:rPr>
          <w:rFonts w:hint="eastAsia"/>
          <w:lang w:val="en-US" w:eastAsia="zh-CN"/>
        </w:rPr>
        <w:t>·代表我国资产投资的货币量数据：</w:t>
      </w:r>
      <w:r>
        <w:rPr>
          <w:rFonts w:hint="eastAsia"/>
          <w:b/>
          <w:bCs/>
          <w:sz w:val="22"/>
          <w:szCs w:val="28"/>
          <w:lang w:val="en-US" w:eastAsia="zh-CN"/>
          <w14:textFill>
            <w14:gradFill>
              <w14:gsLst>
                <w14:gs w14:pos="0">
                  <w14:srgbClr w14:val="E30000"/>
                </w14:gs>
                <w14:gs w14:pos="100000">
                  <w14:srgbClr w14:val="760303"/>
                </w14:gs>
              </w14:gsLst>
              <w14:lin w14:scaled="0"/>
            </w14:gradFill>
          </w14:textFill>
        </w:rPr>
        <w:t>固定资产投资</w:t>
      </w:r>
      <w:r>
        <w:rPr>
          <w:rFonts w:hint="eastAsia"/>
          <w:lang w:val="en-US" w:eastAsia="zh-CN"/>
        </w:rPr>
        <w:t>规模、速度、比例关系和使用方向的综合性指标。固定资产的投资资金主要来源于国家预算内资金、国内贷款、外资和自筹资金。</w:t>
      </w:r>
    </w:p>
    <w:p>
      <w:pPr>
        <w:jc w:val="both"/>
        <w:rPr>
          <w:rFonts w:hint="eastAsia"/>
          <w:shd w:val="clear" w:color="FFFFFF" w:fill="D9D9D9"/>
          <w:lang w:val="en-US" w:eastAsia="zh-CN"/>
        </w:rPr>
      </w:pPr>
      <w:r>
        <w:rPr>
          <w:rFonts w:hint="eastAsia"/>
          <w:shd w:val="clear" w:color="FFFFFF" w:fill="D9D9D9"/>
          <w:lang w:val="en-US" w:eastAsia="zh-CN"/>
        </w:rPr>
        <w:t>物价水平：</w:t>
      </w:r>
    </w:p>
    <w:p>
      <w:pPr>
        <w:jc w:val="both"/>
        <w:rPr>
          <w:rFonts w:hint="eastAsia"/>
          <w:lang w:val="en-US" w:eastAsia="zh-CN"/>
        </w:rPr>
      </w:pPr>
      <w:r>
        <w:rPr>
          <w:rFonts w:hint="eastAsia"/>
          <w:b/>
          <w:bCs/>
          <w:sz w:val="22"/>
          <w:szCs w:val="28"/>
          <w:lang w:val="en-US" w:eastAsia="zh-CN"/>
          <w14:textFill>
            <w14:gradFill>
              <w14:gsLst>
                <w14:gs w14:pos="0">
                  <w14:srgbClr w14:val="E30000"/>
                </w14:gs>
                <w14:gs w14:pos="100000">
                  <w14:srgbClr w14:val="760303"/>
                </w14:gs>
              </w14:gsLst>
              <w14:lin w14:scaled="0"/>
            </w14:gradFill>
          </w14:textFill>
        </w:rPr>
        <w:t>CPI</w:t>
      </w:r>
      <w:r>
        <w:rPr>
          <w:rFonts w:hint="eastAsia"/>
          <w:lang w:val="en-US" w:eastAsia="zh-CN"/>
        </w:rPr>
        <w:t>消费者物价指数，作为观察通货膨胀水平的重要指标。通货膨胀造成信贷资金本金贬值，同时对利息实际价值造成损失，为弥补贬值的损失，贷款人会提高货币利率。</w:t>
      </w:r>
    </w:p>
    <w:p>
      <w:pPr>
        <w:jc w:val="both"/>
        <w:rPr>
          <w:rFonts w:hint="eastAsia"/>
          <w:shd w:val="clear" w:color="auto" w:fill="auto"/>
          <w:lang w:val="en-US" w:eastAsia="zh-CN"/>
        </w:rPr>
      </w:pPr>
      <w:r>
        <w:rPr>
          <w:rFonts w:hint="eastAsia"/>
          <w:shd w:val="clear" w:color="FFFFFF" w:fill="D9D9D9"/>
          <w:lang w:val="en-US" w:eastAsia="zh-CN"/>
        </w:rPr>
        <w:t>国际利率水平：</w:t>
      </w:r>
      <w:r>
        <w:rPr>
          <w:rFonts w:hint="eastAsia"/>
          <w:b/>
          <w:bCs/>
          <w:sz w:val="22"/>
          <w:szCs w:val="28"/>
          <w:lang w:val="en-US" w:eastAsia="zh-CN"/>
          <w14:textFill>
            <w14:gradFill>
              <w14:gsLst>
                <w14:gs w14:pos="0">
                  <w14:srgbClr w14:val="E30000"/>
                </w14:gs>
                <w14:gs w14:pos="100000">
                  <w14:srgbClr w14:val="760303"/>
                </w14:gs>
              </w14:gsLst>
              <w14:lin w14:scaled="0"/>
            </w14:gradFill>
          </w14:textFill>
        </w:rPr>
        <w:t xml:space="preserve">LIBOR   </w:t>
      </w:r>
    </w:p>
    <w:p>
      <w:pPr>
        <w:jc w:val="both"/>
        <w:rPr>
          <w:rFonts w:hint="eastAsia"/>
          <w:b/>
          <w:bCs/>
          <w:sz w:val="22"/>
          <w:szCs w:val="28"/>
          <w:lang w:val="en-US" w:eastAsia="zh-CN"/>
          <w14:textFill>
            <w14:gradFill>
              <w14:gsLst>
                <w14:gs w14:pos="0">
                  <w14:srgbClr w14:val="E30000"/>
                </w14:gs>
                <w14:gs w14:pos="100000">
                  <w14:srgbClr w14:val="760303"/>
                </w14:gs>
              </w14:gsLst>
              <w14:lin w14:scaled="0"/>
            </w14:gradFill>
          </w14:textFill>
        </w:rPr>
      </w:pPr>
      <w:r>
        <w:rPr>
          <w:rFonts w:hint="eastAsia"/>
          <w:shd w:val="clear" w:color="FFFFFF" w:fill="D9D9D9"/>
          <w:lang w:val="en-US" w:eastAsia="zh-CN"/>
        </w:rPr>
        <w:t>汇率：</w:t>
      </w:r>
      <w:r>
        <w:rPr>
          <w:rFonts w:hint="eastAsia"/>
          <w:b/>
          <w:bCs/>
          <w:sz w:val="22"/>
          <w:szCs w:val="28"/>
          <w:lang w:val="en-US" w:eastAsia="zh-CN"/>
          <w14:textFill>
            <w14:gradFill>
              <w14:gsLst>
                <w14:gs w14:pos="0">
                  <w14:srgbClr w14:val="E30000"/>
                </w14:gs>
                <w14:gs w14:pos="100000">
                  <w14:srgbClr w14:val="760303"/>
                </w14:gs>
              </w14:gsLst>
              <w14:lin w14:scaled="0"/>
            </w14:gradFill>
          </w14:textFill>
        </w:rPr>
        <w:t>美元兑换人民币汇率</w:t>
      </w:r>
    </w:p>
    <w:p>
      <w:pPr>
        <w:jc w:val="both"/>
      </w:pPr>
    </w:p>
    <w:p>
      <w:pPr>
        <w:rPr>
          <w:rFonts w:hint="eastAsia"/>
          <w:b/>
          <w:bCs/>
          <w:sz w:val="24"/>
          <w:szCs w:val="32"/>
          <w:lang w:val="en-US" w:eastAsia="zh-CN"/>
        </w:rPr>
      </w:pPr>
      <w:r>
        <w:rPr>
          <w:rFonts w:hint="eastAsia"/>
          <w:b/>
          <w:bCs/>
          <w:sz w:val="24"/>
          <w:szCs w:val="32"/>
          <w:lang w:val="en-US" w:eastAsia="zh-CN"/>
        </w:rPr>
        <w:t>第三部分：建模，利用数据对模型回归分析，模型检验</w:t>
      </w:r>
    </w:p>
    <w:p>
      <w:pPr>
        <w:rPr>
          <w:rFonts w:hint="eastAsia"/>
          <w:lang w:val="en-US" w:eastAsia="zh-CN"/>
        </w:rPr>
      </w:pPr>
      <w:r>
        <w:drawing>
          <wp:inline distT="0" distB="0" distL="114300" distR="114300">
            <wp:extent cx="4138295" cy="2089150"/>
            <wp:effectExtent l="0" t="0" r="1905" b="635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9"/>
                    <a:stretch>
                      <a:fillRect/>
                    </a:stretch>
                  </pic:blipFill>
                  <pic:spPr>
                    <a:xfrm>
                      <a:off x="0" y="0"/>
                      <a:ext cx="4138295" cy="2089150"/>
                    </a:xfrm>
                    <a:prstGeom prst="rect">
                      <a:avLst/>
                    </a:prstGeom>
                    <a:noFill/>
                    <a:ln>
                      <a:noFill/>
                    </a:ln>
                  </pic:spPr>
                </pic:pic>
              </a:graphicData>
            </a:graphic>
          </wp:inline>
        </w:drawing>
      </w:r>
    </w:p>
    <w:p>
      <w:pPr>
        <w:jc w:val="both"/>
      </w:pPr>
      <w:r>
        <w:drawing>
          <wp:inline distT="0" distB="0" distL="114300" distR="114300">
            <wp:extent cx="4905375" cy="1812290"/>
            <wp:effectExtent l="0" t="0" r="9525" b="381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0"/>
                    <a:stretch>
                      <a:fillRect/>
                    </a:stretch>
                  </pic:blipFill>
                  <pic:spPr>
                    <a:xfrm>
                      <a:off x="0" y="0"/>
                      <a:ext cx="4905375" cy="1812290"/>
                    </a:xfrm>
                    <a:prstGeom prst="rect">
                      <a:avLst/>
                    </a:prstGeom>
                    <a:noFill/>
                    <a:ln>
                      <a:noFill/>
                    </a:ln>
                  </pic:spPr>
                </pic:pic>
              </a:graphicData>
            </a:graphic>
          </wp:inline>
        </w:drawing>
      </w:r>
      <w:r>
        <w:drawing>
          <wp:inline distT="0" distB="0" distL="114300" distR="114300">
            <wp:extent cx="4637405" cy="2618740"/>
            <wp:effectExtent l="0" t="0" r="10795" b="1016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1"/>
                    <a:stretch>
                      <a:fillRect/>
                    </a:stretch>
                  </pic:blipFill>
                  <pic:spPr>
                    <a:xfrm>
                      <a:off x="0" y="0"/>
                      <a:ext cx="4637405" cy="2618740"/>
                    </a:xfrm>
                    <a:prstGeom prst="rect">
                      <a:avLst/>
                    </a:prstGeom>
                    <a:noFill/>
                    <a:ln>
                      <a:noFill/>
                    </a:ln>
                  </pic:spPr>
                </pic:pic>
              </a:graphicData>
            </a:graphic>
          </wp:inline>
        </w:drawing>
      </w:r>
    </w:p>
    <w:p>
      <w:pPr>
        <w:jc w:val="both"/>
        <w:rPr>
          <w:rFonts w:hint="eastAsia"/>
          <w:sz w:val="24"/>
          <w:szCs w:val="32"/>
          <w:shd w:val="clear" w:color="FFFFFF" w:fill="D9D9D9"/>
          <w:lang w:val="en-US" w:eastAsia="zh-CN"/>
        </w:rPr>
      </w:pPr>
      <w:r>
        <w:rPr>
          <w:rFonts w:hint="eastAsia"/>
          <w:sz w:val="24"/>
          <w:szCs w:val="32"/>
          <w:shd w:val="clear" w:color="FFFFFF" w:fill="D9D9D9"/>
          <w:lang w:val="en-US" w:eastAsia="zh-CN"/>
        </w:rPr>
        <w:t>SPSS逐步回归法</w:t>
      </w:r>
    </w:p>
    <w:p>
      <w:pPr>
        <w:jc w:val="both"/>
      </w:pPr>
    </w:p>
    <w:p>
      <w:pPr>
        <w:jc w:val="both"/>
      </w:pPr>
      <w:r>
        <w:drawing>
          <wp:inline distT="0" distB="0" distL="114300" distR="114300">
            <wp:extent cx="4331970" cy="1509395"/>
            <wp:effectExtent l="0" t="0" r="11430" b="190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2"/>
                    <a:srcRect t="6908" b="5976"/>
                    <a:stretch>
                      <a:fillRect/>
                    </a:stretch>
                  </pic:blipFill>
                  <pic:spPr>
                    <a:xfrm>
                      <a:off x="0" y="0"/>
                      <a:ext cx="4331970" cy="1509395"/>
                    </a:xfrm>
                    <a:prstGeom prst="rect">
                      <a:avLst/>
                    </a:prstGeom>
                    <a:noFill/>
                    <a:ln>
                      <a:noFill/>
                    </a:ln>
                  </pic:spPr>
                </pic:pic>
              </a:graphicData>
            </a:graphic>
          </wp:inline>
        </w:drawing>
      </w:r>
    </w:p>
    <w:p>
      <w:pPr>
        <w:jc w:val="both"/>
        <w:rPr>
          <w:rFonts w:hint="eastAsia"/>
          <w:lang w:val="en-US" w:eastAsia="zh-CN"/>
        </w:rPr>
      </w:pPr>
      <w:r>
        <w:drawing>
          <wp:inline distT="0" distB="0" distL="114300" distR="114300">
            <wp:extent cx="4627880" cy="2199640"/>
            <wp:effectExtent l="0" t="0" r="7620" b="1016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3"/>
                    <a:stretch>
                      <a:fillRect/>
                    </a:stretch>
                  </pic:blipFill>
                  <pic:spPr>
                    <a:xfrm>
                      <a:off x="0" y="0"/>
                      <a:ext cx="4627880" cy="2199640"/>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7D02181"/>
    <w:multiLevelType w:val="singleLevel"/>
    <w:tmpl w:val="D7D02181"/>
    <w:lvl w:ilvl="0" w:tentative="0">
      <w:start w:val="1"/>
      <w:numFmt w:val="decimal"/>
      <w:lvlText w:val="%1."/>
      <w:lvlJc w:val="left"/>
      <w:pPr>
        <w:tabs>
          <w:tab w:val="left" w:pos="312"/>
        </w:tabs>
      </w:pPr>
    </w:lvl>
  </w:abstractNum>
  <w:abstractNum w:abstractNumId="1">
    <w:nsid w:val="E99DA339"/>
    <w:multiLevelType w:val="singleLevel"/>
    <w:tmpl w:val="E99DA339"/>
    <w:lvl w:ilvl="0" w:tentative="0">
      <w:start w:val="1"/>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6B851AE"/>
    <w:rsid w:val="0FE128F2"/>
    <w:rsid w:val="17A53C63"/>
    <w:rsid w:val="26322018"/>
    <w:rsid w:val="3285513D"/>
    <w:rsid w:val="39643CF7"/>
    <w:rsid w:val="5E703D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Office_11.1.0.8976_F1E327BC-269C-435d-A152-05C5408002CA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u305</dc:creator>
  <cp:lastModifiedBy>’</cp:lastModifiedBy>
  <dcterms:modified xsi:type="dcterms:W3CDTF">2019-09-16T04:38:52Z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ies>
</file>