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第一个人找出现次数最多的五个指标+1、2，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后面的人不需要找这五个指标的数据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 xml:space="preserve">M2 </w:t>
      </w:r>
      <w:r>
        <w:rPr>
          <w:rFonts w:hint="eastAsia"/>
          <w:b/>
          <w:bCs/>
          <w:color w:val="0000FF"/>
          <w:lang w:val="en-US" w:eastAsia="zh-CN"/>
        </w:rPr>
        <w:t xml:space="preserve">CPI 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b/>
          <w:bCs/>
          <w:color w:val="FFC000"/>
          <w:lang w:val="en-US" w:eastAsia="zh-CN"/>
        </w:rPr>
        <w:t>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1·一年期人民币银行贷款利率和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利率存在长期正的影响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2·我国央行短期货币市场供求、货币政策以及假期效应三个维度，新股发行、准备金制度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3·长期：通货膨胀率、联邦基金利率、道琼斯工业指数和广义货币的增长率对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利率的水平值和斜率有影响  水平值还受到三年期国债收益率的影响 短期：通货膨胀率和联邦基金利率影响水平值 三年期国债收益率影响斜率（唯一）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4·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、固定资产投资、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和美元兑换人民币</w:t>
      </w:r>
      <w:r>
        <w:rPr>
          <w:rFonts w:hint="eastAsia"/>
          <w:b/>
          <w:bCs/>
          <w:color w:val="00B0F0"/>
          <w:lang w:val="en-US" w:eastAsia="zh-CN"/>
        </w:rPr>
        <w:t>汇率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5·货币供给量（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），货币需求量（固定资产投资），物价水平（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），国际利率水平（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），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>（美元兑换人民币汇率）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6·为反映经济周期、居民企业行为等宏观因素，选择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居民消费价格指数，代表价格水平，</w:t>
      </w:r>
      <w:r>
        <w:rPr>
          <w:rFonts w:hint="eastAsia"/>
          <w:b/>
          <w:bCs/>
          <w:color w:val="FFC000"/>
          <w:lang w:val="en-US" w:eastAsia="zh-CN"/>
        </w:rPr>
        <w:t>IP</w:t>
      </w:r>
      <w:r>
        <w:rPr>
          <w:rFonts w:hint="eastAsia"/>
          <w:lang w:val="en-US" w:eastAsia="zh-CN"/>
        </w:rPr>
        <w:t>工业增加值增长率,代表经济增长速度，SR社会消费品零售总额,代表居民消费，UIFA城镇固定资产投资，代表企业投资变化；研究四个因子对水平因素，倾斜因素，曲度因素产生的正负影响。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7·经济发展状况（采购经理人指数、固定资产投资完成额、股票价格指数）、宏观经济政策（政府财政支出）、货币需求量、物价水平、世界利率水平、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>、资金市场供求、外汇储备、进出口差额、居民存款总额、PMI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8·消费价格指数 (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) 工业增加值增长率（</w:t>
      </w:r>
      <w:r>
        <w:rPr>
          <w:rFonts w:hint="eastAsia"/>
          <w:b/>
          <w:bCs/>
          <w:color w:val="FFC000"/>
          <w:lang w:val="en-US" w:eastAsia="zh-CN"/>
        </w:rPr>
        <w:t>IP</w:t>
      </w:r>
      <w:r>
        <w:rPr>
          <w:rFonts w:hint="eastAsia"/>
          <w:lang w:val="en-US" w:eastAsia="zh-CN"/>
        </w:rPr>
        <w:t>）、社会消费品零售总额（SR）、城乡固定资产投资(UIFA)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9·一年期人民币银行贷款利率、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利率、上一日SHIBOR报价和资金成本对上海同业拆借市场利率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10·法定存款准备金率、综合股价指数、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利率、金融机构存贷差、消费者价格指数、月度货币供应量增长率（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）以及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11·公开市场操作、银行流动性缺口、消费价格指数和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 xml:space="preserve">、上证综合指数、短期 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 xml:space="preserve">、中长期 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 xml:space="preserve"> 对中长期 Shibor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12·主权信用评级新闻影响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波动率，而不是其均值水平 前景展望和观察名单类的新闻会引起各种货币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的波动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13·金 融 机 构 存 款 准 备 金 (LRES)、上证综指( LST)、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利率( LREP)、金融机构存贷差 (LCDC)、消费者价格</w:t>
      </w:r>
      <w:bookmarkStart w:id="0" w:name="_GoBack"/>
      <w:bookmarkEnd w:id="0"/>
      <w:r>
        <w:rPr>
          <w:rFonts w:hint="eastAsia"/>
          <w:lang w:val="en-US" w:eastAsia="zh-CN"/>
        </w:rPr>
        <w:t>指数(L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)、货币供应量增长率(L</w:t>
      </w:r>
      <w:r>
        <w:rPr>
          <w:rFonts w:hint="eastAsia"/>
          <w:b/>
          <w:bCs/>
          <w:color w:val="7030A0"/>
          <w:lang w:val="en-US" w:eastAsia="zh-CN"/>
        </w:rPr>
        <w:t>M2</w:t>
      </w:r>
      <w:r>
        <w:rPr>
          <w:rFonts w:hint="eastAsia"/>
          <w:lang w:val="en-US" w:eastAsia="zh-CN"/>
        </w:rPr>
        <w:t>)和伦 敦同业银行拆借利率(L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14·上海银行间同业拆借利率 、公共财政支出、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>、货币供给量（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）、固定资产投资、其他利率（美国利率）、股票价格指数（上证A股价格指数）、通货膨胀率 、金融机构存贷比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B3703"/>
    <w:rsid w:val="64BB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2019-09-19T05:06:00Z</dcterms:created>
  <dc:creator>’</dc:creator>
  <cp:lastModifiedBy>’</cp:lastModifiedBy>
  <dcterms:modified xsi:type="dcterms:W3CDTF">2019-09-19T05:22:09Z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