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i w:val="0"/>
          <w:caps w:val="0"/>
          <w:color w:val="666666"/>
          <w:spacing w:val="0"/>
          <w:sz w:val="14"/>
          <w:szCs w:val="14"/>
        </w:rPr>
      </w:pPr>
      <w:r>
        <w:rPr>
          <w:rFonts w:hint="eastAsia" w:ascii="微软雅黑" w:hAnsi="微软雅黑" w:eastAsia="微软雅黑" w:cs="微软雅黑"/>
          <w:i w:val="0"/>
          <w:caps w:val="0"/>
          <w:color w:val="427DC9"/>
          <w:spacing w:val="0"/>
          <w:sz w:val="24"/>
          <w:szCs w:val="24"/>
          <w:lang w:val="en-US" w:eastAsia="zh-CN"/>
        </w:rPr>
        <w:t>1</w:t>
      </w:r>
      <w:r>
        <w:rPr>
          <w:rFonts w:hint="eastAsia" w:ascii="微软雅黑" w:hAnsi="微软雅黑" w:eastAsia="微软雅黑" w:cs="微软雅黑"/>
          <w:i w:val="0"/>
          <w:caps w:val="0"/>
          <w:color w:val="427DC9"/>
          <w:spacing w:val="0"/>
          <w:sz w:val="24"/>
          <w:szCs w:val="24"/>
        </w:rPr>
        <w:t>“钱荒”为什么会发生?——上海银行间同业拆放利率的影响因素分析</w:t>
      </w:r>
    </w:p>
    <w:p>
      <w:pPr>
        <w:rPr>
          <w:rFonts w:hint="eastAsia" w:ascii="微软雅黑" w:hAnsi="微软雅黑" w:eastAsia="微软雅黑" w:cs="微软雅黑"/>
          <w:i w:val="0"/>
          <w:caps w:val="0"/>
          <w:color w:val="666666"/>
          <w:spacing w:val="0"/>
          <w:sz w:val="16"/>
          <w:szCs w:val="16"/>
        </w:rPr>
      </w:pPr>
      <w:r>
        <w:rPr>
          <w:rFonts w:hint="eastAsia" w:ascii="微软雅黑" w:hAnsi="微软雅黑" w:eastAsia="微软雅黑" w:cs="微软雅黑"/>
          <w:i w:val="0"/>
          <w:caps w:val="0"/>
          <w:color w:val="666666"/>
          <w:spacing w:val="0"/>
          <w:sz w:val="16"/>
          <w:szCs w:val="16"/>
        </w:rPr>
        <w:t>本文在2007年1月至2014年12月月度数据的基础上,通过时间序列方法分析了</w:t>
      </w:r>
      <w:r>
        <w:rPr>
          <w:rFonts w:hint="eastAsia" w:ascii="微软雅黑" w:hAnsi="微软雅黑" w:eastAsia="微软雅黑" w:cs="微软雅黑"/>
          <w:b/>
          <w:bCs/>
          <w:i w:val="0"/>
          <w:caps w:val="0"/>
          <w:color w:val="C00000"/>
          <w:spacing w:val="0"/>
          <w:sz w:val="16"/>
          <w:szCs w:val="16"/>
        </w:rPr>
        <w:t>隔夜Shibor</w:t>
      </w:r>
      <w:r>
        <w:rPr>
          <w:rFonts w:hint="eastAsia" w:ascii="微软雅黑" w:hAnsi="微软雅黑" w:eastAsia="微软雅黑" w:cs="微软雅黑"/>
          <w:i w:val="0"/>
          <w:caps w:val="0"/>
          <w:color w:val="666666"/>
          <w:spacing w:val="0"/>
          <w:sz w:val="16"/>
          <w:szCs w:val="16"/>
        </w:rPr>
        <w:t>的主要影响因素,研究发现,第一,</w:t>
      </w:r>
      <w:r>
        <w:rPr>
          <w:rFonts w:hint="eastAsia" w:ascii="微软雅黑" w:hAnsi="微软雅黑" w:eastAsia="微软雅黑" w:cs="微软雅黑"/>
          <w:b/>
          <w:bCs/>
          <w:i w:val="0"/>
          <w:caps w:val="0"/>
          <w:color w:val="C00000"/>
          <w:spacing w:val="0"/>
          <w:sz w:val="16"/>
          <w:szCs w:val="16"/>
        </w:rPr>
        <w:t>央行一揽子货币政策工具</w:t>
      </w:r>
      <w:r>
        <w:rPr>
          <w:rFonts w:hint="eastAsia" w:ascii="微软雅黑" w:hAnsi="微软雅黑" w:eastAsia="微软雅黑" w:cs="微软雅黑"/>
          <w:i w:val="0"/>
          <w:caps w:val="0"/>
          <w:color w:val="666666"/>
          <w:spacing w:val="0"/>
          <w:sz w:val="16"/>
          <w:szCs w:val="16"/>
        </w:rPr>
        <w:t>变动会通过</w:t>
      </w:r>
      <w:r>
        <w:rPr>
          <w:rFonts w:hint="eastAsia" w:ascii="微软雅黑" w:hAnsi="微软雅黑" w:eastAsia="微软雅黑" w:cs="微软雅黑"/>
          <w:b/>
          <w:bCs/>
          <w:i w:val="0"/>
          <w:caps w:val="0"/>
          <w:color w:val="C00000"/>
          <w:spacing w:val="0"/>
          <w:sz w:val="16"/>
          <w:szCs w:val="16"/>
        </w:rPr>
        <w:t>流动性规模渠道</w:t>
      </w:r>
      <w:r>
        <w:rPr>
          <w:rFonts w:hint="eastAsia" w:ascii="微软雅黑" w:hAnsi="微软雅黑" w:eastAsia="微软雅黑" w:cs="微软雅黑"/>
          <w:i w:val="0"/>
          <w:caps w:val="0"/>
          <w:color w:val="666666"/>
          <w:spacing w:val="0"/>
          <w:sz w:val="16"/>
          <w:szCs w:val="16"/>
        </w:rPr>
        <w:t>与</w:t>
      </w:r>
      <w:r>
        <w:rPr>
          <w:rFonts w:hint="eastAsia" w:ascii="微软雅黑" w:hAnsi="微软雅黑" w:eastAsia="微软雅黑" w:cs="微软雅黑"/>
          <w:b/>
          <w:bCs/>
          <w:i w:val="0"/>
          <w:caps w:val="0"/>
          <w:color w:val="C00000"/>
          <w:spacing w:val="0"/>
          <w:sz w:val="16"/>
          <w:szCs w:val="16"/>
        </w:rPr>
        <w:t>货币乘数渠</w:t>
      </w:r>
      <w:r>
        <w:rPr>
          <w:rFonts w:hint="eastAsia" w:ascii="微软雅黑" w:hAnsi="微软雅黑" w:eastAsia="微软雅黑" w:cs="微软雅黑"/>
          <w:i w:val="0"/>
          <w:caps w:val="0"/>
          <w:color w:val="666666"/>
          <w:spacing w:val="0"/>
          <w:sz w:val="16"/>
          <w:szCs w:val="16"/>
        </w:rPr>
        <w:t>道显著影响隔夜Shibor;第二,隔夜Shibor的历史变化与CPI同比增速变动也会显著影响隔夜Shibor;第三,</w:t>
      </w:r>
      <w:r>
        <w:rPr>
          <w:rFonts w:hint="eastAsia" w:ascii="微软雅黑" w:hAnsi="微软雅黑" w:eastAsia="微软雅黑" w:cs="微软雅黑"/>
          <w:b/>
          <w:bCs/>
          <w:i w:val="0"/>
          <w:caps w:val="0"/>
          <w:color w:val="C00000"/>
          <w:spacing w:val="0"/>
          <w:sz w:val="16"/>
          <w:szCs w:val="16"/>
        </w:rPr>
        <w:t>商业银行同业资产占比与上证指数环比增速</w:t>
      </w:r>
      <w:r>
        <w:rPr>
          <w:rFonts w:hint="eastAsia" w:ascii="微软雅黑" w:hAnsi="微软雅黑" w:eastAsia="微软雅黑" w:cs="微软雅黑"/>
          <w:i w:val="0"/>
          <w:caps w:val="0"/>
          <w:color w:val="666666"/>
          <w:spacing w:val="0"/>
          <w:sz w:val="16"/>
          <w:szCs w:val="16"/>
        </w:rPr>
        <w:t>将会显著影响隔夜Shibor;第四,外汇占款增量变化对隔夜Shibor的影响并不显著,这意味着央行对外汇占款变化进行了有效的冲销;第五,考虑到上述影响因素的结构性模型,</w:t>
      </w:r>
      <w:r>
        <w:rPr>
          <w:rFonts w:hint="eastAsia" w:ascii="微软雅黑" w:hAnsi="微软雅黑" w:eastAsia="微软雅黑" w:cs="微软雅黑"/>
          <w:b/>
          <w:bCs/>
          <w:i w:val="0"/>
          <w:caps w:val="0"/>
          <w:color w:val="C00000"/>
          <w:spacing w:val="0"/>
          <w:sz w:val="16"/>
          <w:szCs w:val="16"/>
        </w:rPr>
        <w:t>对隔夜Shibor变化的预测精度要显著高于仅基于隔夜Shibor历史数据</w:t>
      </w:r>
      <w:r>
        <w:rPr>
          <w:rFonts w:hint="eastAsia" w:ascii="微软雅黑" w:hAnsi="微软雅黑" w:eastAsia="微软雅黑" w:cs="微软雅黑"/>
          <w:i w:val="0"/>
          <w:caps w:val="0"/>
          <w:color w:val="666666"/>
          <w:spacing w:val="0"/>
          <w:sz w:val="16"/>
          <w:szCs w:val="16"/>
        </w:rPr>
        <w:t>的ARMA模型.</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"http://new.wanfangdata.com.cn/details/detail.do?_type=perio&amp;id=gjjryj201612009" </w:instrText>
      </w:r>
      <w:r>
        <w:rPr>
          <w:rFonts w:ascii="宋体" w:hAnsi="宋体" w:eastAsia="宋体" w:cs="宋体"/>
          <w:sz w:val="24"/>
          <w:szCs w:val="24"/>
        </w:rPr>
        <w:fldChar w:fldCharType="separate"/>
      </w:r>
      <w:r>
        <w:rPr>
          <w:rStyle w:val="6"/>
          <w:rFonts w:ascii="宋体" w:hAnsi="宋体" w:eastAsia="宋体" w:cs="宋体"/>
          <w:sz w:val="24"/>
          <w:szCs w:val="24"/>
        </w:rPr>
        <w:t>http://new.wanfangdata.com.cn/details/detail.do?_type=perio&amp;id=gjjryj201612009#</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微软雅黑" w:hAnsi="微软雅黑" w:eastAsia="微软雅黑" w:cs="微软雅黑"/>
          <w:i w:val="0"/>
          <w:caps w:val="0"/>
          <w:color w:val="427DC9"/>
          <w:spacing w:val="0"/>
          <w:sz w:val="24"/>
          <w:szCs w:val="24"/>
          <w:lang w:eastAsia="zh-CN"/>
        </w:rPr>
      </w:pPr>
      <w:r>
        <w:rPr>
          <w:rFonts w:hint="eastAsia" w:ascii="微软雅黑" w:hAnsi="微软雅黑" w:eastAsia="微软雅黑" w:cs="微软雅黑"/>
          <w:i w:val="0"/>
          <w:caps w:val="0"/>
          <w:color w:val="427DC9"/>
          <w:spacing w:val="0"/>
          <w:sz w:val="24"/>
          <w:szCs w:val="24"/>
          <w:lang w:val="en-US" w:eastAsia="zh-CN"/>
        </w:rPr>
        <w:t>2</w:t>
      </w:r>
      <w:r>
        <w:rPr>
          <w:rFonts w:hint="eastAsia" w:ascii="微软雅黑" w:hAnsi="微软雅黑" w:eastAsia="微软雅黑" w:cs="微软雅黑"/>
          <w:b w:val="0"/>
          <w:bCs w:val="0"/>
          <w:i w:val="0"/>
          <w:caps w:val="0"/>
          <w:color w:val="C00000"/>
          <w:spacing w:val="0"/>
          <w:sz w:val="24"/>
          <w:szCs w:val="24"/>
        </w:rPr>
        <w:t>互联网金融创新的金融市场</w:t>
      </w:r>
      <w:r>
        <w:rPr>
          <w:rFonts w:hint="eastAsia" w:ascii="微软雅黑" w:hAnsi="微软雅黑" w:eastAsia="微软雅黑" w:cs="微软雅黑"/>
          <w:i w:val="0"/>
          <w:caps w:val="0"/>
          <w:color w:val="427DC9"/>
          <w:spacing w:val="0"/>
          <w:sz w:val="24"/>
          <w:szCs w:val="24"/>
        </w:rPr>
        <w:t>均衡</w:t>
      </w:r>
      <w:r>
        <w:rPr>
          <w:rFonts w:hint="eastAsia" w:ascii="微软雅黑" w:hAnsi="微软雅黑" w:eastAsia="微软雅黑" w:cs="微软雅黑"/>
          <w:i w:val="0"/>
          <w:caps w:val="0"/>
          <w:color w:val="C00000"/>
          <w:spacing w:val="0"/>
          <w:sz w:val="24"/>
          <w:szCs w:val="24"/>
        </w:rPr>
        <w:t>变化趋势和影响因素</w:t>
      </w:r>
      <w:r>
        <w:rPr>
          <w:rFonts w:hint="eastAsia" w:ascii="微软雅黑" w:hAnsi="微软雅黑" w:eastAsia="微软雅黑" w:cs="微软雅黑"/>
          <w:i w:val="0"/>
          <w:caps w:val="0"/>
          <w:color w:val="427DC9"/>
          <w:spacing w:val="0"/>
          <w:sz w:val="24"/>
          <w:szCs w:val="24"/>
        </w:rPr>
        <w:t>研究——以余额宝为例</w:t>
      </w:r>
      <w:r>
        <w:rPr>
          <w:rFonts w:hint="eastAsia" w:ascii="微软雅黑" w:hAnsi="微软雅黑" w:eastAsia="微软雅黑" w:cs="微软雅黑"/>
          <w:i w:val="0"/>
          <w:caps w:val="0"/>
          <w:color w:val="427DC9"/>
          <w:spacing w:val="0"/>
          <w:sz w:val="24"/>
          <w:szCs w:val="24"/>
          <w:lang w:eastAsia="zh-CN"/>
        </w:rPr>
        <w:t>（</w:t>
      </w:r>
      <w:r>
        <w:rPr>
          <w:rFonts w:hint="eastAsia" w:ascii="微软雅黑" w:hAnsi="微软雅黑" w:eastAsia="微软雅黑" w:cs="微软雅黑"/>
          <w:i w:val="0"/>
          <w:caps w:val="0"/>
          <w:color w:val="427DC9"/>
          <w:spacing w:val="0"/>
          <w:sz w:val="24"/>
          <w:szCs w:val="24"/>
          <w:lang w:val="en-US" w:eastAsia="zh-CN"/>
        </w:rPr>
        <w:t>关注当前热点</w:t>
      </w:r>
      <w:r>
        <w:rPr>
          <w:rFonts w:hint="eastAsia" w:ascii="微软雅黑" w:hAnsi="微软雅黑" w:eastAsia="微软雅黑" w:cs="微软雅黑"/>
          <w:i w:val="0"/>
          <w:caps w:val="0"/>
          <w:color w:val="427DC9"/>
          <w:spacing w:val="0"/>
          <w:sz w:val="24"/>
          <w:szCs w:val="24"/>
          <w:lang w:eastAsia="zh-CN"/>
        </w:rPr>
        <w:t>）</w:t>
      </w:r>
    </w:p>
    <w:p>
      <w:pPr>
        <w:rPr>
          <w:rFonts w:hint="eastAsia" w:ascii="微软雅黑" w:hAnsi="微软雅黑" w:eastAsia="微软雅黑" w:cs="微软雅黑"/>
          <w:i w:val="0"/>
          <w:caps w:val="0"/>
          <w:color w:val="666666"/>
          <w:spacing w:val="0"/>
          <w:sz w:val="16"/>
          <w:szCs w:val="16"/>
        </w:rPr>
      </w:pPr>
      <w:r>
        <w:rPr>
          <w:rStyle w:val="5"/>
          <w:rFonts w:hint="eastAsia" w:ascii="微软雅黑" w:hAnsi="微软雅黑" w:eastAsia="微软雅黑" w:cs="微软雅黑"/>
          <w:b/>
          <w:i w:val="0"/>
          <w:caps w:val="0"/>
          <w:color w:val="898989"/>
          <w:spacing w:val="0"/>
          <w:sz w:val="16"/>
          <w:szCs w:val="16"/>
        </w:rPr>
        <w:t>摘要</w:t>
      </w:r>
      <w:r>
        <w:rPr>
          <w:rFonts w:hint="eastAsia" w:ascii="微软雅黑" w:hAnsi="微软雅黑" w:eastAsia="微软雅黑" w:cs="微软雅黑"/>
          <w:i w:val="0"/>
          <w:caps w:val="0"/>
          <w:color w:val="666666"/>
          <w:spacing w:val="0"/>
          <w:sz w:val="16"/>
          <w:szCs w:val="16"/>
        </w:rPr>
        <w:t>： 互联网作为20世纪人类最伟大的发明之一，正在逐步影响并改变人类的生活环境。在经济领域，互联网与传统金融融合，从思想的层面，将“共享、平等和开放”的精神理念渗透进传统金融领域，互联网金融的研究具有重要性。互联网金融的本质是金融创新，为金融市场注入新的活力，但金融创新都会对原有的金融市场产生冲击，影响市场收益率和风险。互联网金融作为金融与互联网融合的新产物，兼具网络技术和金融风险，风险波动的传染性和关联性高，一旦发生系统性风险，将对我国的金融市场造成重要影响，互联网金融的研究具有必要性。</w:t>
      </w:r>
      <w:r>
        <w:rPr>
          <w:rFonts w:hint="eastAsia" w:ascii="微软雅黑" w:hAnsi="微软雅黑" w:eastAsia="微软雅黑" w:cs="微软雅黑"/>
          <w:i w:val="0"/>
          <w:caps w:val="0"/>
          <w:color w:val="666666"/>
          <w:spacing w:val="0"/>
          <w:sz w:val="16"/>
          <w:szCs w:val="16"/>
        </w:rPr>
        <w:br w:type="textWrapping"/>
      </w:r>
      <w:r>
        <w:rPr>
          <w:rFonts w:hint="eastAsia" w:ascii="微软雅黑" w:hAnsi="微软雅黑" w:eastAsia="微软雅黑" w:cs="微软雅黑"/>
          <w:i w:val="0"/>
          <w:caps w:val="0"/>
          <w:color w:val="666666"/>
          <w:spacing w:val="0"/>
          <w:sz w:val="16"/>
          <w:szCs w:val="16"/>
        </w:rPr>
        <w:t>　　本文研究的主体是互联网金融。首先，通过阅读文献，对本文研究的主要概念进行界定，归纳国内外学者对金融创新与金融市场，互联网金融模式与创新、金融风险和政策的研究成果，确定了本文以余额宝为例，探究互联网金融创新的金融市场均衡变化趋势和影响因素的研究路线。然后，从金融市场均衡理论的角度出发，对出现互联网金融创新前后的市场均衡及其波动传导进行了机理分析，探究了货币市场、债券市场和股票市场均衡理论和市场波动情况，并提出出现互联网金融创新后的6个理论假设。之后，运用</w:t>
      </w:r>
      <w:r>
        <w:rPr>
          <w:rFonts w:hint="eastAsia" w:ascii="微软雅黑" w:hAnsi="微软雅黑" w:eastAsia="微软雅黑" w:cs="微软雅黑"/>
          <w:b/>
          <w:bCs/>
          <w:i w:val="0"/>
          <w:caps w:val="0"/>
          <w:color w:val="C00000"/>
          <w:spacing w:val="0"/>
          <w:sz w:val="16"/>
          <w:szCs w:val="16"/>
        </w:rPr>
        <w:t>实证检验</w:t>
      </w:r>
      <w:r>
        <w:rPr>
          <w:rFonts w:hint="eastAsia" w:ascii="微软雅黑" w:hAnsi="微软雅黑" w:eastAsia="微软雅黑" w:cs="微软雅黑"/>
          <w:i w:val="0"/>
          <w:caps w:val="0"/>
          <w:color w:val="666666"/>
          <w:spacing w:val="0"/>
          <w:sz w:val="16"/>
          <w:szCs w:val="16"/>
        </w:rPr>
        <w:t>理论假设，</w:t>
      </w:r>
      <w:r>
        <w:rPr>
          <w:rFonts w:hint="eastAsia" w:ascii="微软雅黑" w:hAnsi="微软雅黑" w:eastAsia="微软雅黑" w:cs="微软雅黑"/>
          <w:b/>
          <w:bCs/>
          <w:i w:val="0"/>
          <w:caps w:val="0"/>
          <w:color w:val="C00000"/>
          <w:spacing w:val="0"/>
          <w:sz w:val="16"/>
          <w:szCs w:val="16"/>
        </w:rPr>
        <w:t>建立了回归模型探究互联网金融创新的货币市场、债券市场和股票市场的收益率的具体影响，建立GARCH模型探究了市场波动的传导机制</w:t>
      </w:r>
      <w:r>
        <w:rPr>
          <w:rFonts w:hint="eastAsia" w:ascii="微软雅黑" w:hAnsi="微软雅黑" w:eastAsia="微软雅黑" w:cs="微软雅黑"/>
          <w:i w:val="0"/>
          <w:caps w:val="0"/>
          <w:color w:val="666666"/>
          <w:spacing w:val="0"/>
          <w:sz w:val="16"/>
          <w:szCs w:val="16"/>
        </w:rPr>
        <w:t>，并收集了天弘余额宝货币市场基金(000198)、</w:t>
      </w:r>
      <w:r>
        <w:rPr>
          <w:rFonts w:hint="eastAsia" w:ascii="微软雅黑" w:hAnsi="微软雅黑" w:eastAsia="微软雅黑" w:cs="微软雅黑"/>
          <w:b/>
          <w:bCs/>
          <w:i w:val="0"/>
          <w:caps w:val="0"/>
          <w:color w:val="C00000"/>
          <w:spacing w:val="0"/>
          <w:sz w:val="16"/>
          <w:szCs w:val="16"/>
        </w:rPr>
        <w:t>上海银行间同业拆借利率(Shibor)</w:t>
      </w:r>
      <w:r>
        <w:rPr>
          <w:rFonts w:hint="eastAsia" w:ascii="微软雅黑" w:hAnsi="微软雅黑" w:eastAsia="微软雅黑" w:cs="微软雅黑"/>
          <w:i w:val="0"/>
          <w:caps w:val="0"/>
          <w:color w:val="666666"/>
          <w:spacing w:val="0"/>
          <w:sz w:val="16"/>
          <w:szCs w:val="16"/>
        </w:rPr>
        <w:t>、中国国债到期收益率（10年期）和沪深300指数收盘价格的日度数据共计4368个做出实证分析，验证了理论分析部分的6个假设。最后，针对理论分析和实证分析的结果，总结本文的研究结论，提出相关对策建议，并对未来研究展望进行构想。</w:t>
      </w:r>
      <w:r>
        <w:rPr>
          <w:rFonts w:hint="eastAsia" w:ascii="微软雅黑" w:hAnsi="微软雅黑" w:eastAsia="微软雅黑" w:cs="微软雅黑"/>
          <w:i w:val="0"/>
          <w:caps w:val="0"/>
          <w:color w:val="666666"/>
          <w:spacing w:val="0"/>
          <w:sz w:val="16"/>
          <w:szCs w:val="16"/>
        </w:rPr>
        <w:br w:type="textWrapping"/>
      </w:r>
      <w:r>
        <w:rPr>
          <w:rFonts w:hint="eastAsia" w:ascii="微软雅黑" w:hAnsi="微软雅黑" w:eastAsia="微软雅黑" w:cs="微软雅黑"/>
          <w:i w:val="0"/>
          <w:caps w:val="0"/>
          <w:color w:val="666666"/>
          <w:spacing w:val="0"/>
          <w:sz w:val="16"/>
          <w:szCs w:val="16"/>
        </w:rPr>
        <w:t>　　综上所述，本文总结归纳了互联网金融的主要概念和国内外学者的研究结果，对出现互联网金融创新前后的金融市场均衡及其波动传导进行理论分析，并通过实证验证了理论分析的假设，根据全文研究结果提出对策建议。</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"http://new.wanfangdata.com.cn/details/detail.do?_type=degree&amp;id=Y3459169" </w:instrText>
      </w:r>
      <w:r>
        <w:rPr>
          <w:rFonts w:ascii="宋体" w:hAnsi="宋体" w:eastAsia="宋体" w:cs="宋体"/>
          <w:sz w:val="24"/>
          <w:szCs w:val="24"/>
        </w:rPr>
        <w:fldChar w:fldCharType="separate"/>
      </w:r>
      <w:r>
        <w:rPr>
          <w:rStyle w:val="6"/>
          <w:rFonts w:ascii="宋体" w:hAnsi="宋体" w:eastAsia="宋体" w:cs="宋体"/>
          <w:sz w:val="24"/>
          <w:szCs w:val="24"/>
        </w:rPr>
        <w:t>http://new.wanfangdata.com.cn/details/detail.do?_type=degree&amp;id=Y3459169#</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t>方差方程ARCH项和GARCH项系数和约为1．082接近于1，表明条件方差受 到的冲击是持久的，其冲击对未来的方差的预测具有重要作用。</w:t>
      </w:r>
      <w:r>
        <w:rPr>
          <w:rFonts w:ascii="宋体" w:hAnsi="宋体" w:eastAsia="宋体" w:cs="宋体"/>
          <w:color w:val="C00000"/>
          <w:sz w:val="24"/>
          <w:szCs w:val="24"/>
        </w:rPr>
        <w:t>这说明余额宝收 益率的波动将对上海银行间同业拆借利率的波动产生重要影响，互联网金融产生 的波动将有效传导给对中国货币市场</w:t>
      </w:r>
      <w:r>
        <w:rPr>
          <w:rFonts w:ascii="宋体" w:hAnsi="宋体" w:eastAsia="宋体" w:cs="宋体"/>
          <w:sz w:val="24"/>
          <w:szCs w:val="24"/>
        </w:rPr>
        <w:t>，且两者成正向影响</w:t>
      </w:r>
    </w:p>
    <w:p>
      <w:pPr>
        <w:rPr>
          <w:rFonts w:hint="eastAsia" w:ascii="微软雅黑" w:hAnsi="微软雅黑" w:eastAsia="微软雅黑" w:cs="微软雅黑"/>
          <w:i w:val="0"/>
          <w:caps w:val="0"/>
          <w:color w:val="427DC9"/>
          <w:spacing w:val="0"/>
          <w:sz w:val="24"/>
          <w:szCs w:val="24"/>
        </w:rPr>
      </w:pPr>
    </w:p>
    <w:p>
      <w:pPr>
        <w:rPr>
          <w:rFonts w:ascii="宋体" w:hAnsi="宋体" w:eastAsia="宋体" w:cs="宋体"/>
          <w:sz w:val="24"/>
          <w:szCs w:val="24"/>
        </w:rPr>
      </w:pPr>
      <w:r>
        <w:rPr>
          <w:rFonts w:hint="eastAsia" w:ascii="微软雅黑" w:hAnsi="微软雅黑" w:eastAsia="微软雅黑" w:cs="微软雅黑"/>
          <w:i w:val="0"/>
          <w:caps w:val="0"/>
          <w:color w:val="427DC9"/>
          <w:spacing w:val="0"/>
          <w:sz w:val="24"/>
          <w:szCs w:val="24"/>
          <w:lang w:val="en-US" w:eastAsia="zh-CN"/>
        </w:rPr>
        <w:t>3</w:t>
      </w:r>
      <w:r>
        <w:rPr>
          <w:rFonts w:hint="eastAsia" w:ascii="微软雅黑" w:hAnsi="微软雅黑" w:eastAsia="微软雅黑" w:cs="微软雅黑"/>
          <w:i w:val="0"/>
          <w:caps w:val="0"/>
          <w:color w:val="427DC9"/>
          <w:spacing w:val="0"/>
          <w:sz w:val="24"/>
          <w:szCs w:val="24"/>
        </w:rPr>
        <w:t>上海银行间同业拆借利率影响因素的实证分析</w:t>
      </w:r>
    </w:p>
    <w:p>
      <w:pPr>
        <w:rPr>
          <w:rFonts w:hint="eastAsia" w:ascii="微软雅黑" w:hAnsi="微软雅黑" w:eastAsia="微软雅黑" w:cs="微软雅黑"/>
          <w:i w:val="0"/>
          <w:caps w:val="0"/>
          <w:color w:val="666666"/>
          <w:spacing w:val="0"/>
          <w:sz w:val="16"/>
          <w:szCs w:val="16"/>
        </w:rPr>
      </w:pPr>
      <w:r>
        <w:rPr>
          <w:rStyle w:val="5"/>
          <w:rFonts w:hint="eastAsia" w:ascii="微软雅黑" w:hAnsi="微软雅黑" w:eastAsia="微软雅黑" w:cs="微软雅黑"/>
          <w:b/>
          <w:i w:val="0"/>
          <w:caps w:val="0"/>
          <w:color w:val="898989"/>
          <w:spacing w:val="0"/>
          <w:sz w:val="16"/>
          <w:szCs w:val="16"/>
        </w:rPr>
        <w:t>摘要</w:t>
      </w:r>
      <w:r>
        <w:rPr>
          <w:rFonts w:hint="eastAsia" w:ascii="微软雅黑" w:hAnsi="微软雅黑" w:eastAsia="微软雅黑" w:cs="微软雅黑"/>
          <w:i w:val="0"/>
          <w:caps w:val="0"/>
          <w:color w:val="666666"/>
          <w:spacing w:val="0"/>
          <w:sz w:val="16"/>
          <w:szCs w:val="16"/>
        </w:rPr>
        <w:t>： 上海银行间同业拆借利率（Shanghai Interbank Offered Rate，Shibor，以下简称Shibor）自2007年1月4日运行以来，经过了近7年时间的发展，其基准利率的地位已经基本确立，它在货币市场中发挥着重要的作用，并对金融市场的改革起到了巨大的意义。Shibor的波动变化反映了银行间资金头寸的松紧情况以及市场对资金成本的预期，其波动直接关系到金融市场的健康发展，从而影响到实体经济的稳定。而近年来，Shibor利率水平发生了较大的波动，在这一利率体系走向成熟的过程中却出现了一些异常的现象，</w:t>
      </w:r>
      <w:r>
        <w:rPr>
          <w:rFonts w:hint="eastAsia" w:ascii="微软雅黑" w:hAnsi="微软雅黑" w:eastAsia="微软雅黑" w:cs="微软雅黑"/>
          <w:b/>
          <w:bCs/>
          <w:i w:val="0"/>
          <w:caps w:val="0"/>
          <w:color w:val="C00000"/>
          <w:spacing w:val="0"/>
          <w:sz w:val="18"/>
          <w:szCs w:val="18"/>
        </w:rPr>
        <w:t>本文在现有研究结果的基础上，并考虑新的背景，试图解释产生其波动的因素。</w:t>
      </w:r>
      <w:r>
        <w:rPr>
          <w:rFonts w:hint="eastAsia" w:ascii="微软雅黑" w:hAnsi="微软雅黑" w:eastAsia="微软雅黑" w:cs="微软雅黑"/>
          <w:i w:val="0"/>
          <w:caps w:val="0"/>
          <w:color w:val="666666"/>
          <w:spacing w:val="0"/>
          <w:sz w:val="16"/>
          <w:szCs w:val="16"/>
        </w:rPr>
        <w:br w:type="textWrapping"/>
      </w:r>
      <w:r>
        <w:rPr>
          <w:rFonts w:hint="eastAsia" w:ascii="微软雅黑" w:hAnsi="微软雅黑" w:eastAsia="微软雅黑" w:cs="微软雅黑"/>
          <w:i w:val="0"/>
          <w:caps w:val="0"/>
          <w:color w:val="666666"/>
          <w:spacing w:val="0"/>
          <w:sz w:val="16"/>
          <w:szCs w:val="16"/>
        </w:rPr>
        <w:t>　　本文理论部分主要介绍利率决定理论，包括古典学派利率理论、凯恩斯流动性偏好理论、可贷资金理论和IS-LM利率理论，并将理论与现实相结合，得出影响Shibor波动的几个重要因素，有央行的货币政策、银行流动性、价格消费指数、汇率、股票市场以及国际利率。主要从央行货币政策和银行流动性缺口这两条线深入分析影响其波动的内在机制。</w:t>
      </w:r>
      <w:r>
        <w:rPr>
          <w:rFonts w:hint="eastAsia" w:ascii="微软雅黑" w:hAnsi="微软雅黑" w:eastAsia="微软雅黑" w:cs="微软雅黑"/>
          <w:i w:val="0"/>
          <w:caps w:val="0"/>
          <w:color w:val="666666"/>
          <w:spacing w:val="0"/>
          <w:sz w:val="16"/>
          <w:szCs w:val="16"/>
        </w:rPr>
        <w:br w:type="textWrapping"/>
      </w:r>
      <w:r>
        <w:rPr>
          <w:rFonts w:hint="eastAsia" w:ascii="微软雅黑" w:hAnsi="微软雅黑" w:eastAsia="微软雅黑" w:cs="微软雅黑"/>
          <w:i w:val="0"/>
          <w:caps w:val="0"/>
          <w:color w:val="666666"/>
          <w:spacing w:val="0"/>
          <w:sz w:val="16"/>
          <w:szCs w:val="16"/>
        </w:rPr>
        <w:t>　　实证部分以</w:t>
      </w:r>
      <w:r>
        <w:rPr>
          <w:rFonts w:hint="eastAsia" w:ascii="微软雅黑" w:hAnsi="微软雅黑" w:eastAsia="微软雅黑" w:cs="微软雅黑"/>
          <w:b/>
          <w:bCs/>
          <w:i w:val="0"/>
          <w:caps w:val="0"/>
          <w:color w:val="C00000"/>
          <w:spacing w:val="0"/>
          <w:sz w:val="16"/>
          <w:szCs w:val="16"/>
        </w:rPr>
        <w:t>隔天Shibor、7天Shibor和三个月期的Shibor为研究样本，分别代表超短期、短期和中长期</w:t>
      </w:r>
      <w:r>
        <w:rPr>
          <w:rFonts w:hint="eastAsia" w:ascii="微软雅黑" w:hAnsi="微软雅黑" w:eastAsia="微软雅黑" w:cs="微软雅黑"/>
          <w:i w:val="0"/>
          <w:caps w:val="0"/>
          <w:color w:val="666666"/>
          <w:spacing w:val="0"/>
          <w:sz w:val="16"/>
          <w:szCs w:val="16"/>
        </w:rPr>
        <w:t>，采用多元回归模型，运用STATA软件研究影响其波动的因素。研究结果发现，公开市场操作对超短期和短期的Shibor有较大影响，而对中长期的Shibor影响很小，银行流动性缺口对Shibor的影响具有一定的滞后性，消费价格指数和汇率对Shibor的影响较为显著，上证综合指数对其的影响较弱，短期Libor对短期Shibor几乎没有影响，而中长期Libor对中长期Shibor影响较为显著。</w:t>
      </w:r>
      <w:r>
        <w:rPr>
          <w:rFonts w:hint="eastAsia" w:ascii="微软雅黑" w:hAnsi="微软雅黑" w:eastAsia="微软雅黑" w:cs="微软雅黑"/>
          <w:i w:val="0"/>
          <w:caps w:val="0"/>
          <w:color w:val="666666"/>
          <w:spacing w:val="0"/>
          <w:sz w:val="16"/>
          <w:szCs w:val="16"/>
        </w:rPr>
        <w:br w:type="textWrapping"/>
      </w:r>
      <w:r>
        <w:rPr>
          <w:rFonts w:hint="eastAsia" w:ascii="微软雅黑" w:hAnsi="微软雅黑" w:eastAsia="微软雅黑" w:cs="微软雅黑"/>
          <w:i w:val="0"/>
          <w:caps w:val="0"/>
          <w:color w:val="666666"/>
          <w:spacing w:val="0"/>
          <w:sz w:val="16"/>
          <w:szCs w:val="16"/>
        </w:rPr>
        <w:t>　　最后总结并针对Shibor利率体系本身、完善货币政策以及应对银行流动性风险方面提出相应的措施。</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"http://new.wanfangdata.com.cn/details/detail.do?_type=degree&amp;id=D774110" </w:instrText>
      </w:r>
      <w:r>
        <w:rPr>
          <w:rFonts w:ascii="宋体" w:hAnsi="宋体" w:eastAsia="宋体" w:cs="宋体"/>
          <w:sz w:val="24"/>
          <w:szCs w:val="24"/>
        </w:rPr>
        <w:fldChar w:fldCharType="separate"/>
      </w:r>
      <w:r>
        <w:rPr>
          <w:rStyle w:val="6"/>
          <w:rFonts w:ascii="宋体" w:hAnsi="宋体" w:eastAsia="宋体" w:cs="宋体"/>
          <w:sz w:val="24"/>
          <w:szCs w:val="24"/>
        </w:rPr>
        <w:t>http://new.wanfangdata.com.cn/details/detail.do?_type=degree&amp;id=D774110#</w:t>
      </w:r>
      <w:r>
        <w:rPr>
          <w:rFonts w:ascii="宋体" w:hAnsi="宋体" w:eastAsia="宋体" w:cs="宋体"/>
          <w:sz w:val="24"/>
          <w:szCs w:val="24"/>
        </w:rPr>
        <w:fldChar w:fldCharType="end"/>
      </w:r>
    </w:p>
    <w:p>
      <w:pPr>
        <w:rPr>
          <w:rFonts w:ascii="宋体" w:hAnsi="宋体" w:eastAsia="宋体" w:cs="宋体"/>
          <w:sz w:val="24"/>
          <w:szCs w:val="24"/>
        </w:rPr>
      </w:pPr>
      <w:r>
        <w:rPr>
          <w:rFonts w:hint="eastAsia" w:ascii="微软雅黑" w:hAnsi="微软雅黑" w:eastAsia="微软雅黑" w:cs="微软雅黑"/>
          <w:i w:val="0"/>
          <w:caps w:val="0"/>
          <w:color w:val="427DC9"/>
          <w:spacing w:val="0"/>
          <w:sz w:val="24"/>
          <w:szCs w:val="24"/>
          <w:lang w:val="en-US" w:eastAsia="zh-CN"/>
        </w:rPr>
        <w:t>4</w:t>
      </w:r>
      <w:r>
        <w:rPr>
          <w:rFonts w:hint="eastAsia" w:ascii="微软雅黑" w:hAnsi="微软雅黑" w:eastAsia="微软雅黑" w:cs="微软雅黑"/>
          <w:i w:val="0"/>
          <w:caps w:val="0"/>
          <w:color w:val="427DC9"/>
          <w:spacing w:val="0"/>
          <w:sz w:val="24"/>
          <w:szCs w:val="24"/>
        </w:rPr>
        <w:t>我国</w:t>
      </w:r>
      <w:r>
        <w:rPr>
          <w:rFonts w:hint="eastAsia" w:ascii="微软雅黑" w:hAnsi="微软雅黑" w:eastAsia="微软雅黑" w:cs="微软雅黑"/>
          <w:i w:val="0"/>
          <w:caps w:val="0"/>
          <w:color w:val="C00000"/>
          <w:spacing w:val="0"/>
          <w:sz w:val="24"/>
          <w:szCs w:val="24"/>
        </w:rPr>
        <w:t>基准利率变动与</w:t>
      </w:r>
      <w:r>
        <w:rPr>
          <w:rFonts w:hint="eastAsia" w:ascii="微软雅黑" w:hAnsi="微软雅黑" w:eastAsia="微软雅黑" w:cs="微软雅黑"/>
          <w:b/>
          <w:bCs/>
          <w:i w:val="0"/>
          <w:caps w:val="0"/>
          <w:color w:val="C00000"/>
          <w:spacing w:val="0"/>
          <w:sz w:val="24"/>
          <w:szCs w:val="24"/>
        </w:rPr>
        <w:t>汇率变动</w:t>
      </w:r>
      <w:r>
        <w:rPr>
          <w:rFonts w:hint="eastAsia" w:ascii="微软雅黑" w:hAnsi="微软雅黑" w:eastAsia="微软雅黑" w:cs="微软雅黑"/>
          <w:i w:val="0"/>
          <w:caps w:val="0"/>
          <w:color w:val="C00000"/>
          <w:spacing w:val="0"/>
          <w:sz w:val="24"/>
          <w:szCs w:val="24"/>
        </w:rPr>
        <w:t>关系</w:t>
      </w:r>
      <w:r>
        <w:rPr>
          <w:rFonts w:hint="eastAsia" w:ascii="微软雅黑" w:hAnsi="微软雅黑" w:eastAsia="微软雅黑" w:cs="微软雅黑"/>
          <w:i w:val="0"/>
          <w:caps w:val="0"/>
          <w:color w:val="427DC9"/>
          <w:spacing w:val="0"/>
          <w:sz w:val="24"/>
          <w:szCs w:val="24"/>
        </w:rPr>
        <w:t>的实证研究——基于SHIBOR的分析</w:t>
      </w:r>
    </w:p>
    <w:p>
      <w:pPr>
        <w:rPr>
          <w:rFonts w:hint="eastAsia" w:ascii="微软雅黑" w:hAnsi="微软雅黑" w:eastAsia="微软雅黑" w:cs="微软雅黑"/>
          <w:i w:val="0"/>
          <w:caps w:val="0"/>
          <w:color w:val="666666"/>
          <w:spacing w:val="0"/>
          <w:sz w:val="18"/>
          <w:szCs w:val="18"/>
        </w:rPr>
      </w:pPr>
      <w:r>
        <w:rPr>
          <w:rStyle w:val="5"/>
          <w:rFonts w:hint="eastAsia" w:ascii="微软雅黑" w:hAnsi="微软雅黑" w:eastAsia="微软雅黑" w:cs="微软雅黑"/>
          <w:b/>
          <w:i w:val="0"/>
          <w:caps w:val="0"/>
          <w:color w:val="898989"/>
          <w:spacing w:val="0"/>
          <w:sz w:val="18"/>
          <w:szCs w:val="18"/>
        </w:rPr>
        <w:t>摘要</w:t>
      </w:r>
      <w:r>
        <w:rPr>
          <w:rFonts w:hint="eastAsia" w:ascii="微软雅黑" w:hAnsi="微软雅黑" w:eastAsia="微软雅黑" w:cs="微软雅黑"/>
          <w:i w:val="0"/>
          <w:caps w:val="0"/>
          <w:color w:val="666666"/>
          <w:spacing w:val="0"/>
          <w:sz w:val="18"/>
          <w:szCs w:val="18"/>
        </w:rPr>
        <w:t>： 随着我国经济对外开放的进程不断加快，对外开放水平的不断提升，我国在分享全球利益的同时也面临着许多问题，保持经济的平稳发展不再是一国内部的问题，还要解决好外部均衡问题。面对经济金融全球化发展带来的问题，我国必须加强宏观调控，完善经济金融体制，协调运用多种政策工具，主动化解经济金融危机，实现国内外均衡。作为我国货币对内和对外价格的表现，利率与汇率无疑是我国进行宏观调控，实现内外均衡的主要经济变量,利率和汇率不是相互独立的，两者在理论上应该有一定的联动效应，利率政策和汇率政策分别作为维护经济内部和外部平衡的重要手段，只有协调使用才能成功实现内外均衡。近年来我国不断推进利率、汇率市场化改革，随着市场化改革的推进，利率与汇率的联动关系会有所改变，正是在这样的背景下，研究基准利率变动与汇率变动的联动关系，发现阻碍二者发挥联动效应的因素，对构建高效的利率和汇率市场运行机制、深化市场化改革、实现国内外均衡以及维护金融市场的稳定发展意义重大。</w:t>
      </w:r>
      <w:r>
        <w:rPr>
          <w:rFonts w:hint="eastAsia" w:ascii="微软雅黑" w:hAnsi="微软雅黑" w:eastAsia="微软雅黑" w:cs="微软雅黑"/>
          <w:i w:val="0"/>
          <w:caps w:val="0"/>
          <w:color w:val="666666"/>
          <w:spacing w:val="0"/>
          <w:sz w:val="18"/>
          <w:szCs w:val="18"/>
        </w:rPr>
        <w:br w:type="textWrapping"/>
      </w:r>
      <w:r>
        <w:rPr>
          <w:rFonts w:hint="eastAsia" w:ascii="微软雅黑" w:hAnsi="微软雅黑" w:eastAsia="微软雅黑" w:cs="微软雅黑"/>
          <w:i w:val="0"/>
          <w:caps w:val="0"/>
          <w:color w:val="666666"/>
          <w:spacing w:val="0"/>
          <w:sz w:val="18"/>
          <w:szCs w:val="18"/>
        </w:rPr>
        <w:t>　　在阅读了大量国内外文献的基础上，笔者主要运用理论分析与实证研究相结合的方法，分成三个部分，对我国基准利率变动与汇率变动之间的关系进行了实证分析。具体而言第一部分包括第1章和第2章，第1章主要阐述了本文的研究背景、研究意义和国内外学者对利率变动与汇率变动关系的研究现状及其特点；第2章是对利率与汇率关系的一般理论分析，本章在分析了经典理论模型的基础上，介绍了基准利率的含义和我国汇率的形成机制，总结了利率与汇率的联动机制。第二部分是实证研究，包括两章，第3章笔者首先介绍了我国基准利率的选择，具体分析了本文选择 SHIBOR作为基准利率的原因，然后对2007年1月SHIBOR运行以来，SHIBOR与汇率的变动趋势进行了分析，分析发现基准利率与人民币汇率在现实中呈同向变动；第4章</w:t>
      </w:r>
      <w:r>
        <w:rPr>
          <w:rFonts w:hint="eastAsia" w:ascii="微软雅黑" w:hAnsi="微软雅黑" w:eastAsia="微软雅黑" w:cs="微软雅黑"/>
          <w:b/>
          <w:bCs/>
          <w:i w:val="0"/>
          <w:caps w:val="0"/>
          <w:color w:val="C00000"/>
          <w:spacing w:val="0"/>
          <w:sz w:val="18"/>
          <w:szCs w:val="18"/>
        </w:rPr>
        <w:t>建立了基于SHIBOR、人民币名义有效汇率、货币供应量和美国联邦基准利率之间的实证分析模型。</w:t>
      </w:r>
      <w:r>
        <w:rPr>
          <w:rFonts w:hint="eastAsia" w:ascii="微软雅黑" w:hAnsi="微软雅黑" w:eastAsia="微软雅黑" w:cs="微软雅黑"/>
          <w:i w:val="0"/>
          <w:caps w:val="0"/>
          <w:color w:val="666666"/>
          <w:spacing w:val="0"/>
          <w:sz w:val="18"/>
          <w:szCs w:val="18"/>
        </w:rPr>
        <w:t>本章在实证研究的过程中首先是基于 SHIBOR与人民币名义有效汇率两变量的分析，结果表明二者之间并不存在长期协整关系，但有一定的相关关系，并且人民币名义有效汇率主要受其自身滞后项的影响；然后在引入货币供应量和美国联邦基金利率两个新的变量后通过建立多变量模型再次对基准利率与汇率之间的关系进行了实证研究，结果表明二者存在长期协整关系，变动方向基本与现实判断一致，符合我国的经济现状。但是短期关系表现并不显著，Granger因果关系检验表明基准利率影响汇率的传导途径受阻，影响了二者联动机制的发挥。第三部分是第5章政策建议部分，本章主要针对实证分析的结果和原因分析，在深化利率市场化改革、逐步开放资本项目及推进汇率市场化改革方面提出了相应的政策建议。</w:t>
      </w:r>
      <w:r>
        <w:rPr>
          <w:rFonts w:hint="eastAsia" w:ascii="微软雅黑" w:hAnsi="微软雅黑" w:eastAsia="微软雅黑" w:cs="微软雅黑"/>
          <w:i w:val="0"/>
          <w:caps w:val="0"/>
          <w:color w:val="666666"/>
          <w:spacing w:val="0"/>
          <w:sz w:val="18"/>
          <w:szCs w:val="18"/>
        </w:rPr>
        <w:br w:type="textWrapping"/>
      </w:r>
      <w:r>
        <w:rPr>
          <w:rFonts w:hint="eastAsia" w:ascii="微软雅黑" w:hAnsi="微软雅黑" w:eastAsia="微软雅黑" w:cs="微软雅黑"/>
          <w:i w:val="0"/>
          <w:caps w:val="0"/>
          <w:color w:val="666666"/>
          <w:spacing w:val="0"/>
          <w:sz w:val="18"/>
          <w:szCs w:val="18"/>
        </w:rPr>
        <w:t>　　本文的创新之处首先在于变量的选取上，与以往研究不同，本文选取的上海银行同业拆放利率（SHIBOR）为基准利率，随着市场化程度的提高，SHIBOR作为基准利率的呼声越来越高，而</w:t>
      </w:r>
      <w:r>
        <w:rPr>
          <w:rFonts w:hint="eastAsia" w:ascii="微软雅黑" w:hAnsi="微软雅黑" w:eastAsia="微软雅黑" w:cs="微软雅黑"/>
          <w:i w:val="0"/>
          <w:caps w:val="0"/>
          <w:color w:val="C00000"/>
          <w:spacing w:val="0"/>
          <w:sz w:val="18"/>
          <w:szCs w:val="18"/>
        </w:rPr>
        <w:t>我国对 SHIBOR与汇率关系的研究还比较少</w:t>
      </w:r>
      <w:r>
        <w:rPr>
          <w:rFonts w:hint="eastAsia" w:ascii="微软雅黑" w:hAnsi="微软雅黑" w:eastAsia="微软雅黑" w:cs="微软雅黑"/>
          <w:i w:val="0"/>
          <w:caps w:val="0"/>
          <w:color w:val="666666"/>
          <w:spacing w:val="0"/>
          <w:sz w:val="18"/>
          <w:szCs w:val="18"/>
        </w:rPr>
        <w:t>；其次是实证研究方法上，本文首先对基准利率和汇率两个变量进行研究，然后引入货币供应量和美国联邦基金利率构建了含有多个变量的模型，比较基准利率与汇率关系的变化，能更清晰的看出其他经济变量对二者关系的影响。</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"http://new.wanfangdata.com.cn/details/detail.do?_type=degree&amp;id=D660413" </w:instrText>
      </w:r>
      <w:r>
        <w:rPr>
          <w:rFonts w:ascii="宋体" w:hAnsi="宋体" w:eastAsia="宋体" w:cs="宋体"/>
          <w:sz w:val="24"/>
          <w:szCs w:val="24"/>
        </w:rPr>
        <w:fldChar w:fldCharType="separate"/>
      </w:r>
      <w:r>
        <w:rPr>
          <w:rStyle w:val="6"/>
          <w:rFonts w:ascii="宋体" w:hAnsi="宋体" w:eastAsia="宋体" w:cs="宋体"/>
          <w:sz w:val="24"/>
          <w:szCs w:val="24"/>
        </w:rPr>
        <w:t>http://new.wanfangdata.com.cn/details/detail.do?_type=degree&amp;id=D660413#</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微软雅黑" w:hAnsi="微软雅黑" w:eastAsia="微软雅黑" w:cs="微软雅黑"/>
          <w:i w:val="0"/>
          <w:caps w:val="0"/>
          <w:color w:val="427DC9"/>
          <w:spacing w:val="0"/>
          <w:sz w:val="24"/>
          <w:szCs w:val="24"/>
        </w:rPr>
      </w:pPr>
      <w:r>
        <w:rPr>
          <w:rFonts w:hint="eastAsia" w:ascii="微软雅黑" w:hAnsi="微软雅黑" w:eastAsia="微软雅黑" w:cs="微软雅黑"/>
          <w:i w:val="0"/>
          <w:caps w:val="0"/>
          <w:color w:val="427DC9"/>
          <w:spacing w:val="0"/>
          <w:sz w:val="24"/>
          <w:szCs w:val="24"/>
          <w:lang w:val="en-US" w:eastAsia="zh-CN"/>
        </w:rPr>
        <w:t>5</w:t>
      </w:r>
      <w:r>
        <w:rPr>
          <w:rFonts w:hint="eastAsia" w:ascii="微软雅黑" w:hAnsi="微软雅黑" w:eastAsia="微软雅黑" w:cs="微软雅黑"/>
          <w:i w:val="0"/>
          <w:caps w:val="0"/>
          <w:color w:val="427DC9"/>
          <w:spacing w:val="0"/>
          <w:sz w:val="24"/>
          <w:szCs w:val="24"/>
        </w:rPr>
        <w:t>Shibor市场性和可控性实证研究</w:t>
      </w:r>
    </w:p>
    <w:p>
      <w:pPr>
        <w:rPr>
          <w:rFonts w:hint="eastAsia" w:ascii="微软雅黑" w:hAnsi="微软雅黑" w:eastAsia="微软雅黑" w:cs="微软雅黑"/>
          <w:i w:val="0"/>
          <w:caps w:val="0"/>
          <w:color w:val="666666"/>
          <w:spacing w:val="0"/>
          <w:sz w:val="16"/>
          <w:szCs w:val="16"/>
        </w:rPr>
      </w:pPr>
      <w:r>
        <w:rPr>
          <w:rStyle w:val="5"/>
          <w:rFonts w:hint="eastAsia" w:ascii="微软雅黑" w:hAnsi="微软雅黑" w:eastAsia="微软雅黑" w:cs="微软雅黑"/>
          <w:b/>
          <w:i w:val="0"/>
          <w:caps w:val="0"/>
          <w:color w:val="898989"/>
          <w:spacing w:val="0"/>
          <w:sz w:val="16"/>
          <w:szCs w:val="16"/>
        </w:rPr>
        <w:t>摘要</w:t>
      </w:r>
      <w:r>
        <w:rPr>
          <w:rFonts w:hint="eastAsia" w:ascii="微软雅黑" w:hAnsi="微软雅黑" w:eastAsia="微软雅黑" w:cs="微软雅黑"/>
          <w:i w:val="0"/>
          <w:caps w:val="0"/>
          <w:color w:val="666666"/>
          <w:spacing w:val="0"/>
          <w:sz w:val="16"/>
          <w:szCs w:val="16"/>
        </w:rPr>
        <w:t>： 我国正在向利率完全市场化的目标迈进，而利率市场化的基本问题是要形成一个真实反映资金供求关系，并对央行的货币政策作出及时准确反应的的基准利率。有效的基准利率对形成合理的市场利率结构、引导资金流向、完善资产定价和实现货币政策传导等等方面发挥着重要作用，因此基准利率的研究具有重要的意义。学界对这个问题有许多研究。2007年1月4日，央行宣布Shibor为我国的基准利率，于是，研究的重点就从对我国各个可能成为基准利率的候选利率上转移到对Shibor研究上来。</w:t>
      </w:r>
      <w:r>
        <w:rPr>
          <w:rFonts w:hint="eastAsia" w:ascii="微软雅黑" w:hAnsi="微软雅黑" w:eastAsia="微软雅黑" w:cs="微软雅黑"/>
          <w:i w:val="0"/>
          <w:caps w:val="0"/>
          <w:color w:val="666666"/>
          <w:spacing w:val="0"/>
          <w:sz w:val="16"/>
          <w:szCs w:val="16"/>
        </w:rPr>
        <w:br w:type="textWrapping"/>
      </w:r>
      <w:r>
        <w:rPr>
          <w:rFonts w:hint="eastAsia" w:ascii="微软雅黑" w:hAnsi="微软雅黑" w:eastAsia="微软雅黑" w:cs="微软雅黑"/>
          <w:i w:val="0"/>
          <w:caps w:val="0"/>
          <w:color w:val="666666"/>
          <w:spacing w:val="0"/>
          <w:sz w:val="16"/>
          <w:szCs w:val="16"/>
        </w:rPr>
        <w:t>　　</w:t>
      </w:r>
      <w:r>
        <w:rPr>
          <w:rFonts w:hint="eastAsia" w:ascii="微软雅黑" w:hAnsi="微软雅黑" w:eastAsia="微软雅黑" w:cs="微软雅黑"/>
          <w:i w:val="0"/>
          <w:caps w:val="0"/>
          <w:color w:val="C00000"/>
          <w:spacing w:val="0"/>
          <w:sz w:val="16"/>
          <w:szCs w:val="16"/>
        </w:rPr>
        <w:t>大多数文献认为基准利率应具有无风险性、市场性和可调控性三个主要特征。可是，现有文献很少研究如何检验一种利率是否满足以上三个特征。这是本文研究的中心。围绕这三个特性，本文运用回归分析和事件分析法，从利率和交易量两个角度分析了隔夜Shibor的市场性和可控性</w:t>
      </w:r>
      <w:r>
        <w:rPr>
          <w:rFonts w:hint="eastAsia" w:ascii="微软雅黑" w:hAnsi="微软雅黑" w:eastAsia="微软雅黑" w:cs="微软雅黑"/>
          <w:i w:val="0"/>
          <w:caps w:val="0"/>
          <w:color w:val="666666"/>
          <w:spacing w:val="0"/>
          <w:sz w:val="16"/>
          <w:szCs w:val="16"/>
        </w:rPr>
        <w:t>，得出的主要结论是:在可调控性方面，隔夜Shibor对于央行存款准备金率的调整能够及时准确作出反应。在市场性方面，隔夜Shibor能够根据货币供求状况进行调整。我们从这两个方面对Shibor和国债回购利率进行比较，发现两者无明显差别。</w:t>
      </w:r>
      <w:r>
        <w:rPr>
          <w:rFonts w:hint="eastAsia" w:ascii="微软雅黑" w:hAnsi="微软雅黑" w:eastAsia="微软雅黑" w:cs="微软雅黑"/>
          <w:i w:val="0"/>
          <w:caps w:val="0"/>
          <w:color w:val="666666"/>
          <w:spacing w:val="0"/>
          <w:sz w:val="16"/>
          <w:szCs w:val="16"/>
        </w:rPr>
        <w:br w:type="textWrapping"/>
      </w:r>
      <w:r>
        <w:rPr>
          <w:rFonts w:hint="eastAsia" w:ascii="微软雅黑" w:hAnsi="微软雅黑" w:eastAsia="微软雅黑" w:cs="微软雅黑"/>
          <w:i w:val="0"/>
          <w:caps w:val="0"/>
          <w:color w:val="666666"/>
          <w:spacing w:val="0"/>
          <w:sz w:val="16"/>
          <w:szCs w:val="16"/>
        </w:rPr>
        <w:t>　　本文与现有文献的差别有如下六个方面:1、通过研究存款准备金率调整对上述两个利率市场的影响来检验市场性和可调控性。2、找到了人民币兑港币汇率作为除去货币供应量变化之外的影响本文所讨论的利率的其他经济因素。3、运用事件分析法，研究了存款准备金率调整对银行间国债回购交易利率和Shibor的影响。4、通过控制人民币兑港币汇率和存款准备金水平值，实现了高频的利率数据与低频的存款准备金率调整数据的成功匹配。5、根据匹配数据，使用回归分析得到货币供应量变化对银行间国债回购交易利率和Shibor的影响。6、本文只考虑隔夜利率，隔夜交易是银行间同业拆借交易市场上占比最大的交易，其他交易清淡。</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"http://new.wanfangdata.com.cn/details/detail.do?_type=degree&amp;id=Y2535433" </w:instrText>
      </w:r>
      <w:r>
        <w:rPr>
          <w:rFonts w:ascii="宋体" w:hAnsi="宋体" w:eastAsia="宋体" w:cs="宋体"/>
          <w:sz w:val="24"/>
          <w:szCs w:val="24"/>
        </w:rPr>
        <w:fldChar w:fldCharType="separate"/>
      </w:r>
      <w:r>
        <w:rPr>
          <w:rStyle w:val="6"/>
          <w:rFonts w:ascii="宋体" w:hAnsi="宋体" w:eastAsia="宋体" w:cs="宋体"/>
          <w:sz w:val="24"/>
          <w:szCs w:val="24"/>
        </w:rPr>
        <w:t>http://new.wanfangdata.com.cn/details/detail.do?_type=degree&amp;id=Y2535433#</w:t>
      </w:r>
      <w:r>
        <w:rPr>
          <w:rFonts w:ascii="宋体" w:hAnsi="宋体" w:eastAsia="宋体" w:cs="宋体"/>
          <w:sz w:val="24"/>
          <w:szCs w:val="24"/>
        </w:rPr>
        <w:fldChar w:fldCharType="end"/>
      </w:r>
    </w:p>
    <w:p>
      <w:pPr>
        <w:rPr>
          <w:rFonts w:ascii="微软雅黑" w:hAnsi="微软雅黑" w:eastAsia="微软雅黑" w:cs="微软雅黑"/>
          <w:i w:val="0"/>
          <w:caps w:val="0"/>
          <w:color w:val="231815"/>
          <w:spacing w:val="0"/>
          <w:sz w:val="24"/>
          <w:szCs w:val="24"/>
          <w:shd w:val="clear" w:fill="FFFFFF"/>
        </w:rPr>
      </w:pPr>
      <w:r>
        <w:rPr>
          <w:rFonts w:hint="eastAsia" w:ascii="微软雅黑" w:hAnsi="微软雅黑" w:eastAsia="微软雅黑" w:cs="微软雅黑"/>
          <w:i w:val="0"/>
          <w:caps w:val="0"/>
          <w:color w:val="231815"/>
          <w:spacing w:val="0"/>
          <w:sz w:val="24"/>
          <w:szCs w:val="24"/>
          <w:shd w:val="clear" w:fill="FFFFFF"/>
          <w:lang w:val="en-US" w:eastAsia="zh-CN"/>
        </w:rPr>
        <w:t>6</w:t>
      </w:r>
      <w:r>
        <w:rPr>
          <w:rFonts w:ascii="微软雅黑" w:hAnsi="微软雅黑" w:eastAsia="微软雅黑" w:cs="微软雅黑"/>
          <w:i w:val="0"/>
          <w:caps w:val="0"/>
          <w:color w:val="231815"/>
          <w:spacing w:val="0"/>
          <w:sz w:val="24"/>
          <w:szCs w:val="24"/>
          <w:shd w:val="clear" w:fill="FFFFFF"/>
        </w:rPr>
        <w:t>南宁市市区基准</w:t>
      </w:r>
      <w:r>
        <w:rPr>
          <w:rFonts w:ascii="微软雅黑" w:hAnsi="微软雅黑" w:eastAsia="微软雅黑" w:cs="微软雅黑"/>
          <w:i w:val="0"/>
          <w:caps w:val="0"/>
          <w:color w:val="auto"/>
          <w:spacing w:val="0"/>
          <w:sz w:val="24"/>
          <w:szCs w:val="24"/>
          <w:shd w:val="clear" w:fill="FFFFFF"/>
        </w:rPr>
        <w:t>地价</w:t>
      </w:r>
      <w:r>
        <w:rPr>
          <w:rFonts w:ascii="微软雅黑" w:hAnsi="微软雅黑" w:eastAsia="微软雅黑" w:cs="微软雅黑"/>
          <w:i w:val="0"/>
          <w:caps w:val="0"/>
          <w:color w:val="C00000"/>
          <w:spacing w:val="0"/>
          <w:sz w:val="24"/>
          <w:szCs w:val="24"/>
          <w:shd w:val="clear" w:fill="FFFFFF"/>
        </w:rPr>
        <w:t>变化影响因素</w:t>
      </w:r>
      <w:r>
        <w:rPr>
          <w:rFonts w:ascii="微软雅黑" w:hAnsi="微软雅黑" w:eastAsia="微软雅黑" w:cs="微软雅黑"/>
          <w:i w:val="0"/>
          <w:caps w:val="0"/>
          <w:color w:val="231815"/>
          <w:spacing w:val="0"/>
          <w:sz w:val="24"/>
          <w:szCs w:val="24"/>
          <w:shd w:val="clear" w:fill="FFFFFF"/>
        </w:rPr>
        <w:t>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both"/>
        <w:rPr>
          <w:rFonts w:ascii="微软雅黑" w:hAnsi="微软雅黑" w:eastAsia="微软雅黑" w:cs="微软雅黑"/>
          <w:caps w:val="0"/>
          <w:color w:val="333333"/>
          <w:spacing w:val="0"/>
          <w:sz w:val="16"/>
          <w:szCs w:val="16"/>
        </w:rPr>
      </w:pPr>
      <w:r>
        <w:rPr>
          <w:rFonts w:hint="eastAsia" w:ascii="微软雅黑" w:hAnsi="微软雅黑" w:eastAsia="微软雅黑" w:cs="微软雅黑"/>
          <w:caps w:val="0"/>
          <w:color w:val="333333"/>
          <w:spacing w:val="0"/>
          <w:sz w:val="16"/>
          <w:szCs w:val="16"/>
          <w:shd w:val="clear" w:fill="FFFFFF"/>
        </w:rPr>
        <w:t>文章以历年更新的南宁市市区基准地价成果为研究对象,通过选取地区生产总值、人均地区生产总值、地区生产总值增长率、第二产业占GDP比重等指标因素,运用</w:t>
      </w:r>
      <w:r>
        <w:rPr>
          <w:rFonts w:hint="eastAsia" w:ascii="微软雅黑" w:hAnsi="微软雅黑" w:eastAsia="微软雅黑" w:cs="微软雅黑"/>
          <w:b/>
          <w:bCs/>
          <w:caps w:val="0"/>
          <w:color w:val="C00000"/>
          <w:spacing w:val="0"/>
          <w:sz w:val="16"/>
          <w:szCs w:val="16"/>
          <w:shd w:val="clear" w:fill="FFFFFF"/>
        </w:rPr>
        <w:t>灰色关联分析法</w:t>
      </w:r>
      <w:r>
        <w:rPr>
          <w:rFonts w:hint="eastAsia" w:ascii="微软雅黑" w:hAnsi="微软雅黑" w:eastAsia="微软雅黑" w:cs="微软雅黑"/>
          <w:caps w:val="0"/>
          <w:color w:val="333333"/>
          <w:spacing w:val="0"/>
          <w:sz w:val="16"/>
          <w:szCs w:val="16"/>
          <w:shd w:val="clear" w:fill="FFFFFF"/>
        </w:rPr>
        <w:t>,分析影响商服、住宅、工业三种用途基准地价变化的因素,为下一轮南宁市市区基准地价更新评估提供参考。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both"/>
        <w:rPr>
          <w:rFonts w:hint="eastAsia" w:ascii="微软雅黑" w:hAnsi="微软雅黑" w:eastAsia="微软雅黑" w:cs="微软雅黑"/>
          <w:caps w:val="0"/>
          <w:color w:val="333333"/>
          <w:spacing w:val="0"/>
          <w:sz w:val="16"/>
          <w:szCs w:val="16"/>
        </w:rPr>
      </w:pPr>
      <w:r>
        <w:rPr>
          <w:rFonts w:hint="eastAsia" w:ascii="微软雅黑" w:hAnsi="微软雅黑" w:eastAsia="微软雅黑" w:cs="微软雅黑"/>
          <w:caps w:val="0"/>
          <w:color w:val="333333"/>
          <w:spacing w:val="0"/>
          <w:sz w:val="16"/>
          <w:szCs w:val="16"/>
          <w:shd w:val="clear" w:fill="FFFFFF"/>
        </w:rPr>
        <w:t>关键词：</w:t>
      </w:r>
      <w:r>
        <w:rPr>
          <w:rFonts w:hint="eastAsia" w:ascii="微软雅黑" w:hAnsi="微软雅黑" w:eastAsia="微软雅黑" w:cs="微软雅黑"/>
          <w:caps w:val="0"/>
          <w:color w:val="666666"/>
          <w:spacing w:val="0"/>
          <w:sz w:val="16"/>
          <w:szCs w:val="16"/>
          <w:u w:val="none"/>
          <w:shd w:val="clear" w:fill="FFFFFF"/>
        </w:rPr>
        <w:t>基准地价; 影响因素; 灰色关联分析</w:t>
      </w:r>
      <w:bookmarkStart w:id="0" w:name="_GoBack"/>
      <w:bookmarkEnd w:id="0"/>
      <w:r>
        <w:rPr>
          <w:rFonts w:hint="eastAsia" w:ascii="微软雅黑" w:hAnsi="微软雅黑" w:eastAsia="微软雅黑" w:cs="微软雅黑"/>
          <w:caps w:val="0"/>
          <w:color w:val="666666"/>
          <w:spacing w:val="0"/>
          <w:sz w:val="16"/>
          <w:szCs w:val="16"/>
          <w:u w:val="none"/>
          <w:shd w:val="clear" w:fill="FFFFFF"/>
        </w:rPr>
        <w:t>法; 南宁市市区;</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kns.cnki.net/KCMS/detail/detail.aspx?dbcode=CJFQ&amp;dbname=CJFDLAST2019&amp;filename=GXDZ201907022&amp;uid=WEEvREcwSlJHSldRa1FhdkJkVG1EREx0Z01nYUxYaWNFeDhscFJPc2JpTT0=$9A4hF_YAuvQ5obgVAqNKPCYcEjKensW4IQMovwHtwkF4VYPoHbKxJw!!&amp;v=MjIwMDRSTE9mYnVScUZ5dmdXcjNQSWpYUGRMRzRIOWpNcUk5SFpvUjhlWDFMdXhZUzdEaDFUM3FUcldNMUZyQ1U=" </w:instrText>
      </w:r>
      <w:r>
        <w:rPr>
          <w:rFonts w:ascii="宋体" w:hAnsi="宋体" w:eastAsia="宋体" w:cs="宋体"/>
          <w:sz w:val="24"/>
          <w:szCs w:val="24"/>
        </w:rPr>
        <w:fldChar w:fldCharType="separate"/>
      </w:r>
      <w:r>
        <w:rPr>
          <w:rStyle w:val="6"/>
          <w:rFonts w:ascii="宋体" w:hAnsi="宋体" w:eastAsia="宋体" w:cs="宋体"/>
          <w:sz w:val="24"/>
          <w:szCs w:val="24"/>
        </w:rPr>
        <w:t>http://kns.cnki.net/KCMS/detail/detail.aspx?dbcode=CJFQ&amp;dbname=CJFDLAST2019&amp;filename=GXDZ201907022&amp;uid=WEEvREcwSlJHSldRa1FhdkJkVG1EREx0Z01nYUxYaWNFeDhscFJPc2JpTT0=$9A4hF_YAuvQ5obgVAqNKPCYcEjKensW4IQMovwHtwkF4VYPoHbKxJw!!&amp;v=MjIwMDRSTE9mYnVScUZ5dmdXcjNQSWpYUGRMRzRIOWpNcUk5SFpvUjhlWDFMdXhZUzdEaDFUM3FUcldNMUZyQ1U=</w:t>
      </w:r>
      <w:r>
        <w:rPr>
          <w:rFonts w:ascii="宋体" w:hAnsi="宋体" w:eastAsia="宋体" w:cs="宋体"/>
          <w:sz w:val="24"/>
          <w:szCs w:val="24"/>
        </w:rPr>
        <w:fldChar w:fldCharType="end"/>
      </w:r>
    </w:p>
    <w:p>
      <w:pPr>
        <w:rPr>
          <w:rFonts w:ascii="微软雅黑" w:hAnsi="微软雅黑" w:eastAsia="微软雅黑" w:cs="微软雅黑"/>
          <w:i w:val="0"/>
          <w:caps w:val="0"/>
          <w:color w:val="231815"/>
          <w:spacing w:val="0"/>
          <w:sz w:val="24"/>
          <w:szCs w:val="24"/>
          <w:shd w:val="clear" w:fill="FFFFFF"/>
        </w:rPr>
      </w:pPr>
      <w:r>
        <w:rPr>
          <w:rFonts w:hint="eastAsia" w:ascii="宋体" w:hAnsi="宋体" w:eastAsia="宋体" w:cs="宋体"/>
          <w:sz w:val="24"/>
          <w:szCs w:val="24"/>
          <w:lang w:val="en-US" w:eastAsia="zh-CN"/>
        </w:rPr>
        <w:t>7</w:t>
      </w:r>
      <w:r>
        <w:rPr>
          <w:rFonts w:ascii="微软雅黑" w:hAnsi="微软雅黑" w:eastAsia="微软雅黑" w:cs="微软雅黑"/>
          <w:i w:val="0"/>
          <w:caps w:val="0"/>
          <w:color w:val="231815"/>
          <w:spacing w:val="0"/>
          <w:sz w:val="24"/>
          <w:szCs w:val="24"/>
          <w:shd w:val="clear" w:fill="FFFFFF"/>
        </w:rPr>
        <w:t>黄金价格</w:t>
      </w:r>
      <w:r>
        <w:rPr>
          <w:rFonts w:ascii="微软雅黑" w:hAnsi="微软雅黑" w:eastAsia="微软雅黑" w:cs="微软雅黑"/>
          <w:i w:val="0"/>
          <w:caps w:val="0"/>
          <w:color w:val="C00000"/>
          <w:spacing w:val="0"/>
          <w:sz w:val="24"/>
          <w:szCs w:val="24"/>
          <w:shd w:val="clear" w:fill="FFFFFF"/>
        </w:rPr>
        <w:t>影响因素分析及变化趋势</w:t>
      </w:r>
      <w:r>
        <w:rPr>
          <w:rFonts w:ascii="微软雅黑" w:hAnsi="微软雅黑" w:eastAsia="微软雅黑" w:cs="微软雅黑"/>
          <w:i w:val="0"/>
          <w:caps w:val="0"/>
          <w:color w:val="231815"/>
          <w:spacing w:val="0"/>
          <w:sz w:val="24"/>
          <w:szCs w:val="24"/>
          <w:shd w:val="clear" w:fill="FFFFFF"/>
        </w:rPr>
        <w:t>预测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both"/>
        <w:rPr>
          <w:rFonts w:ascii="微软雅黑" w:hAnsi="微软雅黑" w:eastAsia="微软雅黑" w:cs="微软雅黑"/>
          <w:caps w:val="0"/>
          <w:color w:val="333333"/>
          <w:spacing w:val="0"/>
          <w:sz w:val="16"/>
          <w:szCs w:val="16"/>
        </w:rPr>
      </w:pPr>
      <w:r>
        <w:rPr>
          <w:rFonts w:hint="eastAsia" w:ascii="微软雅黑" w:hAnsi="微软雅黑" w:eastAsia="微软雅黑" w:cs="微软雅黑"/>
          <w:caps w:val="0"/>
          <w:color w:val="333333"/>
          <w:spacing w:val="0"/>
          <w:sz w:val="16"/>
          <w:szCs w:val="16"/>
          <w:shd w:val="clear" w:fill="FFFFFF"/>
        </w:rPr>
        <w:t>随着世界经济形势变化,近期国际金价出现较大幅度上涨。本文分析了</w:t>
      </w:r>
      <w:r>
        <w:rPr>
          <w:rFonts w:hint="eastAsia" w:ascii="微软雅黑" w:hAnsi="微软雅黑" w:eastAsia="微软雅黑" w:cs="微软雅黑"/>
          <w:b/>
          <w:bCs/>
          <w:caps w:val="0"/>
          <w:color w:val="C00000"/>
          <w:spacing w:val="0"/>
          <w:sz w:val="16"/>
          <w:szCs w:val="16"/>
          <w:shd w:val="clear" w:fill="FFFFFF"/>
        </w:rPr>
        <w:t>供需、美元指数、美元利率、通胀预期等因素对金价的影响原理及效果</w:t>
      </w:r>
      <w:r>
        <w:rPr>
          <w:rFonts w:hint="eastAsia" w:ascii="微软雅黑" w:hAnsi="微软雅黑" w:eastAsia="微软雅黑" w:cs="微软雅黑"/>
          <w:caps w:val="0"/>
          <w:color w:val="333333"/>
          <w:spacing w:val="0"/>
          <w:sz w:val="16"/>
          <w:szCs w:val="16"/>
          <w:shd w:val="clear" w:fill="FFFFFF"/>
        </w:rPr>
        <w:t>,通过分析近期的主要经济现象,判断得出金价后续仍有进一步上涨空间的结论。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 w:lineRule="atLeast"/>
        <w:ind w:left="0" w:right="0" w:firstLine="0"/>
        <w:jc w:val="both"/>
        <w:rPr>
          <w:rFonts w:hint="eastAsia" w:ascii="微软雅黑" w:hAnsi="微软雅黑" w:eastAsia="微软雅黑" w:cs="微软雅黑"/>
          <w:caps w:val="0"/>
          <w:color w:val="333333"/>
          <w:spacing w:val="0"/>
          <w:sz w:val="16"/>
          <w:szCs w:val="16"/>
        </w:rPr>
      </w:pPr>
      <w:r>
        <w:rPr>
          <w:rFonts w:hint="eastAsia" w:ascii="微软雅黑" w:hAnsi="微软雅黑" w:eastAsia="微软雅黑" w:cs="微软雅黑"/>
          <w:caps w:val="0"/>
          <w:color w:val="333333"/>
          <w:spacing w:val="0"/>
          <w:sz w:val="16"/>
          <w:szCs w:val="16"/>
          <w:shd w:val="clear" w:fill="FFFFFF"/>
        </w:rPr>
        <w:t>关键词：</w:t>
      </w:r>
      <w:r>
        <w:rPr>
          <w:rFonts w:hint="eastAsia" w:ascii="微软雅黑" w:hAnsi="微软雅黑" w:eastAsia="微软雅黑" w:cs="微软雅黑"/>
          <w:caps w:val="0"/>
          <w:color w:val="666666"/>
          <w:spacing w:val="0"/>
          <w:sz w:val="16"/>
          <w:szCs w:val="16"/>
          <w:u w:val="none"/>
          <w:shd w:val="clear" w:fill="FFFFFF"/>
        </w:rPr>
        <w:t>黄金价格; 影响因素; 美元指数; 美元利率; 通胀预期;</w:t>
      </w:r>
    </w:p>
    <w:p>
      <w:pPr>
        <w:rPr>
          <w:rFonts w:hint="eastAsia" w:ascii="微软雅黑" w:hAnsi="微软雅黑" w:eastAsia="微软雅黑" w:cs="微软雅黑"/>
          <w:i w:val="0"/>
          <w:caps w:val="0"/>
          <w:color w:val="231815"/>
          <w:spacing w:val="0"/>
          <w:sz w:val="24"/>
          <w:szCs w:val="24"/>
          <w:shd w:val="clear"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kns.cnki.net/KCMS/detail/detail.aspx?dbcode=CJFQ&amp;dbname=CJFDTEMP&amp;filename=XDJZ201915260&amp;uid=WEEvREcwSlJHSldRa1FhdkJkVG1EREx0Z01nYUxYaWNFeDhscFJPc2JpTT0=$9A4hF_YAuvQ5obgVAqNKPCYcEjKensW4IQMovwHtwkF4VYPoHbKxJw!!&amp;v=MTg2ODZZUzdEaDFUM3FUcldNMUZyQ1VSTE9mYnVScUZ5dmdXci9BUFNuQmRMRzRIOWpOcW8xRFpJUjhlWDFMdXg=" </w:instrText>
      </w:r>
      <w:r>
        <w:rPr>
          <w:rFonts w:ascii="宋体" w:hAnsi="宋体" w:eastAsia="宋体" w:cs="宋体"/>
          <w:sz w:val="24"/>
          <w:szCs w:val="24"/>
        </w:rPr>
        <w:fldChar w:fldCharType="separate"/>
      </w:r>
      <w:r>
        <w:rPr>
          <w:rStyle w:val="6"/>
          <w:rFonts w:ascii="宋体" w:hAnsi="宋体" w:eastAsia="宋体" w:cs="宋体"/>
          <w:sz w:val="24"/>
          <w:szCs w:val="24"/>
        </w:rPr>
        <w:t>http://kns.cnki.net/KCMS/detail/detail.aspx?dbcode=CJFQ&amp;dbname=CJFDTEMP&amp;filename=XDJZ201915260&amp;uid=WEEvREcwSlJHSldRa1FhdkJkVG1EREx0Z01nYUxYaWNFeDhscFJPc2JpTT0=$9A4hF_YAuvQ5obgVAqNKPCYcEjKensW4IQMovwHtwkF4VYPoHbKxJw!!&amp;v=MTg2ODZZUzdEaDFUM3FUcldNMUZyQ1VSTE9mYnVScUZ5dmdXci9BUFNuQmRMRzRIOWpOcW8xRFpJUjhlWDFMdXg=</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514B49"/>
    <w:rsid w:val="1F2A30C0"/>
    <w:rsid w:val="31F84EB3"/>
    <w:rsid w:val="351D4328"/>
    <w:rsid w:val="3757225F"/>
    <w:rsid w:val="3CB470FD"/>
    <w:rsid w:val="714C6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u305</dc:creator>
  <cp:lastModifiedBy>’</cp:lastModifiedBy>
  <dcterms:modified xsi:type="dcterms:W3CDTF">2019-09-26T04:40:36Z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