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Previous Requests Revision</w:t>
      </w:r>
    </w:p>
    <w:p>
      <w:r>
        <w:rPr>
          <w:i/>
        </w:rPr>
        <w:t>Source: projects to 23-07-2026.docx (156 projects total). Categorised by highlight colour from the original document. Original project numbers kept; only the Project Name column is filled, the datatype columns are left empty for completion.</w:t>
      </w:r>
    </w:p>
    <w:p>
      <w:pPr>
        <w:pStyle w:val="Heading2"/>
      </w:pPr>
      <w:r>
        <w:t>1. Projects to Start With (Clinician-Curated, Highlighted Yellow)</w:t>
      </w:r>
    </w:p>
    <w:p>
      <w:r>
        <w:t>4 projects</w:t>
      </w:r>
    </w:p>
    <w:tbl>
      <w:tblPr>
        <w:tblStyle w:val="TableGrid"/>
        <w:tblW w:type="auto" w:w="0"/>
        <w:tblLayout w:type="fixed"/>
        <w:tblLook w:firstColumn="1" w:firstRow="1" w:lastColumn="0" w:lastRow="0" w:noHBand="0" w:noVBand="1" w:val="04A0"/>
      </w:tblPr>
      <w:tblGrid>
        <w:gridCol w:w="2448"/>
        <w:gridCol w:w="2448"/>
        <w:gridCol w:w="2448"/>
        <w:gridCol w:w="2448"/>
        <w:gridCol w:w="2448"/>
      </w:tblGrid>
      <w:tr>
        <w:tc>
          <w:tcPr>
            <w:tcW w:type="dxa" w:w="720"/>
            <w:shd w:val="clear" w:fill="D9D9D9"/>
          </w:tcPr>
          <w:p>
            <w:r>
              <w:rPr>
                <w:b/>
              </w:rPr>
              <w:t>No.</w:t>
            </w:r>
          </w:p>
        </w:tc>
        <w:tc>
          <w:tcPr>
            <w:tcW w:type="dxa" w:w="7200"/>
            <w:shd w:val="clear" w:fill="D9D9D9"/>
          </w:tcPr>
          <w:p>
            <w:r>
              <w:rPr>
                <w:b/>
              </w:rPr>
              <w:t>Project Name</w:t>
            </w:r>
          </w:p>
        </w:tc>
        <w:tc>
          <w:tcPr>
            <w:tcW w:type="dxa" w:w="2160"/>
            <w:shd w:val="clear" w:fill="D9D9D9"/>
          </w:tcPr>
          <w:p>
            <w:r>
              <w:rPr>
                <w:b/>
              </w:rPr>
              <w:t>Datatype (my version)</w:t>
            </w:r>
          </w:p>
        </w:tc>
        <w:tc>
          <w:tcPr>
            <w:tcW w:type="dxa" w:w="2160"/>
            <w:shd w:val="clear" w:fill="D9D9D9"/>
          </w:tcPr>
          <w:p>
            <w:r>
              <w:rPr>
                <w:b/>
              </w:rPr>
              <w:t>Datatype (SQL version)</w:t>
            </w:r>
          </w:p>
        </w:tc>
        <w:tc>
          <w:tcPr>
            <w:tcW w:type="dxa" w:w="2160"/>
            <w:shd w:val="clear" w:fill="D9D9D9"/>
          </w:tcPr>
          <w:p>
            <w:r>
              <w:rPr>
                <w:b/>
              </w:rPr>
              <w:t>Datatype (clinician's version)</w:t>
            </w:r>
          </w:p>
        </w:tc>
      </w:tr>
      <w:tr>
        <w:tc>
          <w:tcPr>
            <w:tcW w:type="dxa" w:w="720"/>
          </w:tcPr>
          <w:p>
            <w:r>
              <w:t>22</w:t>
            </w:r>
          </w:p>
        </w:tc>
        <w:tc>
          <w:tcPr>
            <w:tcW w:type="dxa" w:w="7200"/>
          </w:tcPr>
          <w:p>
            <w:r>
              <w:t>Focus of audit:  Immune Checkpoint Inhibitor (ICI) toxicity incidents in the immunotherapy patient population.  Primary goal: To identify ICI toxicity incidents and patterns in solid tumour oncology patients treated with ICIs. Secondary goal: To describe the management of the toxicities, assess compliance with guidelines and identify areas for improvements in patient care. Describe responses to ICI toxicity treatment including secondary immunosuppressive agents and complications at UCLH.</w:t>
            </w:r>
          </w:p>
        </w:tc>
        <w:tc>
          <w:tcPr>
            <w:tcW w:type="dxa" w:w="2160"/>
          </w:tcPr>
          <w:p/>
        </w:tc>
        <w:tc>
          <w:tcPr>
            <w:tcW w:type="dxa" w:w="2160"/>
          </w:tcPr>
          <w:p/>
        </w:tc>
        <w:tc>
          <w:tcPr>
            <w:tcW w:type="dxa" w:w="2160"/>
          </w:tcPr>
          <w:p/>
        </w:tc>
      </w:tr>
      <w:tr>
        <w:tc>
          <w:tcPr>
            <w:tcW w:type="dxa" w:w="720"/>
          </w:tcPr>
          <w:p>
            <w:r>
              <w:t>109</w:t>
            </w:r>
          </w:p>
        </w:tc>
        <w:tc>
          <w:tcPr>
            <w:tcW w:type="dxa" w:w="7200"/>
          </w:tcPr>
          <w:p>
            <w:r>
              <w:t>We aim to analyse all early-stage ovarian cancer patients who underwent staging surgery, including full pelvic and para-aortic lymphadenectomy, between 2019 and 2024. Our objectives are: Identify the cohort of patients diagnosed pre-operatively with stage I–II ovarian cancer. Determine which histological subtypes underwent systematic lymphadenectomy. Assess the incidence of lymph-node metastases in this group. Evaluate associated risk factors and covariates for nodal involvement. Examine the safety and clinical impact of omitting systematic lymphadenectomy, including postoperative morbidity such as lymphoedema. Assess the feasibility and potential role of sentinel lymph node mapping in early-stage ovarian cancer as an alternative to full lymphadenectomy.</w:t>
            </w:r>
          </w:p>
        </w:tc>
        <w:tc>
          <w:tcPr>
            <w:tcW w:type="dxa" w:w="2160"/>
          </w:tcPr>
          <w:p/>
        </w:tc>
        <w:tc>
          <w:tcPr>
            <w:tcW w:type="dxa" w:w="2160"/>
          </w:tcPr>
          <w:p/>
        </w:tc>
        <w:tc>
          <w:tcPr>
            <w:tcW w:type="dxa" w:w="2160"/>
          </w:tcPr>
          <w:p/>
        </w:tc>
      </w:tr>
      <w:tr>
        <w:tc>
          <w:tcPr>
            <w:tcW w:type="dxa" w:w="720"/>
          </w:tcPr>
          <w:p>
            <w:r>
              <w:t>130</w:t>
            </w:r>
          </w:p>
        </w:tc>
        <w:tc>
          <w:tcPr>
            <w:tcW w:type="dxa" w:w="7200"/>
          </w:tcPr>
          <w:p>
            <w:r>
              <w:t>We are aiming to analyse the rated and type of radical hysterecotmy at UCLH for early cervical cancer. Due to a strong screening program and the vaccination program, there was a significant drop in the incidence of cervical cancer and surgical treatment with radical hsyterectomy. We want to evaluate the number of radical hysterecotmy we done in the last 5 years at UCLH, the type of radical, the approach and peri-operative complications.</w:t>
            </w:r>
          </w:p>
        </w:tc>
        <w:tc>
          <w:tcPr>
            <w:tcW w:type="dxa" w:w="2160"/>
          </w:tcPr>
          <w:p/>
        </w:tc>
        <w:tc>
          <w:tcPr>
            <w:tcW w:type="dxa" w:w="2160"/>
          </w:tcPr>
          <w:p/>
        </w:tc>
        <w:tc>
          <w:tcPr>
            <w:tcW w:type="dxa" w:w="2160"/>
          </w:tcPr>
          <w:p/>
        </w:tc>
      </w:tr>
      <w:tr>
        <w:tc>
          <w:tcPr>
            <w:tcW w:type="dxa" w:w="720"/>
          </w:tcPr>
          <w:p>
            <w:r>
              <w:t>150</w:t>
            </w:r>
          </w:p>
        </w:tc>
        <w:tc>
          <w:tcPr>
            <w:tcW w:type="dxa" w:w="7200"/>
          </w:tcPr>
          <w:p>
            <w:r>
              <w:t>to support business case for the neurotoxicity service led by Dr Aisling Carr . This will help to fund the service and to expand.</w:t>
            </w:r>
          </w:p>
        </w:tc>
        <w:tc>
          <w:tcPr>
            <w:tcW w:type="dxa" w:w="2160"/>
          </w:tcPr>
          <w:p/>
        </w:tc>
        <w:tc>
          <w:tcPr>
            <w:tcW w:type="dxa" w:w="2160"/>
          </w:tcPr>
          <w:p/>
        </w:tc>
        <w:tc>
          <w:tcPr>
            <w:tcW w:type="dxa" w:w="2160"/>
          </w:tcPr>
          <w:p/>
        </w:tc>
      </w:tr>
    </w:tbl>
    <w:p/>
    <w:p>
      <w:pPr>
        <w:pStyle w:val="Heading2"/>
      </w:pPr>
      <w:r>
        <w:t>2. Complex Requests (Highlighted Blue)</w:t>
      </w:r>
    </w:p>
    <w:p>
      <w:r>
        <w:t>17 projects</w:t>
      </w:r>
    </w:p>
    <w:tbl>
      <w:tblPr>
        <w:tblStyle w:val="TableGrid"/>
        <w:tblW w:type="auto" w:w="0"/>
        <w:tblLayout w:type="fixed"/>
        <w:tblLook w:firstColumn="1" w:firstRow="1" w:lastColumn="0" w:lastRow="0" w:noHBand="0" w:noVBand="1" w:val="04A0"/>
      </w:tblPr>
      <w:tblGrid>
        <w:gridCol w:w="2448"/>
        <w:gridCol w:w="2448"/>
        <w:gridCol w:w="2448"/>
        <w:gridCol w:w="2448"/>
        <w:gridCol w:w="2448"/>
      </w:tblGrid>
      <w:tr>
        <w:tc>
          <w:tcPr>
            <w:tcW w:type="dxa" w:w="720"/>
            <w:shd w:val="clear" w:fill="D9D9D9"/>
          </w:tcPr>
          <w:p>
            <w:r>
              <w:rPr>
                <w:b/>
              </w:rPr>
              <w:t>No.</w:t>
            </w:r>
          </w:p>
        </w:tc>
        <w:tc>
          <w:tcPr>
            <w:tcW w:type="dxa" w:w="7200"/>
            <w:shd w:val="clear" w:fill="D9D9D9"/>
          </w:tcPr>
          <w:p>
            <w:r>
              <w:rPr>
                <w:b/>
              </w:rPr>
              <w:t>Project Name</w:t>
            </w:r>
          </w:p>
        </w:tc>
        <w:tc>
          <w:tcPr>
            <w:tcW w:type="dxa" w:w="2160"/>
            <w:shd w:val="clear" w:fill="D9D9D9"/>
          </w:tcPr>
          <w:p>
            <w:r>
              <w:rPr>
                <w:b/>
              </w:rPr>
              <w:t>Datatype (my version)</w:t>
            </w:r>
          </w:p>
        </w:tc>
        <w:tc>
          <w:tcPr>
            <w:tcW w:type="dxa" w:w="2160"/>
            <w:shd w:val="clear" w:fill="D9D9D9"/>
          </w:tcPr>
          <w:p>
            <w:r>
              <w:rPr>
                <w:b/>
              </w:rPr>
              <w:t>Datatype (SQL version)</w:t>
            </w:r>
          </w:p>
        </w:tc>
        <w:tc>
          <w:tcPr>
            <w:tcW w:type="dxa" w:w="2160"/>
            <w:shd w:val="clear" w:fill="D9D9D9"/>
          </w:tcPr>
          <w:p>
            <w:r>
              <w:rPr>
                <w:b/>
              </w:rPr>
              <w:t>Datatype (clinician's version)</w:t>
            </w:r>
          </w:p>
        </w:tc>
      </w:tr>
      <w:tr>
        <w:tc>
          <w:tcPr>
            <w:tcW w:type="dxa" w:w="720"/>
          </w:tcPr>
          <w:p>
            <w:r>
              <w:t>13</w:t>
            </w:r>
          </w:p>
        </w:tc>
        <w:tc>
          <w:tcPr>
            <w:tcW w:type="dxa" w:w="7200"/>
          </w:tcPr>
          <w:p>
            <w:r>
              <w:t>Assessing management of patients with tumour thrombus. There is limited literature on this aspect of care in cancer VTE patients. Assessing our current management and identifying trends would be helpful. Particularly interested in bleeding rates/complications and worsening thrombus/recurrent events. Also would be good to see average duration of therapeutic anticoagulation received in these patients and which particular factors influenced this decision. Also useful to % of patients that stepped down to secondary thromboprophylaxis.</w:t>
            </w:r>
          </w:p>
        </w:tc>
        <w:tc>
          <w:tcPr>
            <w:tcW w:type="dxa" w:w="2160"/>
          </w:tcPr>
          <w:p/>
        </w:tc>
        <w:tc>
          <w:tcPr>
            <w:tcW w:type="dxa" w:w="2160"/>
          </w:tcPr>
          <w:p/>
        </w:tc>
        <w:tc>
          <w:tcPr>
            <w:tcW w:type="dxa" w:w="2160"/>
          </w:tcPr>
          <w:p/>
        </w:tc>
      </w:tr>
      <w:tr>
        <w:tc>
          <w:tcPr>
            <w:tcW w:type="dxa" w:w="720"/>
          </w:tcPr>
          <w:p>
            <w:r>
              <w:t>19</w:t>
            </w:r>
          </w:p>
        </w:tc>
        <w:tc>
          <w:tcPr>
            <w:tcW w:type="dxa" w:w="7200"/>
          </w:tcPr>
          <w:p>
            <w:r>
              <w:t>We are doing a feasibility randomised control trial on the management of patients with cancer associated thrombosis and thrombocytopaenia (START UK Pilot Trial, IRAS 334585). For the study, we will need to identify patients with newly diagnosed VTE on sliding scale low molecular weight heparin.</w:t>
            </w:r>
          </w:p>
        </w:tc>
        <w:tc>
          <w:tcPr>
            <w:tcW w:type="dxa" w:w="2160"/>
          </w:tcPr>
          <w:p/>
        </w:tc>
        <w:tc>
          <w:tcPr>
            <w:tcW w:type="dxa" w:w="2160"/>
          </w:tcPr>
          <w:p/>
        </w:tc>
        <w:tc>
          <w:tcPr>
            <w:tcW w:type="dxa" w:w="2160"/>
          </w:tcPr>
          <w:p/>
        </w:tc>
      </w:tr>
      <w:tr>
        <w:tc>
          <w:tcPr>
            <w:tcW w:type="dxa" w:w="720"/>
          </w:tcPr>
          <w:p>
            <w:r>
              <w:t>26</w:t>
            </w:r>
          </w:p>
        </w:tc>
        <w:tc>
          <w:tcPr>
            <w:tcW w:type="dxa" w:w="7200"/>
          </w:tcPr>
          <w:p>
            <w:r>
              <w:t>Review nodal surgery practice performed for all FIGO stage 1 and 2 endometrial cancer patients from 2019- current. Need to understand the outcomes of these patients to be able to suggest a change in practise. As we feel the earlier stage patients with lower risk factors may not require nodal evaluation</w:t>
            </w:r>
          </w:p>
        </w:tc>
        <w:tc>
          <w:tcPr>
            <w:tcW w:type="dxa" w:w="2160"/>
          </w:tcPr>
          <w:p/>
        </w:tc>
        <w:tc>
          <w:tcPr>
            <w:tcW w:type="dxa" w:w="2160"/>
          </w:tcPr>
          <w:p/>
        </w:tc>
        <w:tc>
          <w:tcPr>
            <w:tcW w:type="dxa" w:w="2160"/>
          </w:tcPr>
          <w:p/>
        </w:tc>
      </w:tr>
      <w:tr>
        <w:tc>
          <w:tcPr>
            <w:tcW w:type="dxa" w:w="720"/>
          </w:tcPr>
          <w:p>
            <w:r>
              <w:t>27</w:t>
            </w:r>
          </w:p>
        </w:tc>
        <w:tc>
          <w:tcPr>
            <w:tcW w:type="dxa" w:w="7200"/>
          </w:tcPr>
          <w:p>
            <w:r>
              <w:t>Update on previous project - rate of recurrent VTE in dose-reduced anticoagulation in cancer patients</w:t>
            </w:r>
          </w:p>
        </w:tc>
        <w:tc>
          <w:tcPr>
            <w:tcW w:type="dxa" w:w="2160"/>
          </w:tcPr>
          <w:p/>
        </w:tc>
        <w:tc>
          <w:tcPr>
            <w:tcW w:type="dxa" w:w="2160"/>
          </w:tcPr>
          <w:p/>
        </w:tc>
        <w:tc>
          <w:tcPr>
            <w:tcW w:type="dxa" w:w="2160"/>
          </w:tcPr>
          <w:p/>
        </w:tc>
      </w:tr>
      <w:tr>
        <w:tc>
          <w:tcPr>
            <w:tcW w:type="dxa" w:w="720"/>
          </w:tcPr>
          <w:p>
            <w:r>
              <w:t>28</w:t>
            </w:r>
          </w:p>
        </w:tc>
        <w:tc>
          <w:tcPr>
            <w:tcW w:type="dxa" w:w="7200"/>
          </w:tcPr>
          <w:p>
            <w:r>
              <w:t>This is a project to identify whether primary thromboprophylaxis is needed for sarcoma patients undergoing chemotherapy. This clinical audit is to look at the number of new thrombosis incidence in a 3 month period.</w:t>
            </w:r>
          </w:p>
        </w:tc>
        <w:tc>
          <w:tcPr>
            <w:tcW w:type="dxa" w:w="2160"/>
          </w:tcPr>
          <w:p/>
        </w:tc>
        <w:tc>
          <w:tcPr>
            <w:tcW w:type="dxa" w:w="2160"/>
          </w:tcPr>
          <w:p/>
        </w:tc>
        <w:tc>
          <w:tcPr>
            <w:tcW w:type="dxa" w:w="2160"/>
          </w:tcPr>
          <w:p/>
        </w:tc>
      </w:tr>
      <w:tr>
        <w:tc>
          <w:tcPr>
            <w:tcW w:type="dxa" w:w="720"/>
          </w:tcPr>
          <w:p>
            <w:r>
              <w:t>30</w:t>
            </w:r>
          </w:p>
        </w:tc>
        <w:tc>
          <w:tcPr>
            <w:tcW w:type="dxa" w:w="7200"/>
          </w:tcPr>
          <w:p>
            <w:r>
              <w:t>We want to look into the treatment regimens that we use in the department for patients with metastatic soft tissue sarcoma.</w:t>
            </w:r>
          </w:p>
        </w:tc>
        <w:tc>
          <w:tcPr>
            <w:tcW w:type="dxa" w:w="2160"/>
          </w:tcPr>
          <w:p/>
        </w:tc>
        <w:tc>
          <w:tcPr>
            <w:tcW w:type="dxa" w:w="2160"/>
          </w:tcPr>
          <w:p/>
        </w:tc>
        <w:tc>
          <w:tcPr>
            <w:tcW w:type="dxa" w:w="2160"/>
          </w:tcPr>
          <w:p/>
        </w:tc>
      </w:tr>
      <w:tr>
        <w:tc>
          <w:tcPr>
            <w:tcW w:type="dxa" w:w="720"/>
          </w:tcPr>
          <w:p>
            <w:r>
              <w:t>35</w:t>
            </w:r>
          </w:p>
        </w:tc>
        <w:tc>
          <w:tcPr>
            <w:tcW w:type="dxa" w:w="7200"/>
          </w:tcPr>
          <w:p>
            <w:r>
              <w:t>The project aims to audit the mode of biopsy on the diagnostic accuracy and time to diagnosis in lymphoma. Specifically, we will collect information on whether fine-needle aspiration (FNA), core needle biopsy (CNB), and excisional biopsy were taken and sufficient tissue was obtained for histopathological and molecular analysis. The project will also assess whether we use biopsies from referring hospitals or whether we re-biopsy. The study will also assess whether the choice of biopsy method, underlying lymphoma type, whether the disease is indolent, whether the disease is relapse/refractory, or whether the need for repeat sampling all influence the delay to diagnosis and delays in initiating treatment. The project aims to provide evidence-based recommendations on the optimal biopsy approach for timely and accurate lymphoma diagnosis.</w:t>
            </w:r>
          </w:p>
        </w:tc>
        <w:tc>
          <w:tcPr>
            <w:tcW w:type="dxa" w:w="2160"/>
          </w:tcPr>
          <w:p/>
        </w:tc>
        <w:tc>
          <w:tcPr>
            <w:tcW w:type="dxa" w:w="2160"/>
          </w:tcPr>
          <w:p/>
        </w:tc>
        <w:tc>
          <w:tcPr>
            <w:tcW w:type="dxa" w:w="2160"/>
          </w:tcPr>
          <w:p/>
        </w:tc>
      </w:tr>
      <w:tr>
        <w:tc>
          <w:tcPr>
            <w:tcW w:type="dxa" w:w="720"/>
          </w:tcPr>
          <w:p>
            <w:r>
              <w:t>51</w:t>
            </w:r>
          </w:p>
        </w:tc>
        <w:tc>
          <w:tcPr>
            <w:tcW w:type="dxa" w:w="7200"/>
          </w:tcPr>
          <w:p>
            <w:r>
              <w:t>CAR-T database to evaluate outcomes of patients treated with CAR-T cell therapy for lymphoma at UCLH. We are maintaining an intention to treat prospective registry of all patients undertaking CART therapy. We are including all patients who have had leukapheresis for CAR-T. It includes patient disease characteristics, as well as clinical course of patients, such as complications in the immediate CAR-T period, such as CRS, ICANS, response to treatment and survival outcomes. This data will be used for several service evaluation projects.</w:t>
            </w:r>
          </w:p>
        </w:tc>
        <w:tc>
          <w:tcPr>
            <w:tcW w:type="dxa" w:w="2160"/>
          </w:tcPr>
          <w:p/>
        </w:tc>
        <w:tc>
          <w:tcPr>
            <w:tcW w:type="dxa" w:w="2160"/>
          </w:tcPr>
          <w:p/>
        </w:tc>
        <w:tc>
          <w:tcPr>
            <w:tcW w:type="dxa" w:w="2160"/>
          </w:tcPr>
          <w:p/>
        </w:tc>
      </w:tr>
      <w:tr>
        <w:tc>
          <w:tcPr>
            <w:tcW w:type="dxa" w:w="720"/>
          </w:tcPr>
          <w:p>
            <w:r>
              <w:t>55</w:t>
            </w:r>
          </w:p>
        </w:tc>
        <w:tc>
          <w:tcPr>
            <w:tcW w:type="dxa" w:w="7200"/>
          </w:tcPr>
          <w:p>
            <w:r>
              <w:t>This project aims to explore steroid-prescribing habits for patients with primary CNS lymphoma (PCNSL). It will also look at the incidence of steroid-related side effects and whether we adhere to the NICE guidelines for the monitoring of patients on corticosteroids. This aims to cover the period from commencement of steroids to the end of cycle 1 of their chemotherapy. The aim of collecting data on steroid-prescribing habits is to identify the total dose and duration of steroids that our patients receive and to see whether any neurological events occur when steroids are abruptly stopped versus when they are tapered. By looking at the incidence of steroid-related side effects and whether we are monitoring in accordance with NICE guidelines, we hope to gather data to inform a quality improvement project. This is likely to be an intervention to aid steroid prescribing and monitoring.</w:t>
            </w:r>
          </w:p>
        </w:tc>
        <w:tc>
          <w:tcPr>
            <w:tcW w:type="dxa" w:w="2160"/>
          </w:tcPr>
          <w:p/>
        </w:tc>
        <w:tc>
          <w:tcPr>
            <w:tcW w:type="dxa" w:w="2160"/>
          </w:tcPr>
          <w:p/>
        </w:tc>
        <w:tc>
          <w:tcPr>
            <w:tcW w:type="dxa" w:w="2160"/>
          </w:tcPr>
          <w:p/>
        </w:tc>
      </w:tr>
      <w:tr>
        <w:tc>
          <w:tcPr>
            <w:tcW w:type="dxa" w:w="720"/>
          </w:tcPr>
          <w:p>
            <w:r>
              <w:t>64</w:t>
            </w:r>
          </w:p>
        </w:tc>
        <w:tc>
          <w:tcPr>
            <w:tcW w:type="dxa" w:w="7200"/>
          </w:tcPr>
          <w:p>
            <w:r>
              <w:t>We want to identify patients with lymphoma who were admitted to ICU at UCLH. Our aims are to: - Calculate the ICU and in-hospital mortality rates for patients who were level 2 and level 3. We have done a preliminary evaluation which suggests that the mortality rate for level 3 patients is around 80% - we now want to confirm if this is the case in a larger cohort. - Improve information sharing and treatment escalation discussions between the ICU and haematology teams by exploring: -- How many of these patients would have been considered to have a poor prognosis in terms of their lymphoma (for example having failed many previous lines of treatment) -- Whether the mortality rate is different depending on the type of treatment the patient was receiving prior to ICU admission (e.g. SACT vs CAR-T vs treatment naive) Later aims (not for this initial data collection): - Prospective data collection, to identify risk factors for poor prognosis for patients with lymphoma admitted to the ICU. - Benchmark UCLH outcomes for critically ill lymphoma patients against other similar hospitals.</w:t>
            </w:r>
          </w:p>
        </w:tc>
        <w:tc>
          <w:tcPr>
            <w:tcW w:type="dxa" w:w="2160"/>
          </w:tcPr>
          <w:p/>
        </w:tc>
        <w:tc>
          <w:tcPr>
            <w:tcW w:type="dxa" w:w="2160"/>
          </w:tcPr>
          <w:p/>
        </w:tc>
        <w:tc>
          <w:tcPr>
            <w:tcW w:type="dxa" w:w="2160"/>
          </w:tcPr>
          <w:p/>
        </w:tc>
      </w:tr>
      <w:tr>
        <w:tc>
          <w:tcPr>
            <w:tcW w:type="dxa" w:w="720"/>
          </w:tcPr>
          <w:p>
            <w:r>
              <w:t>86</w:t>
            </w:r>
          </w:p>
        </w:tc>
        <w:tc>
          <w:tcPr>
            <w:tcW w:type="dxa" w:w="7200"/>
          </w:tcPr>
          <w:p>
            <w:r>
              <w:t>We are currently aiming to identify patients with available genetic profiling results across our gastrointestinal oncology department. These results are typically saved as a PDF file under the ‘Media’ tab in Epic, and can be identified using various phrases under the 'Description' column such as “Foundation Medicine”, “FM”, “Caris”, "Guardant 360", "G360", “genomic results”, “genetic results”, “mutation report”, etc. We then aim to explore genomic data in gastrointestinal cancer patients and see how they correlate with systemic treatment outcomes including treatment response, progression free survival and overall survival.</w:t>
            </w:r>
          </w:p>
        </w:tc>
        <w:tc>
          <w:tcPr>
            <w:tcW w:type="dxa" w:w="2160"/>
          </w:tcPr>
          <w:p/>
        </w:tc>
        <w:tc>
          <w:tcPr>
            <w:tcW w:type="dxa" w:w="2160"/>
          </w:tcPr>
          <w:p/>
        </w:tc>
        <w:tc>
          <w:tcPr>
            <w:tcW w:type="dxa" w:w="2160"/>
          </w:tcPr>
          <w:p/>
        </w:tc>
      </w:tr>
      <w:tr>
        <w:tc>
          <w:tcPr>
            <w:tcW w:type="dxa" w:w="720"/>
          </w:tcPr>
          <w:p>
            <w:r>
              <w:t>91</w:t>
            </w:r>
          </w:p>
        </w:tc>
        <w:tc>
          <w:tcPr>
            <w:tcW w:type="dxa" w:w="7200"/>
          </w:tcPr>
          <w:p>
            <w:r>
              <w:t>We are looking at outcomes of adult patients (&gt;18) diagnosed with T-ALL/T-LBL since 2019 (which is when we have diagnostic and Epic data available) to ascertain how many patients are in remission, primary refractory, relapsed/refractory, have an allograft or die during this period. Dr Simantira will collate all the diagnostic information we have for T-ALL patients (via HILIS and Epic). However T-LBL patients are not routinely recorded on HILIS so we will need to retrieve this data from Epic. The aim is to characterise the diagnostic presentation and treatment history of this cohort which will help inform our own practice in a more systematic way.</w:t>
            </w:r>
          </w:p>
        </w:tc>
        <w:tc>
          <w:tcPr>
            <w:tcW w:type="dxa" w:w="2160"/>
          </w:tcPr>
          <w:p/>
        </w:tc>
        <w:tc>
          <w:tcPr>
            <w:tcW w:type="dxa" w:w="2160"/>
          </w:tcPr>
          <w:p/>
        </w:tc>
        <w:tc>
          <w:tcPr>
            <w:tcW w:type="dxa" w:w="2160"/>
          </w:tcPr>
          <w:p/>
        </w:tc>
      </w:tr>
      <w:tr>
        <w:tc>
          <w:tcPr>
            <w:tcW w:type="dxa" w:w="720"/>
          </w:tcPr>
          <w:p>
            <w:r>
              <w:t>93</w:t>
            </w:r>
          </w:p>
        </w:tc>
        <w:tc>
          <w:tcPr>
            <w:tcW w:type="dxa" w:w="7200"/>
          </w:tcPr>
          <w:p>
            <w:r>
              <w:t>The outcomes for lymphoma associated HLH are abysmal, with survical expected to be around 20% at 1 year. In order to better understand the mechanism in which these patients present and their characteristics we would like to assess all patients diagnosed with HLH since the inception of EPIC. In addition there is an appreciation that unwell lymphoma patients admitted to ICU, may meet the criteria for diagnosis of HLH without being officially diagnosed as such and we also want to look at this cohort of patients.</w:t>
            </w:r>
          </w:p>
        </w:tc>
        <w:tc>
          <w:tcPr>
            <w:tcW w:type="dxa" w:w="2160"/>
          </w:tcPr>
          <w:p/>
        </w:tc>
        <w:tc>
          <w:tcPr>
            <w:tcW w:type="dxa" w:w="2160"/>
          </w:tcPr>
          <w:p/>
        </w:tc>
        <w:tc>
          <w:tcPr>
            <w:tcW w:type="dxa" w:w="2160"/>
          </w:tcPr>
          <w:p/>
        </w:tc>
      </w:tr>
      <w:tr>
        <w:tc>
          <w:tcPr>
            <w:tcW w:type="dxa" w:w="720"/>
          </w:tcPr>
          <w:p>
            <w:r>
              <w:t>103</w:t>
            </w:r>
          </w:p>
        </w:tc>
        <w:tc>
          <w:tcPr>
            <w:tcW w:type="dxa" w:w="7200"/>
          </w:tcPr>
          <w:p>
            <w:r>
              <w:t>CAR-T has revolutionised cancer treatment but is associated with neurotoxicity in up to 50% of cases. In many cases, the neurotoxicity is transient, responsive to treatment with steroids, and recovers completely. However, in a subset of patients, encephalopathy is prolonged, associated with poorer outcomes and an increased risk of death. The phenomenon of prolonged ICANS following CAR-T is poorly characterised and incompletely understood. We have an existing dataset of patients who have received CAR-T with various baseline characteristics and are analysing this to identify risk factors for prolonged encephalopathy after ICANS. We would also like to understand inflammatory marker and CAR-T dynamics over a pre-defined timeperiod following CAR-T infusion as this will help us understand whether, and in what way, inflammation persists in patient with prolonged encephalopathy. Our hypothesis is that elevated inflammatory markers persist in patients with prolonged encephalopathy, and therefore that metrics of inflammation at baseline are likely to be risk factors for prolonged encephalopathy. However, we do not know whether prolonged encephalopathy will be most associated with the peak inflammation, the duration, or the area under the curve. However, we do not know which markers of inflammation/CAR-T expansion will be most associated with prolonged encephalopathy. In addition, we aim to understand the cumulative dose of steroids that patients receive post CAR-T. Our hypothesis is that the area under the curve for steroids doses drives mortality following CAR-T.</w:t>
            </w:r>
          </w:p>
        </w:tc>
        <w:tc>
          <w:tcPr>
            <w:tcW w:type="dxa" w:w="2160"/>
          </w:tcPr>
          <w:p/>
        </w:tc>
        <w:tc>
          <w:tcPr>
            <w:tcW w:type="dxa" w:w="2160"/>
          </w:tcPr>
          <w:p/>
        </w:tc>
        <w:tc>
          <w:tcPr>
            <w:tcW w:type="dxa" w:w="2160"/>
          </w:tcPr>
          <w:p/>
        </w:tc>
      </w:tr>
      <w:tr>
        <w:tc>
          <w:tcPr>
            <w:tcW w:type="dxa" w:w="720"/>
          </w:tcPr>
          <w:p>
            <w:r>
              <w:t>122</w:t>
            </w:r>
          </w:p>
        </w:tc>
        <w:tc>
          <w:tcPr>
            <w:tcW w:type="dxa" w:w="7200"/>
          </w:tcPr>
          <w:p>
            <w:r>
              <w:t>We aim to integrate several mutimodal neuroimaging biomarkers in order to improve specificity and sensitivity of the outcome of epilepsy surgery. PET is one of the key biomarkers. We have a tool for quantitative analysis of PET data. This tool requires a control dataset (normal PET signal in the brain).</w:t>
            </w:r>
          </w:p>
        </w:tc>
        <w:tc>
          <w:tcPr>
            <w:tcW w:type="dxa" w:w="2160"/>
          </w:tcPr>
          <w:p/>
        </w:tc>
        <w:tc>
          <w:tcPr>
            <w:tcW w:type="dxa" w:w="2160"/>
          </w:tcPr>
          <w:p/>
        </w:tc>
        <w:tc>
          <w:tcPr>
            <w:tcW w:type="dxa" w:w="2160"/>
          </w:tcPr>
          <w:p/>
        </w:tc>
      </w:tr>
      <w:tr>
        <w:tc>
          <w:tcPr>
            <w:tcW w:type="dxa" w:w="720"/>
          </w:tcPr>
          <w:p>
            <w:r>
              <w:t>143</w:t>
            </w:r>
          </w:p>
        </w:tc>
        <w:tc>
          <w:tcPr>
            <w:tcW w:type="dxa" w:w="7200"/>
          </w:tcPr>
          <w:p>
            <w:r>
              <w:t>To identify number of recurrences in patients &gt; 2 years since definitive treatment To identify the average time to recurrence To identify recurrence by sarcoma sub-type To identify how recurrence was detected – cxr, other imaging modality, clinical examination, patient reporting Was recurrence local or metastatic How many patients were successfully salvaged?</w:t>
            </w:r>
          </w:p>
        </w:tc>
        <w:tc>
          <w:tcPr>
            <w:tcW w:type="dxa" w:w="2160"/>
          </w:tcPr>
          <w:p/>
        </w:tc>
        <w:tc>
          <w:tcPr>
            <w:tcW w:type="dxa" w:w="2160"/>
          </w:tcPr>
          <w:p/>
        </w:tc>
        <w:tc>
          <w:tcPr>
            <w:tcW w:type="dxa" w:w="2160"/>
          </w:tcPr>
          <w:p/>
        </w:tc>
      </w:tr>
      <w:tr>
        <w:tc>
          <w:tcPr>
            <w:tcW w:type="dxa" w:w="720"/>
          </w:tcPr>
          <w:p>
            <w:r>
              <w:t>146</w:t>
            </w:r>
          </w:p>
        </w:tc>
        <w:tc>
          <w:tcPr>
            <w:tcW w:type="dxa" w:w="7200"/>
          </w:tcPr>
          <w:p>
            <w:r>
              <w:t>To evaluate management of our prostate cancer patients who are prescribed androgen receptor pathway inhibitors alongside androgen deprivation therapy. Aim to assess: 1. Co-morbidity/toxicity management of these patients (cardiac management, bone health, diabetic management, abiraterone toxicity at induction) 2. Efficacy (testosterone suppression with different methods of ADT, routine imaging use (nadir), compliance/adherence, next or additional cancer therapies)</w:t>
            </w:r>
          </w:p>
        </w:tc>
        <w:tc>
          <w:tcPr>
            <w:tcW w:type="dxa" w:w="2160"/>
          </w:tcPr>
          <w:p/>
        </w:tc>
        <w:tc>
          <w:tcPr>
            <w:tcW w:type="dxa" w:w="2160"/>
          </w:tcPr>
          <w:p/>
        </w:tc>
        <w:tc>
          <w:tcPr>
            <w:tcW w:type="dxa" w:w="2160"/>
          </w:tcPr>
          <w:p/>
        </w:tc>
      </w:tr>
    </w:tbl>
    <w:p/>
    <w:p>
      <w:pPr>
        <w:pStyle w:val="Heading2"/>
      </w:pPr>
      <w:r>
        <w:t>3. Other Projects</w:t>
      </w:r>
    </w:p>
    <w:p>
      <w:r>
        <w:t>135 projects</w:t>
      </w:r>
    </w:p>
    <w:tbl>
      <w:tblPr>
        <w:tblStyle w:val="TableGrid"/>
        <w:tblW w:type="auto" w:w="0"/>
        <w:tblLayout w:type="fixed"/>
        <w:tblLook w:firstColumn="1" w:firstRow="1" w:lastColumn="0" w:lastRow="0" w:noHBand="0" w:noVBand="1" w:val="04A0"/>
      </w:tblPr>
      <w:tblGrid>
        <w:gridCol w:w="2448"/>
        <w:gridCol w:w="2448"/>
        <w:gridCol w:w="2448"/>
        <w:gridCol w:w="2448"/>
        <w:gridCol w:w="2448"/>
      </w:tblGrid>
      <w:tr>
        <w:tc>
          <w:tcPr>
            <w:tcW w:type="dxa" w:w="720"/>
            <w:shd w:val="clear" w:fill="D9D9D9"/>
          </w:tcPr>
          <w:p>
            <w:r>
              <w:rPr>
                <w:b/>
              </w:rPr>
              <w:t>No.</w:t>
            </w:r>
          </w:p>
        </w:tc>
        <w:tc>
          <w:tcPr>
            <w:tcW w:type="dxa" w:w="7200"/>
            <w:shd w:val="clear" w:fill="D9D9D9"/>
          </w:tcPr>
          <w:p>
            <w:r>
              <w:rPr>
                <w:b/>
              </w:rPr>
              <w:t>Project Name</w:t>
            </w:r>
          </w:p>
        </w:tc>
        <w:tc>
          <w:tcPr>
            <w:tcW w:type="dxa" w:w="2160"/>
            <w:shd w:val="clear" w:fill="D9D9D9"/>
          </w:tcPr>
          <w:p>
            <w:r>
              <w:rPr>
                <w:b/>
              </w:rPr>
              <w:t>Datatype (my version)</w:t>
            </w:r>
          </w:p>
        </w:tc>
        <w:tc>
          <w:tcPr>
            <w:tcW w:type="dxa" w:w="2160"/>
            <w:shd w:val="clear" w:fill="D9D9D9"/>
          </w:tcPr>
          <w:p>
            <w:r>
              <w:rPr>
                <w:b/>
              </w:rPr>
              <w:t>Datatype (SQL version)</w:t>
            </w:r>
          </w:p>
        </w:tc>
        <w:tc>
          <w:tcPr>
            <w:tcW w:type="dxa" w:w="2160"/>
            <w:shd w:val="clear" w:fill="D9D9D9"/>
          </w:tcPr>
          <w:p>
            <w:r>
              <w:rPr>
                <w:b/>
              </w:rPr>
              <w:t>Datatype (clinician's version)</w:t>
            </w:r>
          </w:p>
        </w:tc>
      </w:tr>
      <w:tr>
        <w:tc>
          <w:tcPr>
            <w:tcW w:type="dxa" w:w="720"/>
          </w:tcPr>
          <w:p>
            <w:r>
              <w:t>1</w:t>
            </w:r>
          </w:p>
        </w:tc>
        <w:tc>
          <w:tcPr>
            <w:tcW w:type="dxa" w:w="7200"/>
          </w:tcPr>
          <w:p>
            <w:r>
              <w:t>1) Identify those that underwent biopsy to form a gold standard research set of biopsy proven recurrence 2) Explore methods to enhance the, otherwise manual process, of reviewing PSA blood test results to detect recurrence/progression. This is such a simple threshold based task that it seems ripe for algorithm development. The biopsy data will help inform this.</w:t>
            </w:r>
          </w:p>
        </w:tc>
        <w:tc>
          <w:tcPr>
            <w:tcW w:type="dxa" w:w="2160"/>
          </w:tcPr>
          <w:p/>
        </w:tc>
        <w:tc>
          <w:tcPr>
            <w:tcW w:type="dxa" w:w="2160"/>
          </w:tcPr>
          <w:p/>
        </w:tc>
        <w:tc>
          <w:tcPr>
            <w:tcW w:type="dxa" w:w="2160"/>
          </w:tcPr>
          <w:p/>
        </w:tc>
      </w:tr>
      <w:tr>
        <w:tc>
          <w:tcPr>
            <w:tcW w:type="dxa" w:w="720"/>
          </w:tcPr>
          <w:p>
            <w:r>
              <w:t>2</w:t>
            </w:r>
          </w:p>
        </w:tc>
        <w:tc>
          <w:tcPr>
            <w:tcW w:type="dxa" w:w="7200"/>
          </w:tcPr>
          <w:p>
            <w:r>
              <w:t>The team is interested in reviewing the resource allocation required to safely deliver R-DA-EPOCH treatment (listed in beacon). We are looking to move the delivery of the treatment regime to ambulatory care, therefore a review of the resources that are used during inpatient care would be useful for resource allocation when the transfer to ambulatory care occurs.</w:t>
            </w:r>
          </w:p>
        </w:tc>
        <w:tc>
          <w:tcPr>
            <w:tcW w:type="dxa" w:w="2160"/>
          </w:tcPr>
          <w:p/>
        </w:tc>
        <w:tc>
          <w:tcPr>
            <w:tcW w:type="dxa" w:w="2160"/>
          </w:tcPr>
          <w:p/>
        </w:tc>
        <w:tc>
          <w:tcPr>
            <w:tcW w:type="dxa" w:w="2160"/>
          </w:tcPr>
          <w:p/>
        </w:tc>
      </w:tr>
      <w:tr>
        <w:tc>
          <w:tcPr>
            <w:tcW w:type="dxa" w:w="720"/>
          </w:tcPr>
          <w:p>
            <w:r>
              <w:t>3</w:t>
            </w:r>
          </w:p>
        </w:tc>
        <w:tc>
          <w:tcPr>
            <w:tcW w:type="dxa" w:w="7200"/>
          </w:tcPr>
          <w:p>
            <w:r>
              <w:t>Focus of audit: ICI colitis/ enteritis/ enterocolitis /gastritis / oesophagitis/ duodenitis incidents in the immunotherapy patient population. Primary goal: To identify patterns of teh above ICI GI toxicity incidents in the immunotherapy patient population. Secondary goal: to identify the rate of use of secondary immunosuppressants- Infliximab , Vedolizumab and their efficacy.</w:t>
            </w:r>
          </w:p>
        </w:tc>
        <w:tc>
          <w:tcPr>
            <w:tcW w:type="dxa" w:w="2160"/>
          </w:tcPr>
          <w:p/>
        </w:tc>
        <w:tc>
          <w:tcPr>
            <w:tcW w:type="dxa" w:w="2160"/>
          </w:tcPr>
          <w:p/>
        </w:tc>
        <w:tc>
          <w:tcPr>
            <w:tcW w:type="dxa" w:w="2160"/>
          </w:tcPr>
          <w:p/>
        </w:tc>
      </w:tr>
      <w:tr>
        <w:tc>
          <w:tcPr>
            <w:tcW w:type="dxa" w:w="720"/>
          </w:tcPr>
          <w:p>
            <w:r>
              <w:t>4</w:t>
            </w:r>
          </w:p>
        </w:tc>
        <w:tc>
          <w:tcPr>
            <w:tcW w:type="dxa" w:w="7200"/>
          </w:tcPr>
          <w:p>
            <w:r>
              <w:t>1.Review the outcomes of therapy with R-CHOP 14 in PMBCL ( team to extract data from treatment plan in epic) 2. Review the outcomes of therapy of patients treated with R-CODOx M (team to extract data from treatment plan in epic)</w:t>
            </w:r>
          </w:p>
        </w:tc>
        <w:tc>
          <w:tcPr>
            <w:tcW w:type="dxa" w:w="2160"/>
          </w:tcPr>
          <w:p/>
        </w:tc>
        <w:tc>
          <w:tcPr>
            <w:tcW w:type="dxa" w:w="2160"/>
          </w:tcPr>
          <w:p/>
        </w:tc>
        <w:tc>
          <w:tcPr>
            <w:tcW w:type="dxa" w:w="2160"/>
          </w:tcPr>
          <w:p/>
        </w:tc>
      </w:tr>
      <w:tr>
        <w:tc>
          <w:tcPr>
            <w:tcW w:type="dxa" w:w="720"/>
          </w:tcPr>
          <w:p>
            <w:r>
              <w:t>5</w:t>
            </w:r>
          </w:p>
        </w:tc>
        <w:tc>
          <w:tcPr>
            <w:tcW w:type="dxa" w:w="7200"/>
          </w:tcPr>
          <w:p>
            <w:r>
              <w:t>The patient cohort will be those with a documented diagnosis of sickle cell disorder or thalassaemia We are trying to define two sets of data: 1) The time between the time that patients check in at phlebotomy, and the time that they get their blood tests collected, 2) The time that between patients checking in at apheresis and then getting their blood transfusions given (whether exchange or top-up transfusion)</w:t>
            </w:r>
          </w:p>
        </w:tc>
        <w:tc>
          <w:tcPr>
            <w:tcW w:type="dxa" w:w="2160"/>
          </w:tcPr>
          <w:p/>
        </w:tc>
        <w:tc>
          <w:tcPr>
            <w:tcW w:type="dxa" w:w="2160"/>
          </w:tcPr>
          <w:p/>
        </w:tc>
        <w:tc>
          <w:tcPr>
            <w:tcW w:type="dxa" w:w="2160"/>
          </w:tcPr>
          <w:p/>
        </w:tc>
      </w:tr>
      <w:tr>
        <w:tc>
          <w:tcPr>
            <w:tcW w:type="dxa" w:w="720"/>
          </w:tcPr>
          <w:p>
            <w:r>
              <w:t>6</w:t>
            </w:r>
          </w:p>
        </w:tc>
        <w:tc>
          <w:tcPr>
            <w:tcW w:type="dxa" w:w="7200"/>
          </w:tcPr>
          <w:p>
            <w:r>
              <w:t>There is a paucity of data surrounding the optimal conversion rate from IV to oral tacrolimus for allogeneic transplants, however guidelines suggest that a ratio of 2-4:1 could be the best strategy. This project aims to audit our practice of IV to oral conversion over the last 5 years and link them to clinical outcomes to inform our clinical practice.</w:t>
            </w:r>
          </w:p>
        </w:tc>
        <w:tc>
          <w:tcPr>
            <w:tcW w:type="dxa" w:w="2160"/>
          </w:tcPr>
          <w:p/>
        </w:tc>
        <w:tc>
          <w:tcPr>
            <w:tcW w:type="dxa" w:w="2160"/>
          </w:tcPr>
          <w:p/>
        </w:tc>
        <w:tc>
          <w:tcPr>
            <w:tcW w:type="dxa" w:w="2160"/>
          </w:tcPr>
          <w:p/>
        </w:tc>
      </w:tr>
      <w:tr>
        <w:tc>
          <w:tcPr>
            <w:tcW w:type="dxa" w:w="720"/>
          </w:tcPr>
          <w:p>
            <w:r>
              <w:t>7</w:t>
            </w:r>
          </w:p>
        </w:tc>
        <w:tc>
          <w:tcPr>
            <w:tcW w:type="dxa" w:w="7200"/>
          </w:tcPr>
          <w:p>
            <w:r>
              <w:t>This audit aims to identify the factors influencing stem cell harvest in CNS lymphoma patients treated with an intent to cure with a BCNU transplant.</w:t>
            </w:r>
          </w:p>
        </w:tc>
        <w:tc>
          <w:tcPr>
            <w:tcW w:type="dxa" w:w="2160"/>
          </w:tcPr>
          <w:p/>
        </w:tc>
        <w:tc>
          <w:tcPr>
            <w:tcW w:type="dxa" w:w="2160"/>
          </w:tcPr>
          <w:p/>
        </w:tc>
        <w:tc>
          <w:tcPr>
            <w:tcW w:type="dxa" w:w="2160"/>
          </w:tcPr>
          <w:p/>
        </w:tc>
      </w:tr>
      <w:tr>
        <w:tc>
          <w:tcPr>
            <w:tcW w:type="dxa" w:w="720"/>
          </w:tcPr>
          <w:p>
            <w:r>
              <w:t>8</w:t>
            </w:r>
          </w:p>
        </w:tc>
        <w:tc>
          <w:tcPr>
            <w:tcW w:type="dxa" w:w="7200"/>
          </w:tcPr>
          <w:p>
            <w:r>
              <w:t>To find out the number of patients diagnosed with solid malignancies after they had solid organ transplantation</w:t>
            </w:r>
          </w:p>
        </w:tc>
        <w:tc>
          <w:tcPr>
            <w:tcW w:type="dxa" w:w="2160"/>
          </w:tcPr>
          <w:p/>
        </w:tc>
        <w:tc>
          <w:tcPr>
            <w:tcW w:type="dxa" w:w="2160"/>
          </w:tcPr>
          <w:p/>
        </w:tc>
        <w:tc>
          <w:tcPr>
            <w:tcW w:type="dxa" w:w="2160"/>
          </w:tcPr>
          <w:p/>
        </w:tc>
      </w:tr>
      <w:tr>
        <w:tc>
          <w:tcPr>
            <w:tcW w:type="dxa" w:w="720"/>
          </w:tcPr>
          <w:p>
            <w:r>
              <w:t>9</w:t>
            </w:r>
          </w:p>
        </w:tc>
        <w:tc>
          <w:tcPr>
            <w:tcW w:type="dxa" w:w="7200"/>
          </w:tcPr>
          <w:p>
            <w:r>
              <w:t>This is a project to evaluate the use of IVIG in adult patients following commercial CAR T cell therapy. It will evaluate the proportion of patients who require IVIG due to late infectious complications/hypogammaglobulinaemia, indications for and timing of IVIG initiation, whether IVIG is initiated according to guidelines, and the dose, frequency and duration of treatment. The purpose of this data request is to identify patients who have initiated immunoglobulin replacement therapy post CAR T. Some patients will receive IVIG/SCIG at another hospital - it would be useful to also search for free text in the patient notes to identify these patients.</w:t>
            </w:r>
          </w:p>
        </w:tc>
        <w:tc>
          <w:tcPr>
            <w:tcW w:type="dxa" w:w="2160"/>
          </w:tcPr>
          <w:p/>
        </w:tc>
        <w:tc>
          <w:tcPr>
            <w:tcW w:type="dxa" w:w="2160"/>
          </w:tcPr>
          <w:p/>
        </w:tc>
        <w:tc>
          <w:tcPr>
            <w:tcW w:type="dxa" w:w="2160"/>
          </w:tcPr>
          <w:p/>
        </w:tc>
      </w:tr>
      <w:tr>
        <w:tc>
          <w:tcPr>
            <w:tcW w:type="dxa" w:w="720"/>
          </w:tcPr>
          <w:p>
            <w:r>
              <w:t>10</w:t>
            </w:r>
          </w:p>
        </w:tc>
        <w:tc>
          <w:tcPr>
            <w:tcW w:type="dxa" w:w="7200"/>
          </w:tcPr>
          <w:p>
            <w:r>
              <w:t>Understand use of blood products in patients who have undergone autologous bone marrow transplant for myeloma or lymphoma in order to be able to predict use and minimise waste</w:t>
            </w:r>
          </w:p>
        </w:tc>
        <w:tc>
          <w:tcPr>
            <w:tcW w:type="dxa" w:w="2160"/>
          </w:tcPr>
          <w:p/>
        </w:tc>
        <w:tc>
          <w:tcPr>
            <w:tcW w:type="dxa" w:w="2160"/>
          </w:tcPr>
          <w:p/>
        </w:tc>
        <w:tc>
          <w:tcPr>
            <w:tcW w:type="dxa" w:w="2160"/>
          </w:tcPr>
          <w:p/>
        </w:tc>
      </w:tr>
      <w:tr>
        <w:tc>
          <w:tcPr>
            <w:tcW w:type="dxa" w:w="720"/>
          </w:tcPr>
          <w:p>
            <w:r>
              <w:t>11</w:t>
            </w:r>
          </w:p>
        </w:tc>
        <w:tc>
          <w:tcPr>
            <w:tcW w:type="dxa" w:w="7200"/>
          </w:tcPr>
          <w:p>
            <w:r>
              <w:t>A small number of patients undergoing allogeneic stem cell transplant have had prior infection with Heptatitis B. We give these patients prophylaxis during and post transplant. On stopping the prophylaxis after transplant, a small number of these will reactivate hepatitis B. It would be useful to understand how long reactivation takes, as we are currently screening regularly for 2 years after stopping the drugs and the impression is that this too long. We have no database of patients detailing who has had previous hepatitis B, so the aim would be to identify these at risk patients. This could be done by extracting eg. prescriptions for entecavir/tenofovir or lamivudine for alloHSCT pts (identified by clinic code), as this would give the denominator. From this, we could do the rest ourselves of looking up Hep B DNA results on epic. The numbers are small and it may be that going back to 2019 will not yield enough, but it would be worth looking. (If pharmacy prescriptions aren't a feasible variable, then checking for those who have ever had positive hepatitis B core antibody tests may be an alternative.)</w:t>
            </w:r>
          </w:p>
        </w:tc>
        <w:tc>
          <w:tcPr>
            <w:tcW w:type="dxa" w:w="2160"/>
          </w:tcPr>
          <w:p/>
        </w:tc>
        <w:tc>
          <w:tcPr>
            <w:tcW w:type="dxa" w:w="2160"/>
          </w:tcPr>
          <w:p/>
        </w:tc>
        <w:tc>
          <w:tcPr>
            <w:tcW w:type="dxa" w:w="2160"/>
          </w:tcPr>
          <w:p/>
        </w:tc>
      </w:tr>
      <w:tr>
        <w:tc>
          <w:tcPr>
            <w:tcW w:type="dxa" w:w="720"/>
          </w:tcPr>
          <w:p>
            <w:r>
              <w:t>12</w:t>
            </w:r>
          </w:p>
        </w:tc>
        <w:tc>
          <w:tcPr>
            <w:tcW w:type="dxa" w:w="7200"/>
          </w:tcPr>
          <w:p>
            <w:r>
              <w:t>Currently preparing an abstract on our lymphoma autologous stem cell education days that we hold for prospective autologous stem cell transplant patients. I would like to know in the last 5 years how many patients have been referred from outside of UCLH for an autologous stem cell transplant. It will be helpful to know too out of this number how many of these are specifically for lymphoma patients.</w:t>
            </w:r>
          </w:p>
        </w:tc>
        <w:tc>
          <w:tcPr>
            <w:tcW w:type="dxa" w:w="2160"/>
          </w:tcPr>
          <w:p/>
        </w:tc>
        <w:tc>
          <w:tcPr>
            <w:tcW w:type="dxa" w:w="2160"/>
          </w:tcPr>
          <w:p/>
        </w:tc>
        <w:tc>
          <w:tcPr>
            <w:tcW w:type="dxa" w:w="2160"/>
          </w:tcPr>
          <w:p/>
        </w:tc>
      </w:tr>
      <w:tr>
        <w:tc>
          <w:tcPr>
            <w:tcW w:type="dxa" w:w="720"/>
          </w:tcPr>
          <w:p>
            <w:r>
              <w:t>14</w:t>
            </w:r>
          </w:p>
        </w:tc>
        <w:tc>
          <w:tcPr>
            <w:tcW w:type="dxa" w:w="7200"/>
          </w:tcPr>
          <w:p>
            <w:r>
              <w:t>We would like to obtain a list of all patients diagnosed with Classical Hodgkin Lymphoma and treated at UCLH. We will then look at different age groups and assess their outcomes at UCLH.</w:t>
            </w:r>
          </w:p>
        </w:tc>
        <w:tc>
          <w:tcPr>
            <w:tcW w:type="dxa" w:w="2160"/>
          </w:tcPr>
          <w:p/>
        </w:tc>
        <w:tc>
          <w:tcPr>
            <w:tcW w:type="dxa" w:w="2160"/>
          </w:tcPr>
          <w:p/>
        </w:tc>
        <w:tc>
          <w:tcPr>
            <w:tcW w:type="dxa" w:w="2160"/>
          </w:tcPr>
          <w:p/>
        </w:tc>
      </w:tr>
      <w:tr>
        <w:tc>
          <w:tcPr>
            <w:tcW w:type="dxa" w:w="720"/>
          </w:tcPr>
          <w:p>
            <w:r>
              <w:t>15</w:t>
            </w:r>
          </w:p>
        </w:tc>
        <w:tc>
          <w:tcPr>
            <w:tcW w:type="dxa" w:w="7200"/>
          </w:tcPr>
          <w:p>
            <w:r>
              <w:t>We want to address inequity within our service. We know that our service is not offered to all eligible patients and we suspect that patients from ethnic minority groups are under referred to our team. We are undertaking a QI project to explore and address this. First steps will be to find out more about recording of ethnicity in our patients notes. We would like to find out what percentage of patients with advanced cancer (in the tumour types breast, lung, gynae, GI, sarcoma, head and neck and urology) have ethnicity recorded. We would also like to find out what percentage of patients who are seen by our team (the Enhanced Supportive Care team) have their ethnicity recorded</w:t>
            </w:r>
          </w:p>
        </w:tc>
        <w:tc>
          <w:tcPr>
            <w:tcW w:type="dxa" w:w="2160"/>
          </w:tcPr>
          <w:p/>
        </w:tc>
        <w:tc>
          <w:tcPr>
            <w:tcW w:type="dxa" w:w="2160"/>
          </w:tcPr>
          <w:p/>
        </w:tc>
        <w:tc>
          <w:tcPr>
            <w:tcW w:type="dxa" w:w="2160"/>
          </w:tcPr>
          <w:p/>
        </w:tc>
      </w:tr>
      <w:tr>
        <w:tc>
          <w:tcPr>
            <w:tcW w:type="dxa" w:w="720"/>
          </w:tcPr>
          <w:p>
            <w:r>
              <w:t>16</w:t>
            </w:r>
          </w:p>
        </w:tc>
        <w:tc>
          <w:tcPr>
            <w:tcW w:type="dxa" w:w="7200"/>
          </w:tcPr>
          <w:p>
            <w:r>
              <w:t>Evaluating the UCLH cytopenia pathway and improving the cytopenia diagnostic algorithm. The data requested will aim to evaluate whether appropriate investigations are requested to investigate cytopenias, with a specific focus on bone marrow biopsy requests.</w:t>
            </w:r>
          </w:p>
        </w:tc>
        <w:tc>
          <w:tcPr>
            <w:tcW w:type="dxa" w:w="2160"/>
          </w:tcPr>
          <w:p/>
        </w:tc>
        <w:tc>
          <w:tcPr>
            <w:tcW w:type="dxa" w:w="2160"/>
          </w:tcPr>
          <w:p/>
        </w:tc>
        <w:tc>
          <w:tcPr>
            <w:tcW w:type="dxa" w:w="2160"/>
          </w:tcPr>
          <w:p/>
        </w:tc>
      </w:tr>
      <w:tr>
        <w:tc>
          <w:tcPr>
            <w:tcW w:type="dxa" w:w="720"/>
          </w:tcPr>
          <w:p>
            <w:r>
              <w:t>17</w:t>
            </w:r>
          </w:p>
        </w:tc>
        <w:tc>
          <w:tcPr>
            <w:tcW w:type="dxa" w:w="7200"/>
          </w:tcPr>
          <w:p>
            <w:r>
              <w:t>We are required to provide data to NHSE for National bench marking against other TYA services. We are not able to accurately state how many new referrals for young people with cancer are seen within the service in a year. Nor are we able to reflect on outcomes in the form of relapses and mortality percentages. The data would allow us to know how many new cases of acute leukaemia are seen within the service in a year, the percentage relapses and the overall outcomes. we would like to know this for each cancer type eg sarcoma, neuro-oncology, lymphoma and other sold tumour oncology.</w:t>
            </w:r>
          </w:p>
        </w:tc>
        <w:tc>
          <w:tcPr>
            <w:tcW w:type="dxa" w:w="2160"/>
          </w:tcPr>
          <w:p/>
        </w:tc>
        <w:tc>
          <w:tcPr>
            <w:tcW w:type="dxa" w:w="2160"/>
          </w:tcPr>
          <w:p/>
        </w:tc>
        <w:tc>
          <w:tcPr>
            <w:tcW w:type="dxa" w:w="2160"/>
          </w:tcPr>
          <w:p/>
        </w:tc>
      </w:tr>
      <w:tr>
        <w:tc>
          <w:tcPr>
            <w:tcW w:type="dxa" w:w="720"/>
          </w:tcPr>
          <w:p>
            <w:r>
              <w:t>18</w:t>
            </w:r>
          </w:p>
        </w:tc>
        <w:tc>
          <w:tcPr>
            <w:tcW w:type="dxa" w:w="7200"/>
          </w:tcPr>
          <w:p>
            <w:r>
              <w:t>We are undertaking a UK wide clinical audit of the use of JAK inhibitors for patients with HLH (haemophagocytic lymphohistiocytosis). A large number of patients are discussed in the UCLH HLH MDT where we have advised external centres about the use of JAK inhibitors. We would now like support from the data clinic to review the outcomes of the HLH-MDT to identify records where the following have been documented: JAKi, JAK inhibitor, Ruxolitinib or Baricitinib. We will then contact the external centres to participate in the UK wide audit.</w:t>
            </w:r>
          </w:p>
        </w:tc>
        <w:tc>
          <w:tcPr>
            <w:tcW w:type="dxa" w:w="2160"/>
          </w:tcPr>
          <w:p/>
        </w:tc>
        <w:tc>
          <w:tcPr>
            <w:tcW w:type="dxa" w:w="2160"/>
          </w:tcPr>
          <w:p/>
        </w:tc>
        <w:tc>
          <w:tcPr>
            <w:tcW w:type="dxa" w:w="2160"/>
          </w:tcPr>
          <w:p/>
        </w:tc>
      </w:tr>
      <w:tr>
        <w:tc>
          <w:tcPr>
            <w:tcW w:type="dxa" w:w="720"/>
          </w:tcPr>
          <w:p>
            <w:r>
              <w:t>20</w:t>
            </w:r>
          </w:p>
        </w:tc>
        <w:tc>
          <w:tcPr>
            <w:tcW w:type="dxa" w:w="7200"/>
          </w:tcPr>
          <w:p>
            <w:r>
              <w:t>We are trying to improve documentation of prognosis for patients admitted in oncology department. This will help timely decisions making such as ceiling of care, resuscitation status, discharge destination etc.</w:t>
            </w:r>
          </w:p>
        </w:tc>
        <w:tc>
          <w:tcPr>
            <w:tcW w:type="dxa" w:w="2160"/>
          </w:tcPr>
          <w:p/>
        </w:tc>
        <w:tc>
          <w:tcPr>
            <w:tcW w:type="dxa" w:w="2160"/>
          </w:tcPr>
          <w:p/>
        </w:tc>
        <w:tc>
          <w:tcPr>
            <w:tcW w:type="dxa" w:w="2160"/>
          </w:tcPr>
          <w:p/>
        </w:tc>
      </w:tr>
      <w:tr>
        <w:tc>
          <w:tcPr>
            <w:tcW w:type="dxa" w:w="720"/>
          </w:tcPr>
          <w:p>
            <w:r>
              <w:t>21</w:t>
            </w:r>
          </w:p>
        </w:tc>
        <w:tc>
          <w:tcPr>
            <w:tcW w:type="dxa" w:w="7200"/>
          </w:tcPr>
          <w:p>
            <w:r>
              <w:t>Looking into incidence of central line associated infection</w:t>
            </w:r>
          </w:p>
        </w:tc>
        <w:tc>
          <w:tcPr>
            <w:tcW w:type="dxa" w:w="2160"/>
          </w:tcPr>
          <w:p/>
        </w:tc>
        <w:tc>
          <w:tcPr>
            <w:tcW w:type="dxa" w:w="2160"/>
          </w:tcPr>
          <w:p/>
        </w:tc>
        <w:tc>
          <w:tcPr>
            <w:tcW w:type="dxa" w:w="2160"/>
          </w:tcPr>
          <w:p/>
        </w:tc>
      </w:tr>
      <w:tr>
        <w:tc>
          <w:tcPr>
            <w:tcW w:type="dxa" w:w="720"/>
          </w:tcPr>
          <w:p>
            <w:r>
              <w:t>23</w:t>
            </w:r>
          </w:p>
        </w:tc>
        <w:tc>
          <w:tcPr>
            <w:tcW w:type="dxa" w:w="7200"/>
          </w:tcPr>
          <w:p>
            <w:r>
              <w:t>Ribociclib, a CDK4/6 inhibitor is due for NICE review and likely approval in Q1 2025 for hormone receptor positive, her-2 negative early breast ca. The population eligible for this will likely mirror the pivotal trial, which allowed patients to be on adjuvant endocrine therapy for up to 1 year for trial inclusion. We would like to have a list of patients who might be eligible for the drug to be able to plan how we will address the sizeable backlog of patients eligible (we estimate up to 40).</w:t>
            </w:r>
          </w:p>
        </w:tc>
        <w:tc>
          <w:tcPr>
            <w:tcW w:type="dxa" w:w="2160"/>
          </w:tcPr>
          <w:p/>
        </w:tc>
        <w:tc>
          <w:tcPr>
            <w:tcW w:type="dxa" w:w="2160"/>
          </w:tcPr>
          <w:p/>
        </w:tc>
        <w:tc>
          <w:tcPr>
            <w:tcW w:type="dxa" w:w="2160"/>
          </w:tcPr>
          <w:p/>
        </w:tc>
      </w:tr>
      <w:tr>
        <w:tc>
          <w:tcPr>
            <w:tcW w:type="dxa" w:w="720"/>
          </w:tcPr>
          <w:p>
            <w:r>
              <w:t>24</w:t>
            </w:r>
          </w:p>
        </w:tc>
        <w:tc>
          <w:tcPr>
            <w:tcW w:type="dxa" w:w="7200"/>
          </w:tcPr>
          <w:p>
            <w:r>
              <w:t>Exploring all patient with non-metastatic Oesophageal Adenocarcinoma receiving Neo-adjuvant chemotherapy.</w:t>
            </w:r>
          </w:p>
        </w:tc>
        <w:tc>
          <w:tcPr>
            <w:tcW w:type="dxa" w:w="2160"/>
          </w:tcPr>
          <w:p/>
        </w:tc>
        <w:tc>
          <w:tcPr>
            <w:tcW w:type="dxa" w:w="2160"/>
          </w:tcPr>
          <w:p/>
        </w:tc>
        <w:tc>
          <w:tcPr>
            <w:tcW w:type="dxa" w:w="2160"/>
          </w:tcPr>
          <w:p/>
        </w:tc>
      </w:tr>
      <w:tr>
        <w:tc>
          <w:tcPr>
            <w:tcW w:type="dxa" w:w="720"/>
          </w:tcPr>
          <w:p>
            <w:r>
              <w:t>25</w:t>
            </w:r>
          </w:p>
        </w:tc>
        <w:tc>
          <w:tcPr>
            <w:tcW w:type="dxa" w:w="7200"/>
          </w:tcPr>
          <w:p>
            <w:r>
              <w:t>Review of FIGO stage 1A/1B endometrial cancer with and without a p53 mutation. Current practice differs dependent on the presence of p53 status. We would like to review the outcomes of our patients and make suggestions for changes in their treatment</w:t>
            </w:r>
          </w:p>
        </w:tc>
        <w:tc>
          <w:tcPr>
            <w:tcW w:type="dxa" w:w="2160"/>
          </w:tcPr>
          <w:p/>
        </w:tc>
        <w:tc>
          <w:tcPr>
            <w:tcW w:type="dxa" w:w="2160"/>
          </w:tcPr>
          <w:p/>
        </w:tc>
        <w:tc>
          <w:tcPr>
            <w:tcW w:type="dxa" w:w="2160"/>
          </w:tcPr>
          <w:p/>
        </w:tc>
      </w:tr>
      <w:tr>
        <w:tc>
          <w:tcPr>
            <w:tcW w:type="dxa" w:w="720"/>
          </w:tcPr>
          <w:p>
            <w:r>
              <w:t>29</w:t>
            </w:r>
          </w:p>
        </w:tc>
        <w:tc>
          <w:tcPr>
            <w:tcW w:type="dxa" w:w="7200"/>
          </w:tcPr>
          <w:p>
            <w:r>
              <w:t>To look into the treatment pathway for patients with GIST, with special interest in understanding the response to neoadjuvant imatinib and the time to surgical resection.</w:t>
            </w:r>
          </w:p>
        </w:tc>
        <w:tc>
          <w:tcPr>
            <w:tcW w:type="dxa" w:w="2160"/>
          </w:tcPr>
          <w:p/>
        </w:tc>
        <w:tc>
          <w:tcPr>
            <w:tcW w:type="dxa" w:w="2160"/>
          </w:tcPr>
          <w:p/>
        </w:tc>
        <w:tc>
          <w:tcPr>
            <w:tcW w:type="dxa" w:w="2160"/>
          </w:tcPr>
          <w:p/>
        </w:tc>
      </w:tr>
      <w:tr>
        <w:tc>
          <w:tcPr>
            <w:tcW w:type="dxa" w:w="720"/>
          </w:tcPr>
          <w:p>
            <w:r>
              <w:t>31</w:t>
            </w:r>
          </w:p>
        </w:tc>
        <w:tc>
          <w:tcPr>
            <w:tcW w:type="dxa" w:w="7200"/>
          </w:tcPr>
          <w:p>
            <w:r>
              <w:t>We would like to review the use of neoadjuvant and adjuvant chemotherapy for patients &gt; 40 yo with localised bone sarcoma in our department. While the treatment protocols are well established for children and AYA, the evidence in older adults is scarce. Reviewing our own data will allow us to evaluate our current practice and treatment pathways.</w:t>
            </w:r>
          </w:p>
        </w:tc>
        <w:tc>
          <w:tcPr>
            <w:tcW w:type="dxa" w:w="2160"/>
          </w:tcPr>
          <w:p/>
        </w:tc>
        <w:tc>
          <w:tcPr>
            <w:tcW w:type="dxa" w:w="2160"/>
          </w:tcPr>
          <w:p/>
        </w:tc>
        <w:tc>
          <w:tcPr>
            <w:tcW w:type="dxa" w:w="2160"/>
          </w:tcPr>
          <w:p/>
        </w:tc>
      </w:tr>
      <w:tr>
        <w:tc>
          <w:tcPr>
            <w:tcW w:type="dxa" w:w="720"/>
          </w:tcPr>
          <w:p>
            <w:r>
              <w:t>32</w:t>
            </w:r>
          </w:p>
        </w:tc>
        <w:tc>
          <w:tcPr>
            <w:tcW w:type="dxa" w:w="7200"/>
          </w:tcPr>
          <w:p>
            <w:r>
              <w:t>Project proposal and business case for a cancer assessment unit (CAU). We are looking to see how many patients with a diagnosed cancer present to A&amp;E with suspected/ Actual MSCC How many are discharged from A&amp;E, and how many are admitted.</w:t>
            </w:r>
          </w:p>
        </w:tc>
        <w:tc>
          <w:tcPr>
            <w:tcW w:type="dxa" w:w="2160"/>
          </w:tcPr>
          <w:p/>
        </w:tc>
        <w:tc>
          <w:tcPr>
            <w:tcW w:type="dxa" w:w="2160"/>
          </w:tcPr>
          <w:p/>
        </w:tc>
        <w:tc>
          <w:tcPr>
            <w:tcW w:type="dxa" w:w="2160"/>
          </w:tcPr>
          <w:p/>
        </w:tc>
      </w:tr>
      <w:tr>
        <w:tc>
          <w:tcPr>
            <w:tcW w:type="dxa" w:w="720"/>
          </w:tcPr>
          <w:p>
            <w:r>
              <w:t>33</w:t>
            </w:r>
          </w:p>
        </w:tc>
        <w:tc>
          <w:tcPr>
            <w:tcW w:type="dxa" w:w="7200"/>
          </w:tcPr>
          <w:p>
            <w:r>
              <w:t>Osteosarcoma Study Feasibility</w:t>
            </w:r>
          </w:p>
        </w:tc>
        <w:tc>
          <w:tcPr>
            <w:tcW w:type="dxa" w:w="2160"/>
          </w:tcPr>
          <w:p/>
        </w:tc>
        <w:tc>
          <w:tcPr>
            <w:tcW w:type="dxa" w:w="2160"/>
          </w:tcPr>
          <w:p/>
        </w:tc>
        <w:tc>
          <w:tcPr>
            <w:tcW w:type="dxa" w:w="2160"/>
          </w:tcPr>
          <w:p/>
        </w:tc>
      </w:tr>
      <w:tr>
        <w:tc>
          <w:tcPr>
            <w:tcW w:type="dxa" w:w="720"/>
          </w:tcPr>
          <w:p>
            <w:r>
              <w:t>34</w:t>
            </w:r>
          </w:p>
        </w:tc>
        <w:tc>
          <w:tcPr>
            <w:tcW w:type="dxa" w:w="7200"/>
          </w:tcPr>
          <w:p>
            <w:r>
              <w:t>To review the impact of a new filgrastim product being used in stem cell harvests, we want to review the impact on harvesting and if the introduction of Filgrastim Accofil brand has resulted in more patients requiring plerixafor which is used to rescue stem cell harvests. The data will be used in combination with the harvest data that we have from our transplant data base to see how many of the patients have required plerixafor as part of their stem cell collection.</w:t>
            </w:r>
          </w:p>
        </w:tc>
        <w:tc>
          <w:tcPr>
            <w:tcW w:type="dxa" w:w="2160"/>
          </w:tcPr>
          <w:p/>
        </w:tc>
        <w:tc>
          <w:tcPr>
            <w:tcW w:type="dxa" w:w="2160"/>
          </w:tcPr>
          <w:p/>
        </w:tc>
        <w:tc>
          <w:tcPr>
            <w:tcW w:type="dxa" w:w="2160"/>
          </w:tcPr>
          <w:p/>
        </w:tc>
      </w:tr>
      <w:tr>
        <w:tc>
          <w:tcPr>
            <w:tcW w:type="dxa" w:w="720"/>
          </w:tcPr>
          <w:p>
            <w:r>
              <w:t>36</w:t>
            </w:r>
          </w:p>
        </w:tc>
        <w:tc>
          <w:tcPr>
            <w:tcW w:type="dxa" w:w="7200"/>
          </w:tcPr>
          <w:p>
            <w:r>
              <w:t>Re-audit of the tolerability of cyclophosphamide mobilisation protocol post implementation changes (removal of spare dose of Mesna). Aim to assess whether this has had any impact on tolerability.</w:t>
            </w:r>
          </w:p>
        </w:tc>
        <w:tc>
          <w:tcPr>
            <w:tcW w:type="dxa" w:w="2160"/>
          </w:tcPr>
          <w:p/>
        </w:tc>
        <w:tc>
          <w:tcPr>
            <w:tcW w:type="dxa" w:w="2160"/>
          </w:tcPr>
          <w:p/>
        </w:tc>
        <w:tc>
          <w:tcPr>
            <w:tcW w:type="dxa" w:w="2160"/>
          </w:tcPr>
          <w:p/>
        </w:tc>
      </w:tr>
      <w:tr>
        <w:tc>
          <w:tcPr>
            <w:tcW w:type="dxa" w:w="720"/>
          </w:tcPr>
          <w:p>
            <w:r>
              <w:t>37</w:t>
            </w:r>
          </w:p>
        </w:tc>
        <w:tc>
          <w:tcPr>
            <w:tcW w:type="dxa" w:w="7200"/>
          </w:tcPr>
          <w:p>
            <w:r>
              <w:t>A 12 month trial of prophylactic NG placement in TYA patients and those undergoing myeloablative conditioning regimen. The project aimed to ensure adequate nutrition, hydration and prevention of complications.</w:t>
            </w:r>
          </w:p>
        </w:tc>
        <w:tc>
          <w:tcPr>
            <w:tcW w:type="dxa" w:w="2160"/>
          </w:tcPr>
          <w:p/>
        </w:tc>
        <w:tc>
          <w:tcPr>
            <w:tcW w:type="dxa" w:w="2160"/>
          </w:tcPr>
          <w:p/>
        </w:tc>
        <w:tc>
          <w:tcPr>
            <w:tcW w:type="dxa" w:w="2160"/>
          </w:tcPr>
          <w:p/>
        </w:tc>
      </w:tr>
      <w:tr>
        <w:tc>
          <w:tcPr>
            <w:tcW w:type="dxa" w:w="720"/>
          </w:tcPr>
          <w:p>
            <w:r>
              <w:t>38</w:t>
            </w:r>
          </w:p>
        </w:tc>
        <w:tc>
          <w:tcPr>
            <w:tcW w:type="dxa" w:w="7200"/>
          </w:tcPr>
          <w:p>
            <w:r>
              <w:t>Low grade serous ovarian cancer is a rare disease. This audit aims to review our internal data to assess how I Trust has been managing patients against current guidelines, and compare our outcomes in relation to this.</w:t>
            </w:r>
          </w:p>
        </w:tc>
        <w:tc>
          <w:tcPr>
            <w:tcW w:type="dxa" w:w="2160"/>
          </w:tcPr>
          <w:p/>
        </w:tc>
        <w:tc>
          <w:tcPr>
            <w:tcW w:type="dxa" w:w="2160"/>
          </w:tcPr>
          <w:p/>
        </w:tc>
        <w:tc>
          <w:tcPr>
            <w:tcW w:type="dxa" w:w="2160"/>
          </w:tcPr>
          <w:p/>
        </w:tc>
      </w:tr>
      <w:tr>
        <w:tc>
          <w:tcPr>
            <w:tcW w:type="dxa" w:w="720"/>
          </w:tcPr>
          <w:p>
            <w:r>
              <w:t>39</w:t>
            </w:r>
          </w:p>
        </w:tc>
        <w:tc>
          <w:tcPr>
            <w:tcW w:type="dxa" w:w="7200"/>
          </w:tcPr>
          <w:p>
            <w:r>
              <w:t>The project aims to observe the number of patients in our ISM dataset. As well as view the score of the mastocytosis symptom assessment score form, we predict this will probably exclude 30-50%.</w:t>
            </w:r>
          </w:p>
        </w:tc>
        <w:tc>
          <w:tcPr>
            <w:tcW w:type="dxa" w:w="2160"/>
          </w:tcPr>
          <w:p/>
        </w:tc>
        <w:tc>
          <w:tcPr>
            <w:tcW w:type="dxa" w:w="2160"/>
          </w:tcPr>
          <w:p/>
        </w:tc>
        <w:tc>
          <w:tcPr>
            <w:tcW w:type="dxa" w:w="2160"/>
          </w:tcPr>
          <w:p/>
        </w:tc>
      </w:tr>
      <w:tr>
        <w:tc>
          <w:tcPr>
            <w:tcW w:type="dxa" w:w="720"/>
          </w:tcPr>
          <w:p>
            <w:r>
              <w:t>40</w:t>
            </w:r>
          </w:p>
        </w:tc>
        <w:tc>
          <w:tcPr>
            <w:tcW w:type="dxa" w:w="7200"/>
          </w:tcPr>
          <w:p>
            <w:r>
              <w:t>To assess the tolerability and outcomes following radiotherapy to the primary and bone metastases in patients with metastatic prostate cancer at UCLH, to evaluate our service.</w:t>
            </w:r>
          </w:p>
        </w:tc>
        <w:tc>
          <w:tcPr>
            <w:tcW w:type="dxa" w:w="2160"/>
          </w:tcPr>
          <w:p/>
        </w:tc>
        <w:tc>
          <w:tcPr>
            <w:tcW w:type="dxa" w:w="2160"/>
          </w:tcPr>
          <w:p/>
        </w:tc>
        <w:tc>
          <w:tcPr>
            <w:tcW w:type="dxa" w:w="2160"/>
          </w:tcPr>
          <w:p/>
        </w:tc>
      </w:tr>
      <w:tr>
        <w:tc>
          <w:tcPr>
            <w:tcW w:type="dxa" w:w="720"/>
          </w:tcPr>
          <w:p>
            <w:r>
              <w:t>41</w:t>
            </w:r>
          </w:p>
        </w:tc>
        <w:tc>
          <w:tcPr>
            <w:tcW w:type="dxa" w:w="7200"/>
          </w:tcPr>
          <w:p>
            <w:r>
              <w:t>As part of the strategy to improve access to clinical trials, we would like to understand certain characteristics of the population we serve to be able to create interventions to overcome barriers to access clinical trials. For this we'd like to: - Understand the ethnicity of patients diagnosed with cancer that are seen at UCLH, that could potentially participate in clinical trials. - Understand the ethnicity of patients participating in cancer clinical trials at UCLH. -Understand patients' language needs per cancer diagnosis ( gynaecology cancers, lung, gastrointestinal, lymphoma, myeloma, etc) as some conditions are more prevalent in specific ethnic groups. - Understand the language needs of patients diagnosed of cancer that are seen at UCLH to be able to offer the information of cancer clinical trials offered at UCLH in the 5 most common languages for our population.</w:t>
            </w:r>
          </w:p>
        </w:tc>
        <w:tc>
          <w:tcPr>
            <w:tcW w:type="dxa" w:w="2160"/>
          </w:tcPr>
          <w:p/>
        </w:tc>
        <w:tc>
          <w:tcPr>
            <w:tcW w:type="dxa" w:w="2160"/>
          </w:tcPr>
          <w:p/>
        </w:tc>
        <w:tc>
          <w:tcPr>
            <w:tcW w:type="dxa" w:w="2160"/>
          </w:tcPr>
          <w:p/>
        </w:tc>
      </w:tr>
      <w:tr>
        <w:tc>
          <w:tcPr>
            <w:tcW w:type="dxa" w:w="720"/>
          </w:tcPr>
          <w:p>
            <w:r>
              <w:t>42</w:t>
            </w:r>
          </w:p>
        </w:tc>
        <w:tc>
          <w:tcPr>
            <w:tcW w:type="dxa" w:w="7200"/>
          </w:tcPr>
          <w:p>
            <w:r>
              <w:t>Outcomes of patients with cancer associated VTE on dose reduction of anticoagulation</w:t>
            </w:r>
          </w:p>
        </w:tc>
        <w:tc>
          <w:tcPr>
            <w:tcW w:type="dxa" w:w="2160"/>
          </w:tcPr>
          <w:p/>
        </w:tc>
        <w:tc>
          <w:tcPr>
            <w:tcW w:type="dxa" w:w="2160"/>
          </w:tcPr>
          <w:p/>
        </w:tc>
        <w:tc>
          <w:tcPr>
            <w:tcW w:type="dxa" w:w="2160"/>
          </w:tcPr>
          <w:p/>
        </w:tc>
      </w:tr>
      <w:tr>
        <w:tc>
          <w:tcPr>
            <w:tcW w:type="dxa" w:w="720"/>
          </w:tcPr>
          <w:p>
            <w:r>
              <w:t>43</w:t>
            </w:r>
          </w:p>
        </w:tc>
        <w:tc>
          <w:tcPr>
            <w:tcW w:type="dxa" w:w="7200"/>
          </w:tcPr>
          <w:p>
            <w:r>
              <w:t>Title:' The use of RNAseq in the diagnostic evaluation of ALL' Aim is to collect data of ALL patients since RNA sequencing is used in Halo lab. To see if RNA seq helped in identification of MRD markers and if this changed management and outcomes for ALL patients. ALL patients identified from Hilis since 2022 (might also need 2021 patients later on) I am collecting the lab data from Hilis and I would be grateful if you could find the clinical outcomes from Epic.</w:t>
            </w:r>
          </w:p>
        </w:tc>
        <w:tc>
          <w:tcPr>
            <w:tcW w:type="dxa" w:w="2160"/>
          </w:tcPr>
          <w:p/>
        </w:tc>
        <w:tc>
          <w:tcPr>
            <w:tcW w:type="dxa" w:w="2160"/>
          </w:tcPr>
          <w:p/>
        </w:tc>
        <w:tc>
          <w:tcPr>
            <w:tcW w:type="dxa" w:w="2160"/>
          </w:tcPr>
          <w:p/>
        </w:tc>
      </w:tr>
      <w:tr>
        <w:tc>
          <w:tcPr>
            <w:tcW w:type="dxa" w:w="720"/>
          </w:tcPr>
          <w:p>
            <w:r>
              <w:t>44</w:t>
            </w:r>
          </w:p>
        </w:tc>
        <w:tc>
          <w:tcPr>
            <w:tcW w:type="dxa" w:w="7200"/>
          </w:tcPr>
          <w:p>
            <w:r>
              <w:t>Outcomes of patients diagnosed with tumour thrombus</w:t>
            </w:r>
          </w:p>
        </w:tc>
        <w:tc>
          <w:tcPr>
            <w:tcW w:type="dxa" w:w="2160"/>
          </w:tcPr>
          <w:p/>
        </w:tc>
        <w:tc>
          <w:tcPr>
            <w:tcW w:type="dxa" w:w="2160"/>
          </w:tcPr>
          <w:p/>
        </w:tc>
        <w:tc>
          <w:tcPr>
            <w:tcW w:type="dxa" w:w="2160"/>
          </w:tcPr>
          <w:p/>
        </w:tc>
      </w:tr>
      <w:tr>
        <w:tc>
          <w:tcPr>
            <w:tcW w:type="dxa" w:w="720"/>
          </w:tcPr>
          <w:p>
            <w:r>
              <w:t>45</w:t>
            </w:r>
          </w:p>
        </w:tc>
        <w:tc>
          <w:tcPr>
            <w:tcW w:type="dxa" w:w="7200"/>
          </w:tcPr>
          <w:p>
            <w:r>
              <w:t>Response and tolerability of ITP patients who are being treated with Eltrombopag and Avatrombopag.</w:t>
            </w:r>
          </w:p>
        </w:tc>
        <w:tc>
          <w:tcPr>
            <w:tcW w:type="dxa" w:w="2160"/>
          </w:tcPr>
          <w:p/>
        </w:tc>
        <w:tc>
          <w:tcPr>
            <w:tcW w:type="dxa" w:w="2160"/>
          </w:tcPr>
          <w:p/>
        </w:tc>
        <w:tc>
          <w:tcPr>
            <w:tcW w:type="dxa" w:w="2160"/>
          </w:tcPr>
          <w:p/>
        </w:tc>
      </w:tr>
      <w:tr>
        <w:tc>
          <w:tcPr>
            <w:tcW w:type="dxa" w:w="720"/>
          </w:tcPr>
          <w:p>
            <w:r>
              <w:t>46</w:t>
            </w:r>
          </w:p>
        </w:tc>
        <w:tc>
          <w:tcPr>
            <w:tcW w:type="dxa" w:w="7200"/>
          </w:tcPr>
          <w:p>
            <w:r>
              <w:t>To assess the success (in terms of patient utilisation) of the MPN10-SAF symptom assessment questionnaire which is sent to each patient in the MPN clinic either every 6 months or just before each MPN clinic appointment (I'm not sure which!). Started Nov 2022.</w:t>
            </w:r>
          </w:p>
        </w:tc>
        <w:tc>
          <w:tcPr>
            <w:tcW w:type="dxa" w:w="2160"/>
          </w:tcPr>
          <w:p/>
        </w:tc>
        <w:tc>
          <w:tcPr>
            <w:tcW w:type="dxa" w:w="2160"/>
          </w:tcPr>
          <w:p/>
        </w:tc>
        <w:tc>
          <w:tcPr>
            <w:tcW w:type="dxa" w:w="2160"/>
          </w:tcPr>
          <w:p/>
        </w:tc>
      </w:tr>
      <w:tr>
        <w:tc>
          <w:tcPr>
            <w:tcW w:type="dxa" w:w="720"/>
          </w:tcPr>
          <w:p>
            <w:r>
              <w:t>47</w:t>
            </w:r>
          </w:p>
        </w:tc>
        <w:tc>
          <w:tcPr>
            <w:tcW w:type="dxa" w:w="7200"/>
          </w:tcPr>
          <w:p>
            <w:r>
              <w:t>We would like to determine if it is possible to collate information for histopathology reports in order to create non-small cell lung cancer dataset that can be interrogated to summarise the distribution of the case load at UCLH</w:t>
            </w:r>
          </w:p>
        </w:tc>
        <w:tc>
          <w:tcPr>
            <w:tcW w:type="dxa" w:w="2160"/>
          </w:tcPr>
          <w:p/>
        </w:tc>
        <w:tc>
          <w:tcPr>
            <w:tcW w:type="dxa" w:w="2160"/>
          </w:tcPr>
          <w:p/>
        </w:tc>
        <w:tc>
          <w:tcPr>
            <w:tcW w:type="dxa" w:w="2160"/>
          </w:tcPr>
          <w:p/>
        </w:tc>
      </w:tr>
      <w:tr>
        <w:tc>
          <w:tcPr>
            <w:tcW w:type="dxa" w:w="720"/>
          </w:tcPr>
          <w:p>
            <w:r>
              <w:t>48</w:t>
            </w:r>
          </w:p>
        </w:tc>
        <w:tc>
          <w:tcPr>
            <w:tcW w:type="dxa" w:w="7200"/>
          </w:tcPr>
          <w:p>
            <w:r>
              <w:t>We have a list of patients (270) who have early breast cancer who have undergone genomic testing with Oncotype Dx. The oncotype DX test gives the clinicians a score that ranges from 0-35, with a lower score indicating a lower benefit from receiving adjuvant chemotherapy. For these 270 patients, we are interested in collecting several data points as below: Chemotherapy received (Yes/No) Type of Chemotherapy administered Endocrine Therapy (ET) received (Yes/No) - eg is letrozole, anastrozole, exemestane or tamoxifen prescribed Ovarian Function Suppression (OFS) received (Yes/No) - eg is goserelin or leuprorelin prescribed Bisphosphonates administered (Yes/No) - eg is zoledronic acid therapy plan prescribed Node-positive status (Yes/No), specifically from summer 2024 onwards TNM staging (Tumour, Node, Metastasis) - Tumour grade - ranges from 1-3 Tumour histology - most commonly invasive ductal carcinoma, followed by invasive lobular carcinoma ER and PR status - scored out of /8</w:t>
            </w:r>
          </w:p>
        </w:tc>
        <w:tc>
          <w:tcPr>
            <w:tcW w:type="dxa" w:w="2160"/>
          </w:tcPr>
          <w:p/>
        </w:tc>
        <w:tc>
          <w:tcPr>
            <w:tcW w:type="dxa" w:w="2160"/>
          </w:tcPr>
          <w:p/>
        </w:tc>
        <w:tc>
          <w:tcPr>
            <w:tcW w:type="dxa" w:w="2160"/>
          </w:tcPr>
          <w:p/>
        </w:tc>
      </w:tr>
      <w:tr>
        <w:tc>
          <w:tcPr>
            <w:tcW w:type="dxa" w:w="720"/>
          </w:tcPr>
          <w:p>
            <w:r>
              <w:t>49</w:t>
            </w:r>
          </w:p>
        </w:tc>
        <w:tc>
          <w:tcPr>
            <w:tcW w:type="dxa" w:w="7200"/>
          </w:tcPr>
          <w:p>
            <w:r>
              <w:t>We would like to look at how Eosinophilia patients have been investigated at UCLH since 2019. The data will help answer this question.</w:t>
            </w:r>
          </w:p>
        </w:tc>
        <w:tc>
          <w:tcPr>
            <w:tcW w:type="dxa" w:w="2160"/>
          </w:tcPr>
          <w:p/>
        </w:tc>
        <w:tc>
          <w:tcPr>
            <w:tcW w:type="dxa" w:w="2160"/>
          </w:tcPr>
          <w:p/>
        </w:tc>
        <w:tc>
          <w:tcPr>
            <w:tcW w:type="dxa" w:w="2160"/>
          </w:tcPr>
          <w:p/>
        </w:tc>
      </w:tr>
      <w:tr>
        <w:tc>
          <w:tcPr>
            <w:tcW w:type="dxa" w:w="720"/>
          </w:tcPr>
          <w:p>
            <w:r>
              <w:t>50</w:t>
            </w:r>
          </w:p>
        </w:tc>
        <w:tc>
          <w:tcPr>
            <w:tcW w:type="dxa" w:w="7200"/>
          </w:tcPr>
          <w:p>
            <w:r>
              <w:t>A New ward round proforma was introduced in feb 2025 for the haematology team, we wanted to know if: The proforma is being used daily How is the proforma being used Is the problem list populated</w:t>
            </w:r>
          </w:p>
        </w:tc>
        <w:tc>
          <w:tcPr>
            <w:tcW w:type="dxa" w:w="2160"/>
          </w:tcPr>
          <w:p/>
        </w:tc>
        <w:tc>
          <w:tcPr>
            <w:tcW w:type="dxa" w:w="2160"/>
          </w:tcPr>
          <w:p/>
        </w:tc>
        <w:tc>
          <w:tcPr>
            <w:tcW w:type="dxa" w:w="2160"/>
          </w:tcPr>
          <w:p/>
        </w:tc>
      </w:tr>
      <w:tr>
        <w:tc>
          <w:tcPr>
            <w:tcW w:type="dxa" w:w="720"/>
          </w:tcPr>
          <w:p>
            <w:r>
              <w:t>52</w:t>
            </w:r>
          </w:p>
        </w:tc>
        <w:tc>
          <w:tcPr>
            <w:tcW w:type="dxa" w:w="7200"/>
          </w:tcPr>
          <w:p>
            <w:r>
              <w:t>We have been asked to contribute to a multi-centre audit of outcomes of patients with mantle cell lymphoma treated with BTKi who have developed CNS involvement. We would therefore like a list of MRNs/patient names of all patients with a SACT linked to a "mantle cell lymphoma" ICD diagnosis treated at UCLH. From this information, we will perform brief manual chart review to identify patients meeting study inclusion (we expect this to be &lt;1% of total mantle cell cases &amp; easier to identify by quick manual chart review rather than SQL code as many patients will arrive at UCLH at relapse/refractory timepoints, so a detailed history of therapy may not be readily available in EPIC SACT data).</w:t>
            </w:r>
          </w:p>
        </w:tc>
        <w:tc>
          <w:tcPr>
            <w:tcW w:type="dxa" w:w="2160"/>
          </w:tcPr>
          <w:p/>
        </w:tc>
        <w:tc>
          <w:tcPr>
            <w:tcW w:type="dxa" w:w="2160"/>
          </w:tcPr>
          <w:p/>
        </w:tc>
        <w:tc>
          <w:tcPr>
            <w:tcW w:type="dxa" w:w="2160"/>
          </w:tcPr>
          <w:p/>
        </w:tc>
      </w:tr>
      <w:tr>
        <w:tc>
          <w:tcPr>
            <w:tcW w:type="dxa" w:w="720"/>
          </w:tcPr>
          <w:p>
            <w:r>
              <w:t>53</w:t>
            </w:r>
          </w:p>
        </w:tc>
        <w:tc>
          <w:tcPr>
            <w:tcW w:type="dxa" w:w="7200"/>
          </w:tcPr>
          <w:p>
            <w:r>
              <w:t>Nutrition status in autologous stem cell transplant. Aim: To evaluate the impact of different conditioning regimens on the nutritional status of patients undergoing autologous stem cell transplantation, and to determine whether prophylactic nasogastric tube feeding is beneficial in specific conditioning protocols. 1) Assess nutritional decline associated with different regimens. 2) Compare outcomes with and without prophylactic NGT feeding. 3) Identify specific conditioning regimens where NGT might be particularly useful.</w:t>
            </w:r>
          </w:p>
        </w:tc>
        <w:tc>
          <w:tcPr>
            <w:tcW w:type="dxa" w:w="2160"/>
          </w:tcPr>
          <w:p/>
        </w:tc>
        <w:tc>
          <w:tcPr>
            <w:tcW w:type="dxa" w:w="2160"/>
          </w:tcPr>
          <w:p/>
        </w:tc>
        <w:tc>
          <w:tcPr>
            <w:tcW w:type="dxa" w:w="2160"/>
          </w:tcPr>
          <w:p/>
        </w:tc>
      </w:tr>
      <w:tr>
        <w:tc>
          <w:tcPr>
            <w:tcW w:type="dxa" w:w="720"/>
          </w:tcPr>
          <w:p>
            <w:r>
              <w:t>54</w:t>
            </w:r>
          </w:p>
        </w:tc>
        <w:tc>
          <w:tcPr>
            <w:tcW w:type="dxa" w:w="7200"/>
          </w:tcPr>
          <w:p>
            <w:r>
              <w:t>To examine the posaconazole levels of patient receiving reduced-dose venetoclax as part of the venetoclaz/ azacitidine regimen, in order to identify whether there is a correlation between sub-therapeutic posaconazole levels and treatment failure.</w:t>
            </w:r>
          </w:p>
        </w:tc>
        <w:tc>
          <w:tcPr>
            <w:tcW w:type="dxa" w:w="2160"/>
          </w:tcPr>
          <w:p/>
        </w:tc>
        <w:tc>
          <w:tcPr>
            <w:tcW w:type="dxa" w:w="2160"/>
          </w:tcPr>
          <w:p/>
        </w:tc>
        <w:tc>
          <w:tcPr>
            <w:tcW w:type="dxa" w:w="2160"/>
          </w:tcPr>
          <w:p/>
        </w:tc>
      </w:tr>
      <w:tr>
        <w:tc>
          <w:tcPr>
            <w:tcW w:type="dxa" w:w="720"/>
          </w:tcPr>
          <w:p>
            <w:r>
              <w:t>56</w:t>
            </w:r>
          </w:p>
        </w:tc>
        <w:tc>
          <w:tcPr>
            <w:tcW w:type="dxa" w:w="7200"/>
          </w:tcPr>
          <w:p>
            <w:r>
              <w:t>Looking at two audits. The first is our compliance with national operation report standards for lap appendixes. The second is looking at our use of antibiotics postoperatively for lap appendixes to see if we are being judicious with out antibiotic use</w:t>
            </w:r>
          </w:p>
        </w:tc>
        <w:tc>
          <w:tcPr>
            <w:tcW w:type="dxa" w:w="2160"/>
          </w:tcPr>
          <w:p/>
        </w:tc>
        <w:tc>
          <w:tcPr>
            <w:tcW w:type="dxa" w:w="2160"/>
          </w:tcPr>
          <w:p/>
        </w:tc>
        <w:tc>
          <w:tcPr>
            <w:tcW w:type="dxa" w:w="2160"/>
          </w:tcPr>
          <w:p/>
        </w:tc>
      </w:tr>
      <w:tr>
        <w:tc>
          <w:tcPr>
            <w:tcW w:type="dxa" w:w="720"/>
          </w:tcPr>
          <w:p>
            <w:r>
              <w:t>57</w:t>
            </w:r>
          </w:p>
        </w:tc>
        <w:tc>
          <w:tcPr>
            <w:tcW w:type="dxa" w:w="7200"/>
          </w:tcPr>
          <w:p>
            <w:r>
              <w:t>We want to assess our treatment of acute diverticulitis against national guidelines</w:t>
            </w:r>
          </w:p>
        </w:tc>
        <w:tc>
          <w:tcPr>
            <w:tcW w:type="dxa" w:w="2160"/>
          </w:tcPr>
          <w:p/>
        </w:tc>
        <w:tc>
          <w:tcPr>
            <w:tcW w:type="dxa" w:w="2160"/>
          </w:tcPr>
          <w:p/>
        </w:tc>
        <w:tc>
          <w:tcPr>
            <w:tcW w:type="dxa" w:w="2160"/>
          </w:tcPr>
          <w:p/>
        </w:tc>
      </w:tr>
      <w:tr>
        <w:tc>
          <w:tcPr>
            <w:tcW w:type="dxa" w:w="720"/>
          </w:tcPr>
          <w:p>
            <w:r>
              <w:t>58</w:t>
            </w:r>
          </w:p>
        </w:tc>
        <w:tc>
          <w:tcPr>
            <w:tcW w:type="dxa" w:w="7200"/>
          </w:tcPr>
          <w:p>
            <w:r>
              <w:t>Evaluation of treatment response, PFS and OS outcomes in bile duct cancer or cholangiocarcinoma patients receiving immune checkpoint inhibitor (with or without any additional systemic agents).</w:t>
            </w:r>
          </w:p>
        </w:tc>
        <w:tc>
          <w:tcPr>
            <w:tcW w:type="dxa" w:w="2160"/>
          </w:tcPr>
          <w:p/>
        </w:tc>
        <w:tc>
          <w:tcPr>
            <w:tcW w:type="dxa" w:w="2160"/>
          </w:tcPr>
          <w:p/>
        </w:tc>
        <w:tc>
          <w:tcPr>
            <w:tcW w:type="dxa" w:w="2160"/>
          </w:tcPr>
          <w:p/>
        </w:tc>
      </w:tr>
      <w:tr>
        <w:tc>
          <w:tcPr>
            <w:tcW w:type="dxa" w:w="720"/>
          </w:tcPr>
          <w:p>
            <w:r>
              <w:t>59</w:t>
            </w:r>
          </w:p>
        </w:tc>
        <w:tc>
          <w:tcPr>
            <w:tcW w:type="dxa" w:w="7200"/>
          </w:tcPr>
          <w:p>
            <w:r>
              <w:t>HaemSTAR national project. https://www.haemstar.org/atomm ATOMM IS A NATIONAL, RETROSPECTIVE AUDIT OF THROMBOPROPHYLAXIS PRACTICE IN NEWLY DIAGNOSED MYELOMA IN THE UK. IT WILL HELP INFORM THE EVIDENCE-BASED SELECTION OF THROMBOPROPHYLACTIC AGENTS FOR PATIENTS RECEIVING FIRST LINE MYELOMA TREATMENT. Cambridge University Hospitals is the lead site, and the project has been developed in conjunction with myeloma patients. It is supported by HaemSTAR with project management by the Birmingham Centre for Observational and Prospective Studies (BiCOPS). The project is funded by Myeloma UK. Aims to answer the following questions: What are the thromboprophylaxis strategies used for myeloma patients on 1st line chemo What are the VTE rates What are the bleeding rates How do rates compare between the different strategies</w:t>
            </w:r>
          </w:p>
        </w:tc>
        <w:tc>
          <w:tcPr>
            <w:tcW w:type="dxa" w:w="2160"/>
          </w:tcPr>
          <w:p/>
        </w:tc>
        <w:tc>
          <w:tcPr>
            <w:tcW w:type="dxa" w:w="2160"/>
          </w:tcPr>
          <w:p/>
        </w:tc>
        <w:tc>
          <w:tcPr>
            <w:tcW w:type="dxa" w:w="2160"/>
          </w:tcPr>
          <w:p/>
        </w:tc>
      </w:tr>
      <w:tr>
        <w:tc>
          <w:tcPr>
            <w:tcW w:type="dxa" w:w="720"/>
          </w:tcPr>
          <w:p>
            <w:r>
              <w:t>60</w:t>
            </w:r>
          </w:p>
        </w:tc>
        <w:tc>
          <w:tcPr>
            <w:tcW w:type="dxa" w:w="7200"/>
          </w:tcPr>
          <w:p>
            <w:r>
              <w:t>Multi-cohort study to assess features and characteristics of MPN/MDS overlap and response to treatment</w:t>
            </w:r>
          </w:p>
        </w:tc>
        <w:tc>
          <w:tcPr>
            <w:tcW w:type="dxa" w:w="2160"/>
          </w:tcPr>
          <w:p/>
        </w:tc>
        <w:tc>
          <w:tcPr>
            <w:tcW w:type="dxa" w:w="2160"/>
          </w:tcPr>
          <w:p/>
        </w:tc>
        <w:tc>
          <w:tcPr>
            <w:tcW w:type="dxa" w:w="2160"/>
          </w:tcPr>
          <w:p/>
        </w:tc>
      </w:tr>
      <w:tr>
        <w:tc>
          <w:tcPr>
            <w:tcW w:type="dxa" w:w="720"/>
          </w:tcPr>
          <w:p>
            <w:r>
              <w:t>61</w:t>
            </w:r>
          </w:p>
        </w:tc>
        <w:tc>
          <w:tcPr>
            <w:tcW w:type="dxa" w:w="7200"/>
          </w:tcPr>
          <w:p>
            <w:r>
              <w:t>please can I ask for the MRNs of the sickle cell patients who currently have the fentanyl PCA on their treatment plan ( UCP) when they are admitted with a crisis</w:t>
            </w:r>
          </w:p>
        </w:tc>
        <w:tc>
          <w:tcPr>
            <w:tcW w:type="dxa" w:w="2160"/>
          </w:tcPr>
          <w:p/>
        </w:tc>
        <w:tc>
          <w:tcPr>
            <w:tcW w:type="dxa" w:w="2160"/>
          </w:tcPr>
          <w:p/>
        </w:tc>
        <w:tc>
          <w:tcPr>
            <w:tcW w:type="dxa" w:w="2160"/>
          </w:tcPr>
          <w:p/>
        </w:tc>
      </w:tr>
      <w:tr>
        <w:tc>
          <w:tcPr>
            <w:tcW w:type="dxa" w:w="720"/>
          </w:tcPr>
          <w:p>
            <w:r>
              <w:t>62</w:t>
            </w:r>
          </w:p>
        </w:tc>
        <w:tc>
          <w:tcPr>
            <w:tcW w:type="dxa" w:w="7200"/>
          </w:tcPr>
          <w:p>
            <w:r>
              <w:t>I plan to conduct a retrospective snapshot analysis of patients diagnosed with pancreatic ductal adenocarcinoma (PDAC) across UCLH and the Royal Free. My particular interest is in evaluating lead-time and length-time dynamics in real-world clinical pathways. I want to explore the feasibility of accessing diagnostic timeline cancer pathway data for patients diagnosed with pancreatic ductal adenocarcinoma (PDAC) at UCLH and the Royal Free. Specifically, I am interested in mapping key temporal variables from the first presentation through diagnosis, staging, and treatment. If existing datasets, such as the MDT, landmarks on the patients 31-/62-day pathway tracker etc.</w:t>
            </w:r>
          </w:p>
        </w:tc>
        <w:tc>
          <w:tcPr>
            <w:tcW w:type="dxa" w:w="2160"/>
          </w:tcPr>
          <w:p/>
        </w:tc>
        <w:tc>
          <w:tcPr>
            <w:tcW w:type="dxa" w:w="2160"/>
          </w:tcPr>
          <w:p/>
        </w:tc>
        <w:tc>
          <w:tcPr>
            <w:tcW w:type="dxa" w:w="2160"/>
          </w:tcPr>
          <w:p/>
        </w:tc>
      </w:tr>
      <w:tr>
        <w:tc>
          <w:tcPr>
            <w:tcW w:type="dxa" w:w="720"/>
          </w:tcPr>
          <w:p>
            <w:r>
              <w:t>63</w:t>
            </w:r>
          </w:p>
        </w:tc>
        <w:tc>
          <w:tcPr>
            <w:tcW w:type="dxa" w:w="7200"/>
          </w:tcPr>
          <w:p>
            <w:r>
              <w:t>We would like to review the number of cases discussed in the following cancer MDTs on an annual basis for the last 5 years. We suspect the number of cases has increased and we would like to apply for a grant that will fund software development to address this issue. The cancer MDTs to be reviewed are: Lung Breast Prostate Lymphoma Bowel cancer Melanoma</w:t>
            </w:r>
          </w:p>
        </w:tc>
        <w:tc>
          <w:tcPr>
            <w:tcW w:type="dxa" w:w="2160"/>
          </w:tcPr>
          <w:p/>
        </w:tc>
        <w:tc>
          <w:tcPr>
            <w:tcW w:type="dxa" w:w="2160"/>
          </w:tcPr>
          <w:p/>
        </w:tc>
        <w:tc>
          <w:tcPr>
            <w:tcW w:type="dxa" w:w="2160"/>
          </w:tcPr>
          <w:p/>
        </w:tc>
      </w:tr>
      <w:tr>
        <w:tc>
          <w:tcPr>
            <w:tcW w:type="dxa" w:w="720"/>
          </w:tcPr>
          <w:p>
            <w:r>
              <w:t>65</w:t>
            </w:r>
          </w:p>
        </w:tc>
        <w:tc>
          <w:tcPr>
            <w:tcW w:type="dxa" w:w="7200"/>
          </w:tcPr>
          <w:p>
            <w:r>
              <w:t>We are looking for internal funding at UCLH for sirolimus for the treatment of EHE (Epithelioid hemangioendothelioma). To support this application: I wish to get a list of patients that have been treated at UCLH over the last 10 years. Treatment with sirolimus but also any other chemotherapy (doxorubicin/gemcitabine/paclitaxel)</w:t>
            </w:r>
          </w:p>
        </w:tc>
        <w:tc>
          <w:tcPr>
            <w:tcW w:type="dxa" w:w="2160"/>
          </w:tcPr>
          <w:p/>
        </w:tc>
        <w:tc>
          <w:tcPr>
            <w:tcW w:type="dxa" w:w="2160"/>
          </w:tcPr>
          <w:p/>
        </w:tc>
        <w:tc>
          <w:tcPr>
            <w:tcW w:type="dxa" w:w="2160"/>
          </w:tcPr>
          <w:p/>
        </w:tc>
      </w:tr>
      <w:tr>
        <w:tc>
          <w:tcPr>
            <w:tcW w:type="dxa" w:w="720"/>
          </w:tcPr>
          <w:p>
            <w:r>
              <w:t>66</w:t>
            </w:r>
          </w:p>
        </w:tc>
        <w:tc>
          <w:tcPr>
            <w:tcW w:type="dxa" w:w="7200"/>
          </w:tcPr>
          <w:p>
            <w:r>
              <w:t>-Baseline usage of iron infusion in oncology and patients with Hb&lt;12 and Hb&lt;8 broken down by C1 D1 SACT, radiotherapy, surgery, specialties in the last 12 months. Also add-in were patient's haematinics done and the results. -Baseline red-blood cell transfusion in oncology and patients with Hb&lt;12 and Hb&lt;8 broken broken down by C1 D1 SACT, radiotherapy, surgery, specialties in the last 12 months. Also add-in were patient's haematinics done and the results. -Re-audit in 6, 12 months time. To assist in implementation and following-up on trust iron stock.</w:t>
            </w:r>
          </w:p>
        </w:tc>
        <w:tc>
          <w:tcPr>
            <w:tcW w:type="dxa" w:w="2160"/>
          </w:tcPr>
          <w:p/>
        </w:tc>
        <w:tc>
          <w:tcPr>
            <w:tcW w:type="dxa" w:w="2160"/>
          </w:tcPr>
          <w:p/>
        </w:tc>
        <w:tc>
          <w:tcPr>
            <w:tcW w:type="dxa" w:w="2160"/>
          </w:tcPr>
          <w:p/>
        </w:tc>
      </w:tr>
      <w:tr>
        <w:tc>
          <w:tcPr>
            <w:tcW w:type="dxa" w:w="720"/>
          </w:tcPr>
          <w:p>
            <w:r>
              <w:t>67</w:t>
            </w:r>
          </w:p>
        </w:tc>
        <w:tc>
          <w:tcPr>
            <w:tcW w:type="dxa" w:w="7200"/>
          </w:tcPr>
          <w:p>
            <w:r>
              <w:t>Primary Thromboprophylaxis for Sarcoma patients. Aim is to evaluate if there is evidence to support routine prescribing of thromboprophylaxis for sarcoma patients given observed VTE incidences. First to retrospective audit the incident rate in our UCLH population and then prospectively audit risk stratification and interventions.</w:t>
            </w:r>
          </w:p>
        </w:tc>
        <w:tc>
          <w:tcPr>
            <w:tcW w:type="dxa" w:w="2160"/>
          </w:tcPr>
          <w:p/>
        </w:tc>
        <w:tc>
          <w:tcPr>
            <w:tcW w:type="dxa" w:w="2160"/>
          </w:tcPr>
          <w:p/>
        </w:tc>
        <w:tc>
          <w:tcPr>
            <w:tcW w:type="dxa" w:w="2160"/>
          </w:tcPr>
          <w:p/>
        </w:tc>
      </w:tr>
      <w:tr>
        <w:tc>
          <w:tcPr>
            <w:tcW w:type="dxa" w:w="720"/>
          </w:tcPr>
          <w:p>
            <w:r>
              <w:t>68</w:t>
            </w:r>
          </w:p>
        </w:tc>
        <w:tc>
          <w:tcPr>
            <w:tcW w:type="dxa" w:w="7200"/>
          </w:tcPr>
          <w:p>
            <w:r>
              <w:t>Project to look at patients treated with oesophageal cancer treated with radical intent RT. To identify prognostic indicators and characteristics that determine treatment tolerance and outcomes.</w:t>
            </w:r>
          </w:p>
        </w:tc>
        <w:tc>
          <w:tcPr>
            <w:tcW w:type="dxa" w:w="2160"/>
          </w:tcPr>
          <w:p/>
        </w:tc>
        <w:tc>
          <w:tcPr>
            <w:tcW w:type="dxa" w:w="2160"/>
          </w:tcPr>
          <w:p/>
        </w:tc>
        <w:tc>
          <w:tcPr>
            <w:tcW w:type="dxa" w:w="2160"/>
          </w:tcPr>
          <w:p/>
        </w:tc>
      </w:tr>
      <w:tr>
        <w:tc>
          <w:tcPr>
            <w:tcW w:type="dxa" w:w="720"/>
          </w:tcPr>
          <w:p>
            <w:r>
              <w:t>69</w:t>
            </w:r>
          </w:p>
        </w:tc>
        <w:tc>
          <w:tcPr>
            <w:tcW w:type="dxa" w:w="7200"/>
          </w:tcPr>
          <w:p>
            <w:r>
              <w:t>This is a re-audit for ASCT outcomes for lymphoma patients at UCLH - initial audit was done in 2019 and covered patients between Jan 2017 and December 2018. Aims/questions to answer: 1 - what is the mortality rate (and differentiate NRM from TRM) for ASCT in lymphoma pts and split this by disease sub-type and the previously identified risk factor of age and GFR? Any change in the last 5 years compared to previous audit? 2 - Track what is happening to the number of ASCTs we are doing for the different lymphoma indications. Has there been a change in practice since the previous audit? but also to track what is happening to the number of transplants for different indications as we get access to CAR / bispecific / other treatment options. The larger piece of work would be to combine the data previously collected with the new data from this audit, focusing on TRM and identifying any other risk factors, expanding to risk of needing ICU, and trying to explore the nutrition aspect</w:t>
            </w:r>
          </w:p>
        </w:tc>
        <w:tc>
          <w:tcPr>
            <w:tcW w:type="dxa" w:w="2160"/>
          </w:tcPr>
          <w:p/>
        </w:tc>
        <w:tc>
          <w:tcPr>
            <w:tcW w:type="dxa" w:w="2160"/>
          </w:tcPr>
          <w:p/>
        </w:tc>
        <w:tc>
          <w:tcPr>
            <w:tcW w:type="dxa" w:w="2160"/>
          </w:tcPr>
          <w:p/>
        </w:tc>
      </w:tr>
      <w:tr>
        <w:tc>
          <w:tcPr>
            <w:tcW w:type="dxa" w:w="720"/>
          </w:tcPr>
          <w:p>
            <w:r>
              <w:t>70</w:t>
            </w:r>
          </w:p>
        </w:tc>
        <w:tc>
          <w:tcPr>
            <w:tcW w:type="dxa" w:w="7200"/>
          </w:tcPr>
          <w:p>
            <w:r>
              <w:t>The UCLH CAR T PCP prophylaxis guideline was updated in May 2024 with the following changes: Removed azithromycin as we had seen azithro failure in some patients Added atovaquone for toxo pos patients who cannot have co-trimox (this medication is v expensive and need to keep use to a minimum) Previously we have pentamidine pre CAR T, but we changed this to co-trimox loading Relaxed blood count requirements for starting co-trimox post CAR T Since the new guideline was implemented 32 patients have been treated. The purpose of the project would be to: Assess compliance with guideline – look at PCP prophylaxis at various time points pre and post CAR T Look at blood counts 1, 3, 6, 9, 12 months post CAR T to see if anybody discontinued co-trimox due to low blood counts and how many needing GCSF Would then give us confidence to keep FBC parameters in the guideline, could present to team and do education to improve compliance if people seem to be hesitant about giving co-trimox when counts are a bit low.</w:t>
            </w:r>
          </w:p>
        </w:tc>
        <w:tc>
          <w:tcPr>
            <w:tcW w:type="dxa" w:w="2160"/>
          </w:tcPr>
          <w:p/>
        </w:tc>
        <w:tc>
          <w:tcPr>
            <w:tcW w:type="dxa" w:w="2160"/>
          </w:tcPr>
          <w:p/>
        </w:tc>
        <w:tc>
          <w:tcPr>
            <w:tcW w:type="dxa" w:w="2160"/>
          </w:tcPr>
          <w:p/>
        </w:tc>
      </w:tr>
      <w:tr>
        <w:tc>
          <w:tcPr>
            <w:tcW w:type="dxa" w:w="720"/>
          </w:tcPr>
          <w:p>
            <w:r>
              <w:t>71</w:t>
            </w:r>
          </w:p>
        </w:tc>
        <w:tc>
          <w:tcPr>
            <w:tcW w:type="dxa" w:w="7200"/>
          </w:tcPr>
          <w:p>
            <w:r>
              <w:t>The project aim is to assess clinical responses and overall survival of patients with transformed low grade lymphoma, predominantly follicular lymphoma.</w:t>
            </w:r>
          </w:p>
        </w:tc>
        <w:tc>
          <w:tcPr>
            <w:tcW w:type="dxa" w:w="2160"/>
          </w:tcPr>
          <w:p/>
        </w:tc>
        <w:tc>
          <w:tcPr>
            <w:tcW w:type="dxa" w:w="2160"/>
          </w:tcPr>
          <w:p/>
        </w:tc>
        <w:tc>
          <w:tcPr>
            <w:tcW w:type="dxa" w:w="2160"/>
          </w:tcPr>
          <w:p/>
        </w:tc>
      </w:tr>
      <w:tr>
        <w:tc>
          <w:tcPr>
            <w:tcW w:type="dxa" w:w="720"/>
          </w:tcPr>
          <w:p>
            <w:r>
              <w:t>72</w:t>
            </w:r>
          </w:p>
        </w:tc>
        <w:tc>
          <w:tcPr>
            <w:tcW w:type="dxa" w:w="7200"/>
          </w:tcPr>
          <w:p>
            <w:r>
              <w:t>We would like to know the following pls 1. number of endometrial cancer (EC) patients treated at UCLH in 2024 2. number of EC patients who had immunotherapy (pembrolizumab or dostarlimab) 3. Number of EC patients who had chemotherapy</w:t>
            </w:r>
          </w:p>
        </w:tc>
        <w:tc>
          <w:tcPr>
            <w:tcW w:type="dxa" w:w="2160"/>
          </w:tcPr>
          <w:p/>
        </w:tc>
        <w:tc>
          <w:tcPr>
            <w:tcW w:type="dxa" w:w="2160"/>
          </w:tcPr>
          <w:p/>
        </w:tc>
        <w:tc>
          <w:tcPr>
            <w:tcW w:type="dxa" w:w="2160"/>
          </w:tcPr>
          <w:p/>
        </w:tc>
      </w:tr>
      <w:tr>
        <w:tc>
          <w:tcPr>
            <w:tcW w:type="dxa" w:w="720"/>
          </w:tcPr>
          <w:p>
            <w:r>
              <w:t>73</w:t>
            </w:r>
          </w:p>
        </w:tc>
        <w:tc>
          <w:tcPr>
            <w:tcW w:type="dxa" w:w="7200"/>
          </w:tcPr>
          <w:p>
            <w:r>
              <w:t>Over the last 10 years we suspect that the number of patients receiving active treatment for gynaecological malignancies has increased, as there are now new treatments available, and we are also treating recurrence more aggressively with new therapies. However we need hard data to support this, so that we can better understand the workload. Having more patients actively on treatment, results in a higher workload for the CNS team, and the number of gynae oncology CNS team members has remained static over this period. We believe that more gynae oncology CNS team members are needed and would like to prepare a business case for an additional CNS. We would therefore like to know how many patients are being treated for endometrial, ovarian, cervical, vulval cancer and vaginal cancer. The numbers undergoing chemotherapy, immunotherapy eg bevacizumab, pembrolizumab and PARP inhibitors (eg olaparib, rucaparib, niraparib) should be available from identifying the number with active oncology treatment plans in 2019, and annually thereafter until 2024.</w:t>
            </w:r>
          </w:p>
        </w:tc>
        <w:tc>
          <w:tcPr>
            <w:tcW w:type="dxa" w:w="2160"/>
          </w:tcPr>
          <w:p/>
        </w:tc>
        <w:tc>
          <w:tcPr>
            <w:tcW w:type="dxa" w:w="2160"/>
          </w:tcPr>
          <w:p/>
        </w:tc>
        <w:tc>
          <w:tcPr>
            <w:tcW w:type="dxa" w:w="2160"/>
          </w:tcPr>
          <w:p/>
        </w:tc>
      </w:tr>
      <w:tr>
        <w:tc>
          <w:tcPr>
            <w:tcW w:type="dxa" w:w="720"/>
          </w:tcPr>
          <w:p>
            <w:r>
              <w:t>74</w:t>
            </w:r>
          </w:p>
        </w:tc>
        <w:tc>
          <w:tcPr>
            <w:tcW w:type="dxa" w:w="7200"/>
          </w:tcPr>
          <w:p>
            <w:r>
              <w:t>Patterns of failure after radical prostatectomy for localised prostate cancer is an area of clinical interest for the UCLH uro-oncology departement and informs the rapidly-evolving area of the optimal management of local, regional and systemic recurrence. The proposed project is likely to have implications for evidence-based targeted resource use of PSMA PET CT/MR scanning in a resource-constrained system.</w:t>
            </w:r>
          </w:p>
        </w:tc>
        <w:tc>
          <w:tcPr>
            <w:tcW w:type="dxa" w:w="2160"/>
          </w:tcPr>
          <w:p/>
        </w:tc>
        <w:tc>
          <w:tcPr>
            <w:tcW w:type="dxa" w:w="2160"/>
          </w:tcPr>
          <w:p/>
        </w:tc>
        <w:tc>
          <w:tcPr>
            <w:tcW w:type="dxa" w:w="2160"/>
          </w:tcPr>
          <w:p/>
        </w:tc>
      </w:tr>
      <w:tr>
        <w:tc>
          <w:tcPr>
            <w:tcW w:type="dxa" w:w="720"/>
          </w:tcPr>
          <w:p>
            <w:r>
              <w:t>75</w:t>
            </w:r>
          </w:p>
        </w:tc>
        <w:tc>
          <w:tcPr>
            <w:tcW w:type="dxa" w:w="7200"/>
          </w:tcPr>
          <w:p>
            <w:r>
              <w:t>The</w:t>
            </w:r>
          </w:p>
        </w:tc>
        <w:tc>
          <w:tcPr>
            <w:tcW w:type="dxa" w:w="2160"/>
          </w:tcPr>
          <w:p/>
        </w:tc>
        <w:tc>
          <w:tcPr>
            <w:tcW w:type="dxa" w:w="2160"/>
          </w:tcPr>
          <w:p/>
        </w:tc>
        <w:tc>
          <w:tcPr>
            <w:tcW w:type="dxa" w:w="2160"/>
          </w:tcPr>
          <w:p/>
        </w:tc>
      </w:tr>
      <w:tr>
        <w:tc>
          <w:tcPr>
            <w:tcW w:type="dxa" w:w="720"/>
          </w:tcPr>
          <w:p>
            <w:r>
              <w:t>76</w:t>
            </w:r>
          </w:p>
        </w:tc>
        <w:tc>
          <w:tcPr>
            <w:tcW w:type="dxa" w:w="7200"/>
          </w:tcPr>
          <w:p>
            <w:r>
              <w:t>The aim is the review the follow up and management of patients with MPL mutations in the MPN clinic in the last 5 years</w:t>
            </w:r>
          </w:p>
        </w:tc>
        <w:tc>
          <w:tcPr>
            <w:tcW w:type="dxa" w:w="2160"/>
          </w:tcPr>
          <w:p/>
        </w:tc>
        <w:tc>
          <w:tcPr>
            <w:tcW w:type="dxa" w:w="2160"/>
          </w:tcPr>
          <w:p/>
        </w:tc>
        <w:tc>
          <w:tcPr>
            <w:tcW w:type="dxa" w:w="2160"/>
          </w:tcPr>
          <w:p/>
        </w:tc>
      </w:tr>
      <w:tr>
        <w:tc>
          <w:tcPr>
            <w:tcW w:type="dxa" w:w="720"/>
          </w:tcPr>
          <w:p>
            <w:r>
              <w:t>77</w:t>
            </w:r>
          </w:p>
        </w:tc>
        <w:tc>
          <w:tcPr>
            <w:tcW w:type="dxa" w:w="7200"/>
          </w:tcPr>
          <w:p>
            <w:r>
              <w:t>Project Title: Monitoring and Management of Cardiovascular Complications in Patients Receiving Tyrosine Kinase Inhibitors for Lung Malignancy Aim: Implement a cardiovascular risk stratification and monitoring protocol for all patients starting TKIs according to European Society of Cardiology and ESMO guidance Aim for greater than 80% compliance with baseline and ongoing cardiovascular monitoring within 6 months. Background: Tyrosine kinase inhibitors (TKIs), such as EGFR and ALK inhibitors, have significantly improved outcomes in metastatic lung cancer. However, their use is associated with cardiovascular complications such as QTc prolongation, cardiac failure, hypertension, and thromboembolic events. These adverse effects can result in drug interruption or discontinuation thus impacting cancer care and outcomes. Currently, there is no local trust protocol or guidance to standardise and optimise cardiovascular care in patients on TKIs. Specific: Implement a cardiovascular risk stratification and monitoring protocol for all patients starting TKIs Measurable: Achieve 80% compliance with baseline and ongoing cardiovascular monitoring within 6 months. Achievable: Use to European Society of Cardiology and ESMO guidance Relevant: Aligns with trust goals to improve patient safety and treatment continuity. Time-bound: Evaluate outcomes within 6 months of implementation. Data collection - Retrospective review chart of patients with lung cancer on TKIs over the past 12 months to assess baseline cardiovascular risk assessment and investigations, incidence of cardiovascular complications and treatment interruptions and adherence to existing guidance on ESC Implementation - Create cardiovascular risk stratification and monitoring protocol for all patients starting TKIs according to European Society of Cardiology and ESMO guidance Measures Adherence to cardiovascular risk stratification and monitoring/referral protocol - % of patients with documented baseline cardiovascular evaluation - % of patients with scheduled follow-up investigations as per protocol - % of patients referred to cardio-oncology Rate of cardiovascular complications Rate of treatment interruptions/cessation Predicted Outcomes - Earlier identification of cardiovascular risk - Reduction in cardiovascular complications - Fewer treatment interruptions Balancing measures - Increase clinic burden and staff workload (Bloods, ECGs) - Patient burden - Health resource and cost Stakeholders - Medical Oncologists - Cardio-oncologist - Pharmacists - CNS - Patients and caregivers</w:t>
            </w:r>
          </w:p>
        </w:tc>
        <w:tc>
          <w:tcPr>
            <w:tcW w:type="dxa" w:w="2160"/>
          </w:tcPr>
          <w:p/>
        </w:tc>
        <w:tc>
          <w:tcPr>
            <w:tcW w:type="dxa" w:w="2160"/>
          </w:tcPr>
          <w:p/>
        </w:tc>
        <w:tc>
          <w:tcPr>
            <w:tcW w:type="dxa" w:w="2160"/>
          </w:tcPr>
          <w:p/>
        </w:tc>
      </w:tr>
      <w:tr>
        <w:tc>
          <w:tcPr>
            <w:tcW w:type="dxa" w:w="720"/>
          </w:tcPr>
          <w:p>
            <w:r>
              <w:t>78</w:t>
            </w:r>
          </w:p>
        </w:tc>
        <w:tc>
          <w:tcPr>
            <w:tcW w:type="dxa" w:w="7200"/>
          </w:tcPr>
          <w:p>
            <w:r>
              <w:t>We aim to review the overall survival, progression free survival of adult acute lymphoblastic leukaemia patients treated at UCL and compare it to the published outcomes. The data requested will provide us with the (a) patient cohort (b) basic demographic information (c) treatments received whilst at UCL which will be used for analysis (will be analysed in RStudio/R).</w:t>
            </w:r>
          </w:p>
        </w:tc>
        <w:tc>
          <w:tcPr>
            <w:tcW w:type="dxa" w:w="2160"/>
          </w:tcPr>
          <w:p/>
        </w:tc>
        <w:tc>
          <w:tcPr>
            <w:tcW w:type="dxa" w:w="2160"/>
          </w:tcPr>
          <w:p/>
        </w:tc>
        <w:tc>
          <w:tcPr>
            <w:tcW w:type="dxa" w:w="2160"/>
          </w:tcPr>
          <w:p/>
        </w:tc>
      </w:tr>
      <w:tr>
        <w:tc>
          <w:tcPr>
            <w:tcW w:type="dxa" w:w="720"/>
          </w:tcPr>
          <w:p>
            <w:r>
              <w:t>79</w:t>
            </w:r>
          </w:p>
        </w:tc>
        <w:tc>
          <w:tcPr>
            <w:tcW w:type="dxa" w:w="7200"/>
          </w:tcPr>
          <w:p>
            <w:r>
              <w:t>Audit of patients with systemic mastocytosis of treatments received, clinical history and symptom assessment</w:t>
            </w:r>
          </w:p>
        </w:tc>
        <w:tc>
          <w:tcPr>
            <w:tcW w:type="dxa" w:w="2160"/>
          </w:tcPr>
          <w:p/>
        </w:tc>
        <w:tc>
          <w:tcPr>
            <w:tcW w:type="dxa" w:w="2160"/>
          </w:tcPr>
          <w:p/>
        </w:tc>
        <w:tc>
          <w:tcPr>
            <w:tcW w:type="dxa" w:w="2160"/>
          </w:tcPr>
          <w:p/>
        </w:tc>
      </w:tr>
      <w:tr>
        <w:tc>
          <w:tcPr>
            <w:tcW w:type="dxa" w:w="720"/>
          </w:tcPr>
          <w:p>
            <w:r>
              <w:t>80</w:t>
            </w:r>
          </w:p>
        </w:tc>
        <w:tc>
          <w:tcPr>
            <w:tcW w:type="dxa" w:w="7200"/>
          </w:tcPr>
          <w:p>
            <w:r>
              <w:t>Salivary gland cancers are an heterogeneous group of malignancies and little is known about their molecular background or clinical outcomes. INDAGA-UK is a retrospective, multicentre observational study investigating the molecular profiling of locally advanced and recurrent/metastatic salivary gland cancers (SGCs). The study will analyse archival tissue samples and clinical data from patients diagnosed with SGCs between 2013 and 2024. Patient and sample identification will occur over 12 months, followed by an additional 12-month analysis period. UCLH participants may be alive or dead as UCLH pathology biobank gives ethical approval for their data to be shared.</w:t>
            </w:r>
          </w:p>
        </w:tc>
        <w:tc>
          <w:tcPr>
            <w:tcW w:type="dxa" w:w="2160"/>
          </w:tcPr>
          <w:p/>
        </w:tc>
        <w:tc>
          <w:tcPr>
            <w:tcW w:type="dxa" w:w="2160"/>
          </w:tcPr>
          <w:p/>
        </w:tc>
        <w:tc>
          <w:tcPr>
            <w:tcW w:type="dxa" w:w="2160"/>
          </w:tcPr>
          <w:p/>
        </w:tc>
      </w:tr>
      <w:tr>
        <w:tc>
          <w:tcPr>
            <w:tcW w:type="dxa" w:w="720"/>
          </w:tcPr>
          <w:p>
            <w:r>
              <w:t>81</w:t>
            </w:r>
          </w:p>
        </w:tc>
        <w:tc>
          <w:tcPr>
            <w:tcW w:type="dxa" w:w="7200"/>
          </w:tcPr>
          <w:p>
            <w:r>
              <w:t>Please provide a summary of recent use of HAEMWRGENERIC by inpatient clinicians, stratified by sub-speciality</w:t>
            </w:r>
          </w:p>
        </w:tc>
        <w:tc>
          <w:tcPr>
            <w:tcW w:type="dxa" w:w="2160"/>
          </w:tcPr>
          <w:p/>
        </w:tc>
        <w:tc>
          <w:tcPr>
            <w:tcW w:type="dxa" w:w="2160"/>
          </w:tcPr>
          <w:p/>
        </w:tc>
        <w:tc>
          <w:tcPr>
            <w:tcW w:type="dxa" w:w="2160"/>
          </w:tcPr>
          <w:p/>
        </w:tc>
      </w:tr>
      <w:tr>
        <w:tc>
          <w:tcPr>
            <w:tcW w:type="dxa" w:w="720"/>
          </w:tcPr>
          <w:p>
            <w:r>
              <w:t>82</w:t>
            </w:r>
          </w:p>
        </w:tc>
        <w:tc>
          <w:tcPr>
            <w:tcW w:type="dxa" w:w="7200"/>
          </w:tcPr>
          <w:p>
            <w:r>
              <w:t>To evaluate whether lung cancer patients undergoing curative-intent radiotherapy have a PET CT within 6 weeks before commencing treatment and how this effects management of their cancer.</w:t>
            </w:r>
          </w:p>
        </w:tc>
        <w:tc>
          <w:tcPr>
            <w:tcW w:type="dxa" w:w="2160"/>
          </w:tcPr>
          <w:p/>
        </w:tc>
        <w:tc>
          <w:tcPr>
            <w:tcW w:type="dxa" w:w="2160"/>
          </w:tcPr>
          <w:p/>
        </w:tc>
        <w:tc>
          <w:tcPr>
            <w:tcW w:type="dxa" w:w="2160"/>
          </w:tcPr>
          <w:p/>
        </w:tc>
      </w:tr>
      <w:tr>
        <w:tc>
          <w:tcPr>
            <w:tcW w:type="dxa" w:w="720"/>
          </w:tcPr>
          <w:p>
            <w:r>
              <w:t>83</w:t>
            </w:r>
          </w:p>
        </w:tc>
        <w:tc>
          <w:tcPr>
            <w:tcW w:type="dxa" w:w="7200"/>
          </w:tcPr>
          <w:p>
            <w:r>
              <w:t>Lenvantinib is increasingly being used in gynae and thyroid cancers. It causes significant hypertension and in rarer cases cardiac failure. We would like to see the number of patients who have been on the is drug for a given time period to see whether a cardiology clinic to support management of these patients would be feasible</w:t>
            </w:r>
          </w:p>
        </w:tc>
        <w:tc>
          <w:tcPr>
            <w:tcW w:type="dxa" w:w="2160"/>
          </w:tcPr>
          <w:p/>
        </w:tc>
        <w:tc>
          <w:tcPr>
            <w:tcW w:type="dxa" w:w="2160"/>
          </w:tcPr>
          <w:p/>
        </w:tc>
        <w:tc>
          <w:tcPr>
            <w:tcW w:type="dxa" w:w="2160"/>
          </w:tcPr>
          <w:p/>
        </w:tc>
      </w:tr>
      <w:tr>
        <w:tc>
          <w:tcPr>
            <w:tcW w:type="dxa" w:w="720"/>
          </w:tcPr>
          <w:p>
            <w:r>
              <w:t>84</w:t>
            </w:r>
          </w:p>
        </w:tc>
        <w:tc>
          <w:tcPr>
            <w:tcW w:type="dxa" w:w="7200"/>
          </w:tcPr>
          <w:p>
            <w:r>
              <w:t>we provide an out of hours asepticallys prepared chemotherapy manufacturing service at UCLH for acute conditions or emergency scenarios. We are one of the only sites in the UK providing this service. This involves a significant amount of training for all cancer oncall pharmacists, as well as competence maintenance, which has an impact on the provision of the in-hourse service and rostering. We would like to get a true sense of the frequency with which out of hourse aseptically prepared SACT actually has to be made to review whether this is a service we need to continue to invest in.</w:t>
            </w:r>
          </w:p>
        </w:tc>
        <w:tc>
          <w:tcPr>
            <w:tcW w:type="dxa" w:w="2160"/>
          </w:tcPr>
          <w:p/>
        </w:tc>
        <w:tc>
          <w:tcPr>
            <w:tcW w:type="dxa" w:w="2160"/>
          </w:tcPr>
          <w:p/>
        </w:tc>
        <w:tc>
          <w:tcPr>
            <w:tcW w:type="dxa" w:w="2160"/>
          </w:tcPr>
          <w:p/>
        </w:tc>
      </w:tr>
      <w:tr>
        <w:tc>
          <w:tcPr>
            <w:tcW w:type="dxa" w:w="720"/>
          </w:tcPr>
          <w:p>
            <w:r>
              <w:t>85</w:t>
            </w:r>
          </w:p>
        </w:tc>
        <w:tc>
          <w:tcPr>
            <w:tcW w:type="dxa" w:w="7200"/>
          </w:tcPr>
          <w:p>
            <w:r>
              <w:t>To review the dose to the mediastinal organs at risk when delivering radiotherapy to the mediastinum for lymphoma patients and assessing the difference between proton and photon radiotherapy.</w:t>
            </w:r>
          </w:p>
        </w:tc>
        <w:tc>
          <w:tcPr>
            <w:tcW w:type="dxa" w:w="2160"/>
          </w:tcPr>
          <w:p/>
        </w:tc>
        <w:tc>
          <w:tcPr>
            <w:tcW w:type="dxa" w:w="2160"/>
          </w:tcPr>
          <w:p/>
        </w:tc>
        <w:tc>
          <w:tcPr>
            <w:tcW w:type="dxa" w:w="2160"/>
          </w:tcPr>
          <w:p/>
        </w:tc>
      </w:tr>
      <w:tr>
        <w:tc>
          <w:tcPr>
            <w:tcW w:type="dxa" w:w="720"/>
          </w:tcPr>
          <w:p>
            <w:r>
              <w:t>87</w:t>
            </w:r>
          </w:p>
        </w:tc>
        <w:tc>
          <w:tcPr>
            <w:tcW w:type="dxa" w:w="7200"/>
          </w:tcPr>
          <w:p>
            <w:r>
              <w:t>We are trying to study Radiation induced Alopecia(RIA) in brain tumour patient treated with Proton Beam therapy &amp; try to correlate the Scalp dose received during PBT and RIA.</w:t>
            </w:r>
          </w:p>
        </w:tc>
        <w:tc>
          <w:tcPr>
            <w:tcW w:type="dxa" w:w="2160"/>
          </w:tcPr>
          <w:p/>
        </w:tc>
        <w:tc>
          <w:tcPr>
            <w:tcW w:type="dxa" w:w="2160"/>
          </w:tcPr>
          <w:p/>
        </w:tc>
        <w:tc>
          <w:tcPr>
            <w:tcW w:type="dxa" w:w="2160"/>
          </w:tcPr>
          <w:p/>
        </w:tc>
      </w:tr>
      <w:tr>
        <w:tc>
          <w:tcPr>
            <w:tcW w:type="dxa" w:w="720"/>
          </w:tcPr>
          <w:p>
            <w:r>
              <w:t>88</w:t>
            </w:r>
          </w:p>
        </w:tc>
        <w:tc>
          <w:tcPr>
            <w:tcW w:type="dxa" w:w="7200"/>
          </w:tcPr>
          <w:p>
            <w:r>
              <w:t>We have been invited to support a feasibility study into real world clinical characteristics, treatment patterns &amp; outcomes for adult patients with newly diagnosed LA (Locally Advanced) Head and Neck Squamous cell carcinoma since 2018 who are treated with radiation therapy and systemic treatments. Data required will be ICD-10 codes and tumour stage. From this we can do a more extensive manual data retrieval for patient characteristics, treatment details and outcomes.</w:t>
            </w:r>
          </w:p>
        </w:tc>
        <w:tc>
          <w:tcPr>
            <w:tcW w:type="dxa" w:w="2160"/>
          </w:tcPr>
          <w:p/>
        </w:tc>
        <w:tc>
          <w:tcPr>
            <w:tcW w:type="dxa" w:w="2160"/>
          </w:tcPr>
          <w:p/>
        </w:tc>
        <w:tc>
          <w:tcPr>
            <w:tcW w:type="dxa" w:w="2160"/>
          </w:tcPr>
          <w:p/>
        </w:tc>
      </w:tr>
      <w:tr>
        <w:tc>
          <w:tcPr>
            <w:tcW w:type="dxa" w:w="720"/>
          </w:tcPr>
          <w:p>
            <w:r>
              <w:t>89</w:t>
            </w:r>
          </w:p>
        </w:tc>
        <w:tc>
          <w:tcPr>
            <w:tcW w:type="dxa" w:w="7200"/>
          </w:tcPr>
          <w:p>
            <w:r>
              <w:t>Audit to understand the prescribing practices of TKIs in the post transplant and post CART setting - no national guidance exists.</w:t>
            </w:r>
          </w:p>
        </w:tc>
        <w:tc>
          <w:tcPr>
            <w:tcW w:type="dxa" w:w="2160"/>
          </w:tcPr>
          <w:p/>
        </w:tc>
        <w:tc>
          <w:tcPr>
            <w:tcW w:type="dxa" w:w="2160"/>
          </w:tcPr>
          <w:p/>
        </w:tc>
        <w:tc>
          <w:tcPr>
            <w:tcW w:type="dxa" w:w="2160"/>
          </w:tcPr>
          <w:p/>
        </w:tc>
      </w:tr>
      <w:tr>
        <w:tc>
          <w:tcPr>
            <w:tcW w:type="dxa" w:w="720"/>
          </w:tcPr>
          <w:p>
            <w:r>
              <w:t>90</w:t>
            </w:r>
          </w:p>
        </w:tc>
        <w:tc>
          <w:tcPr>
            <w:tcW w:type="dxa" w:w="7200"/>
          </w:tcPr>
          <w:p>
            <w:r>
              <w:t>To assess numbers of patients iwth suitable imaging to support a tumour delineation AI project.</w:t>
            </w:r>
          </w:p>
        </w:tc>
        <w:tc>
          <w:tcPr>
            <w:tcW w:type="dxa" w:w="2160"/>
          </w:tcPr>
          <w:p/>
        </w:tc>
        <w:tc>
          <w:tcPr>
            <w:tcW w:type="dxa" w:w="2160"/>
          </w:tcPr>
          <w:p/>
        </w:tc>
        <w:tc>
          <w:tcPr>
            <w:tcW w:type="dxa" w:w="2160"/>
          </w:tcPr>
          <w:p/>
        </w:tc>
      </w:tr>
      <w:tr>
        <w:tc>
          <w:tcPr>
            <w:tcW w:type="dxa" w:w="720"/>
          </w:tcPr>
          <w:p>
            <w:r>
              <w:t>92</w:t>
            </w:r>
          </w:p>
        </w:tc>
        <w:tc>
          <w:tcPr>
            <w:tcW w:type="dxa" w:w="7200"/>
          </w:tcPr>
          <w:p>
            <w:r>
              <w:t>Patients with atypical endometrial hyperplasia can be managed with progesterone treatment, and frequent biopsies or can proceed directly to hysterectomy. We wish to find out how many biopsy procedures patients usually have, for how long they undergo progesterone treatment before success and how many subsequently need hysterectomy. We would also like to find out how many patients who do have a hysterectomy subsequently are diagnosed with an endometrial cancer.</w:t>
            </w:r>
          </w:p>
        </w:tc>
        <w:tc>
          <w:tcPr>
            <w:tcW w:type="dxa" w:w="2160"/>
          </w:tcPr>
          <w:p/>
        </w:tc>
        <w:tc>
          <w:tcPr>
            <w:tcW w:type="dxa" w:w="2160"/>
          </w:tcPr>
          <w:p/>
        </w:tc>
        <w:tc>
          <w:tcPr>
            <w:tcW w:type="dxa" w:w="2160"/>
          </w:tcPr>
          <w:p/>
        </w:tc>
      </w:tr>
      <w:tr>
        <w:tc>
          <w:tcPr>
            <w:tcW w:type="dxa" w:w="720"/>
          </w:tcPr>
          <w:p>
            <w:r>
              <w:t>94</w:t>
            </w:r>
          </w:p>
        </w:tc>
        <w:tc>
          <w:tcPr>
            <w:tcW w:type="dxa" w:w="7200"/>
          </w:tcPr>
          <w:p>
            <w:r>
              <w:t>Project description: Retrospective cohort study of hospital records (2010–2024) evaluating how the age at diagnosis has shifted over time and how outcomes differ between “young-onset” (&lt;50 years) and “late-onset” (≥60 years) oesophagogastric adenocarcinomas and colorectal cancers. We will extract demographics, tumour site/stage, treatment pathways, and outcomes (local control and PFS and OS), and use adjusted models to quantify trends and between-group differences. Measurable objectives: 1. Quantify 15-year trends in diagnostic age by cancer type. Metrics: median age at diagnosis (IQR) by year; proportion &lt;50 and ≥60 per year; annual percent change (APC) with 95% CIs from Poisson/Joinpoint or segmented regression. 2. Compare presentation and treatment pathways between age groups. Metrics: stage distribution (I–IV) at diagnosis; time from first specialist contact to first treatment (days); receipt of surgery/systemic therapy/radiotherapy (yes/no). Analysis: adjusted odds ratios (aORs) for late stage (III–IV vs I–II) and for treatment receipt using multivariable logistic regression (covariates: sex, deprivation, comorbidity, year, site). 3. Evaluate short- and long-term outcomes by age group. Metrics: (a) overall and cancer-specific survival at 1, 3, and 5 years; adjusted hazard ratios (aHRs) from Cox/competing-risk models Reporting: effect sizes with 95% CIs, absolute risk differences, and sensitivity analyses by stage and treatment intent.</w:t>
            </w:r>
          </w:p>
        </w:tc>
        <w:tc>
          <w:tcPr>
            <w:tcW w:type="dxa" w:w="2160"/>
          </w:tcPr>
          <w:p/>
        </w:tc>
        <w:tc>
          <w:tcPr>
            <w:tcW w:type="dxa" w:w="2160"/>
          </w:tcPr>
          <w:p/>
        </w:tc>
        <w:tc>
          <w:tcPr>
            <w:tcW w:type="dxa" w:w="2160"/>
          </w:tcPr>
          <w:p/>
        </w:tc>
      </w:tr>
      <w:tr>
        <w:tc>
          <w:tcPr>
            <w:tcW w:type="dxa" w:w="720"/>
          </w:tcPr>
          <w:p>
            <w:r>
              <w:t>95</w:t>
            </w:r>
          </w:p>
        </w:tc>
        <w:tc>
          <w:tcPr>
            <w:tcW w:type="dxa" w:w="7200"/>
          </w:tcPr>
          <w:p>
            <w:r>
              <w:t>I would like to increase referrals from Haematology to the penicillin allergy delabelling service. Our patients are particularly likely to need broad spectrum antibiotics eg during febrile neutropenia during transplants/chemotherapy and are immunocompromised with frequent courses of antibiotics.  A recorded penicillin allergy means these patients receive second line therapies and are more likely to receive courses of fluroquinolones (our trust's guidance for penicillin allergic febrile neutropenia) which have significant adverse effects and there is a general push towards avoiding these drugs). The delabelling service at UCLH aims to remove non-specific low risk penicillin allergies and it would be ideal to refer patients to this service who are expected to be at high risk of infection/to become neutropenic before they are acutely unwell. Collecting data on the scale of penicillin allergies within our patient cohorts both IP and OP will help assess how many of our patients would be eligible for referral and help target interventions to increase referrals for eligible patients</w:t>
            </w:r>
          </w:p>
        </w:tc>
        <w:tc>
          <w:tcPr>
            <w:tcW w:type="dxa" w:w="2160"/>
          </w:tcPr>
          <w:p/>
        </w:tc>
        <w:tc>
          <w:tcPr>
            <w:tcW w:type="dxa" w:w="2160"/>
          </w:tcPr>
          <w:p/>
        </w:tc>
        <w:tc>
          <w:tcPr>
            <w:tcW w:type="dxa" w:w="2160"/>
          </w:tcPr>
          <w:p/>
        </w:tc>
      </w:tr>
      <w:tr>
        <w:tc>
          <w:tcPr>
            <w:tcW w:type="dxa" w:w="720"/>
          </w:tcPr>
          <w:p>
            <w:r>
              <w:t>96</w:t>
            </w:r>
          </w:p>
        </w:tc>
        <w:tc>
          <w:tcPr>
            <w:tcW w:type="dxa" w:w="7200"/>
          </w:tcPr>
          <w:p>
            <w:r>
              <w:t>Assess whether antifungals (e.g., echinocandins, fluconazole) are being used in line with local/national guidelines for Empirical and targeted treatment of candidaemia. I will look at the following: Was an antifungal started appropriately based on clinical signs/labs? • Was the agent, dose, and duration correct? • Was de-escalation to fluconazole done when appropriate? • Was early source control (e.g., line removal) attempted? • Was susceptibility testing acted on? I will also look at retrospective risk prediction using candida scoring system to see if this could have better decided decision making</w:t>
            </w:r>
          </w:p>
        </w:tc>
        <w:tc>
          <w:tcPr>
            <w:tcW w:type="dxa" w:w="2160"/>
          </w:tcPr>
          <w:p/>
        </w:tc>
        <w:tc>
          <w:tcPr>
            <w:tcW w:type="dxa" w:w="2160"/>
          </w:tcPr>
          <w:p/>
        </w:tc>
        <w:tc>
          <w:tcPr>
            <w:tcW w:type="dxa" w:w="2160"/>
          </w:tcPr>
          <w:p/>
        </w:tc>
      </w:tr>
      <w:tr>
        <w:tc>
          <w:tcPr>
            <w:tcW w:type="dxa" w:w="720"/>
          </w:tcPr>
          <w:p>
            <w:r>
              <w:t>97</w:t>
            </w:r>
          </w:p>
        </w:tc>
        <w:tc>
          <w:tcPr>
            <w:tcW w:type="dxa" w:w="7200"/>
          </w:tcPr>
          <w:p>
            <w:r>
              <w:t>Identifying the cohort of patients diagnosed with rhabdomyosarcoma of the H&amp;N (parameningeal and non-parameningeal) to review imaging features at presentation and correlate this with outcome</w:t>
            </w:r>
          </w:p>
        </w:tc>
        <w:tc>
          <w:tcPr>
            <w:tcW w:type="dxa" w:w="2160"/>
          </w:tcPr>
          <w:p/>
        </w:tc>
        <w:tc>
          <w:tcPr>
            <w:tcW w:type="dxa" w:w="2160"/>
          </w:tcPr>
          <w:p/>
        </w:tc>
        <w:tc>
          <w:tcPr>
            <w:tcW w:type="dxa" w:w="2160"/>
          </w:tcPr>
          <w:p/>
        </w:tc>
      </w:tr>
      <w:tr>
        <w:tc>
          <w:tcPr>
            <w:tcW w:type="dxa" w:w="720"/>
          </w:tcPr>
          <w:p>
            <w:r>
              <w:t>98</w:t>
            </w:r>
          </w:p>
        </w:tc>
        <w:tc>
          <w:tcPr>
            <w:tcW w:type="dxa" w:w="7200"/>
          </w:tcPr>
          <w:p>
            <w:r>
              <w:t>To identify MPN patients who've developed skin cancer whilst taking hydroxycarbamide - to establish high risk groups and introduce risk-reduction measures</w:t>
            </w:r>
          </w:p>
        </w:tc>
        <w:tc>
          <w:tcPr>
            <w:tcW w:type="dxa" w:w="2160"/>
          </w:tcPr>
          <w:p/>
        </w:tc>
        <w:tc>
          <w:tcPr>
            <w:tcW w:type="dxa" w:w="2160"/>
          </w:tcPr>
          <w:p/>
        </w:tc>
        <w:tc>
          <w:tcPr>
            <w:tcW w:type="dxa" w:w="2160"/>
          </w:tcPr>
          <w:p/>
        </w:tc>
      </w:tr>
      <w:tr>
        <w:tc>
          <w:tcPr>
            <w:tcW w:type="dxa" w:w="720"/>
          </w:tcPr>
          <w:p>
            <w:r>
              <w:t>99</w:t>
            </w:r>
          </w:p>
        </w:tc>
        <w:tc>
          <w:tcPr>
            <w:tcW w:type="dxa" w:w="7200"/>
          </w:tcPr>
          <w:p>
            <w:r>
              <w:t>We have been giving consistent advice around the dos and donts for G6PD for many years. What is available on the internet includign the G6PD society is much broader. We think we have not had a case where our advice has led to a case of haemolysis and therefore would like to audit this advice and then publish it.</w:t>
            </w:r>
          </w:p>
        </w:tc>
        <w:tc>
          <w:tcPr>
            <w:tcW w:type="dxa" w:w="2160"/>
          </w:tcPr>
          <w:p/>
        </w:tc>
        <w:tc>
          <w:tcPr>
            <w:tcW w:type="dxa" w:w="2160"/>
          </w:tcPr>
          <w:p/>
        </w:tc>
        <w:tc>
          <w:tcPr>
            <w:tcW w:type="dxa" w:w="2160"/>
          </w:tcPr>
          <w:p/>
        </w:tc>
      </w:tr>
      <w:tr>
        <w:tc>
          <w:tcPr>
            <w:tcW w:type="dxa" w:w="720"/>
          </w:tcPr>
          <w:p>
            <w:r>
              <w:t>100</w:t>
            </w:r>
          </w:p>
        </w:tc>
        <w:tc>
          <w:tcPr>
            <w:tcW w:type="dxa" w:w="7200"/>
          </w:tcPr>
          <w:p>
            <w:r>
              <w:t>Aim/Objective: This project aims to compare stage at diagnosis, clinical presentation, surgical complexity, and outcomes between BRCA-associated and BRCA wild-type HGSC. By determining whether BRCA-positive cases present at a later stage or more frequently as emergencies, the study will help clarify if their better outcomes are due to treatment sensitivity rather than earlier detection. Findings will also inform the validity of using non-surveilled BRCA patients as a comparator group in evaluating the impact of ROCA-based ovarian cancer surveillance (e.g. in the UKFOCSS trial) The data will help us identify the patients with HGSC and STIC lesions.</w:t>
            </w:r>
          </w:p>
        </w:tc>
        <w:tc>
          <w:tcPr>
            <w:tcW w:type="dxa" w:w="2160"/>
          </w:tcPr>
          <w:p/>
        </w:tc>
        <w:tc>
          <w:tcPr>
            <w:tcW w:type="dxa" w:w="2160"/>
          </w:tcPr>
          <w:p/>
        </w:tc>
        <w:tc>
          <w:tcPr>
            <w:tcW w:type="dxa" w:w="2160"/>
          </w:tcPr>
          <w:p/>
        </w:tc>
      </w:tr>
      <w:tr>
        <w:tc>
          <w:tcPr>
            <w:tcW w:type="dxa" w:w="720"/>
          </w:tcPr>
          <w:p>
            <w:r>
              <w:t>101</w:t>
            </w:r>
          </w:p>
        </w:tc>
        <w:tc>
          <w:tcPr>
            <w:tcW w:type="dxa" w:w="7200"/>
          </w:tcPr>
          <w:p>
            <w:r>
              <w:t>The aim of the project is to explore the documentation of Religion (faith and beliefs) for patients during their hospital journey. This is with a view to further explore what spiritual care is available and provided for patients.</w:t>
            </w:r>
          </w:p>
        </w:tc>
        <w:tc>
          <w:tcPr>
            <w:tcW w:type="dxa" w:w="2160"/>
          </w:tcPr>
          <w:p/>
        </w:tc>
        <w:tc>
          <w:tcPr>
            <w:tcW w:type="dxa" w:w="2160"/>
          </w:tcPr>
          <w:p/>
        </w:tc>
        <w:tc>
          <w:tcPr>
            <w:tcW w:type="dxa" w:w="2160"/>
          </w:tcPr>
          <w:p/>
        </w:tc>
      </w:tr>
      <w:tr>
        <w:tc>
          <w:tcPr>
            <w:tcW w:type="dxa" w:w="720"/>
          </w:tcPr>
          <w:p>
            <w:r>
              <w:t>102</w:t>
            </w:r>
          </w:p>
        </w:tc>
        <w:tc>
          <w:tcPr>
            <w:tcW w:type="dxa" w:w="7200"/>
          </w:tcPr>
          <w:p>
            <w:r>
              <w:t>Licensed lomustine10mg capsules have recently been discontinued. There is am alternative available but at a considerable cost increase. We would like to identify the usage split of lomustine between haematology, oncology and TYA/paediatrics. This needs to be broken down to the protocols used and the number of cycles given to patients. In addition it would be useful to know where the use of the 10mg capsules sits specifically. We would like to look at data from the last financial year 24/25</w:t>
            </w:r>
          </w:p>
        </w:tc>
        <w:tc>
          <w:tcPr>
            <w:tcW w:type="dxa" w:w="2160"/>
          </w:tcPr>
          <w:p/>
        </w:tc>
        <w:tc>
          <w:tcPr>
            <w:tcW w:type="dxa" w:w="2160"/>
          </w:tcPr>
          <w:p/>
        </w:tc>
        <w:tc>
          <w:tcPr>
            <w:tcW w:type="dxa" w:w="2160"/>
          </w:tcPr>
          <w:p/>
        </w:tc>
      </w:tr>
      <w:tr>
        <w:tc>
          <w:tcPr>
            <w:tcW w:type="dxa" w:w="720"/>
          </w:tcPr>
          <w:p>
            <w:r>
              <w:t>104</w:t>
            </w:r>
          </w:p>
        </w:tc>
        <w:tc>
          <w:tcPr>
            <w:tcW w:type="dxa" w:w="7200"/>
          </w:tcPr>
          <w:p>
            <w:r>
              <w:t>Prof. Rosenhal, who is the lead of the Gynaecological Cancer prevention team at UCLH, wants to offer ROCA testing to non-BRCA HRD carriers (RAD51C+D, BRIP1, PALB2) from age 45 years as per NICE guidance. Prof. Rosenthal's team needs the number of patients to calculate the testing costs.</w:t>
            </w:r>
          </w:p>
        </w:tc>
        <w:tc>
          <w:tcPr>
            <w:tcW w:type="dxa" w:w="2160"/>
          </w:tcPr>
          <w:p/>
        </w:tc>
        <w:tc>
          <w:tcPr>
            <w:tcW w:type="dxa" w:w="2160"/>
          </w:tcPr>
          <w:p/>
        </w:tc>
        <w:tc>
          <w:tcPr>
            <w:tcW w:type="dxa" w:w="2160"/>
          </w:tcPr>
          <w:p/>
        </w:tc>
      </w:tr>
      <w:tr>
        <w:tc>
          <w:tcPr>
            <w:tcW w:type="dxa" w:w="720"/>
          </w:tcPr>
          <w:p>
            <w:r>
              <w:t>105</w:t>
            </w:r>
          </w:p>
        </w:tc>
        <w:tc>
          <w:tcPr>
            <w:tcW w:type="dxa" w:w="7200"/>
          </w:tcPr>
          <w:p>
            <w:r>
              <w:t>This is a project aimed at addressing inequalities in prostate cancer care, with a particular focus on Black men diagnosed with the disease. The initiative, known as the Buddy Project, pairs patients with trained buddies who support them through the decision-making process and help ensure timely access to treatment. We started a year ago, and we would like to understand the impact the project has dad on the rate of patients from Black ethnicity lost to follow up.</w:t>
            </w:r>
          </w:p>
        </w:tc>
        <w:tc>
          <w:tcPr>
            <w:tcW w:type="dxa" w:w="2160"/>
          </w:tcPr>
          <w:p/>
        </w:tc>
        <w:tc>
          <w:tcPr>
            <w:tcW w:type="dxa" w:w="2160"/>
          </w:tcPr>
          <w:p/>
        </w:tc>
        <w:tc>
          <w:tcPr>
            <w:tcW w:type="dxa" w:w="2160"/>
          </w:tcPr>
          <w:p/>
        </w:tc>
      </w:tr>
      <w:tr>
        <w:tc>
          <w:tcPr>
            <w:tcW w:type="dxa" w:w="720"/>
          </w:tcPr>
          <w:p>
            <w:r>
              <w:t>106</w:t>
            </w:r>
          </w:p>
        </w:tc>
        <w:tc>
          <w:tcPr>
            <w:tcW w:type="dxa" w:w="7200"/>
          </w:tcPr>
          <w:p>
            <w:r>
              <w:t>We would like to find out how to best support children and adolescents’ nutrition whilst undergoing treatment for osteosarcoma. The intensive chemotherapy schedule affects taste, appetite and the ability to digest nutrients, causing patients to lose weight and strength. We know this can be linked to an increased risk of infection and can affect their ability to tolerate the chemotherapy, as well as their quality of life. Weight loss will also affect chemotherapy dosing and this may impact the effectiveness of treatment. How nutrition affects, and is affected by, the treatment of childhood cancer (particularly of solid tumours) is an understudied area. As a result, nutrition is supported differently between treatment centres, depending on the teams’ experiences and professional opinions, rather than good scientific evidence. Some clinical teams recommend placing a surgical feeding tube (gastrostomy) into the stomach early on in treatment, whilst others adopt a ‘wait and see’ approach and, if nutrition deteriorates, the child will receive a liquid feed through a tube passed via the nose into the stomach (nasogastric tube). There are benefits and disadvantages to both: a gastrostomy gives a reliable route for nutrition, but has to be surgically inserted and might be an infection risk, whilst nasogastric tubes are easily inserted at the bedside. However, nasogastric tubes are visible, can be vomited out and the insertion and sensation of the tube in the throat can be upsetting for some. There is little evidence to show us which is more effective in supporting nutrition, or more acceptable to children undergoing this treatment. This project aims to see if there are measurable differences in growth and health with different timing and types of nutritional support.</w:t>
            </w:r>
          </w:p>
        </w:tc>
        <w:tc>
          <w:tcPr>
            <w:tcW w:type="dxa" w:w="2160"/>
          </w:tcPr>
          <w:p/>
        </w:tc>
        <w:tc>
          <w:tcPr>
            <w:tcW w:type="dxa" w:w="2160"/>
          </w:tcPr>
          <w:p/>
        </w:tc>
        <w:tc>
          <w:tcPr>
            <w:tcW w:type="dxa" w:w="2160"/>
          </w:tcPr>
          <w:p/>
        </w:tc>
      </w:tr>
      <w:tr>
        <w:tc>
          <w:tcPr>
            <w:tcW w:type="dxa" w:w="720"/>
          </w:tcPr>
          <w:p>
            <w:r>
              <w:t>107</w:t>
            </w:r>
          </w:p>
        </w:tc>
        <w:tc>
          <w:tcPr>
            <w:tcW w:type="dxa" w:w="7200"/>
          </w:tcPr>
          <w:p>
            <w:r>
              <w:t>Cholangiocarcinoma patients are frequently admitted for prolonged/ recurrent admissions with bacteraemias of biliary origin. Based on our departmental data, they represent a disproportionate number of admission days compared with the other subgroups of billiary cancer and consequently a significant cost. We are planning a multi disciplinary project in conjunction with the microbiology and interventional radiology teams to look at trends of organisms grown in bacteraemic patients, survival outcomes, the role of interventional radiology procedures in overall management and cost of hospital admissions to improve management for these patients.</w:t>
            </w:r>
          </w:p>
        </w:tc>
        <w:tc>
          <w:tcPr>
            <w:tcW w:type="dxa" w:w="2160"/>
          </w:tcPr>
          <w:p/>
        </w:tc>
        <w:tc>
          <w:tcPr>
            <w:tcW w:type="dxa" w:w="2160"/>
          </w:tcPr>
          <w:p/>
        </w:tc>
        <w:tc>
          <w:tcPr>
            <w:tcW w:type="dxa" w:w="2160"/>
          </w:tcPr>
          <w:p/>
        </w:tc>
      </w:tr>
      <w:tr>
        <w:tc>
          <w:tcPr>
            <w:tcW w:type="dxa" w:w="720"/>
          </w:tcPr>
          <w:p>
            <w:r>
              <w:t>108</w:t>
            </w:r>
          </w:p>
        </w:tc>
        <w:tc>
          <w:tcPr>
            <w:tcW w:type="dxa" w:w="7200"/>
          </w:tcPr>
          <w:p>
            <w:r>
              <w:t>This is a continuation of my previous project. I would like to get data for all the colorectal cancer specifically diagnsoed from 2019 until now (ICD codes: C18-20). I would be grateful if this data could be pulled to complete spreadsheet I shared with the team. Essentially all patients for whom we have Epic and SACT data.</w:t>
            </w:r>
          </w:p>
        </w:tc>
        <w:tc>
          <w:tcPr>
            <w:tcW w:type="dxa" w:w="2160"/>
          </w:tcPr>
          <w:p/>
        </w:tc>
        <w:tc>
          <w:tcPr>
            <w:tcW w:type="dxa" w:w="2160"/>
          </w:tcPr>
          <w:p/>
        </w:tc>
        <w:tc>
          <w:tcPr>
            <w:tcW w:type="dxa" w:w="2160"/>
          </w:tcPr>
          <w:p/>
        </w:tc>
      </w:tr>
      <w:tr>
        <w:tc>
          <w:tcPr>
            <w:tcW w:type="dxa" w:w="720"/>
          </w:tcPr>
          <w:p>
            <w:r>
              <w:t>110</w:t>
            </w:r>
          </w:p>
        </w:tc>
        <w:tc>
          <w:tcPr>
            <w:tcW w:type="dxa" w:w="7200"/>
          </w:tcPr>
          <w:p>
            <w:r>
              <w:t>Olfactory neuroblastoma is one of the sinonasal tract tumours sitting close to critical structures ( eyes, optic nerves and chiasm). Proton beam therapy has been employed instead of standard photon radiation for treating these cases since the proton service has been started. It is essential to evaluate the comparable oncological and long-term outcomes between two therapies. The aim for this audit project is to address whether proton radiation has better oncological outcomes without compromising long-term treatment related effects.</w:t>
            </w:r>
          </w:p>
        </w:tc>
        <w:tc>
          <w:tcPr>
            <w:tcW w:type="dxa" w:w="2160"/>
          </w:tcPr>
          <w:p/>
        </w:tc>
        <w:tc>
          <w:tcPr>
            <w:tcW w:type="dxa" w:w="2160"/>
          </w:tcPr>
          <w:p/>
        </w:tc>
        <w:tc>
          <w:tcPr>
            <w:tcW w:type="dxa" w:w="2160"/>
          </w:tcPr>
          <w:p/>
        </w:tc>
      </w:tr>
      <w:tr>
        <w:tc>
          <w:tcPr>
            <w:tcW w:type="dxa" w:w="720"/>
          </w:tcPr>
          <w:p>
            <w:r>
              <w:t>111</w:t>
            </w:r>
          </w:p>
        </w:tc>
        <w:tc>
          <w:tcPr>
            <w:tcW w:type="dxa" w:w="7200"/>
          </w:tcPr>
          <w:p>
            <w:r>
              <w:t>We are filling in a questionnaire (MPN Research Footprint Expansion Questionnaire) from one of our Sponsors - Incyte and one of the questions is - How many MPN patients (Polycythaemia Vera, Myelofibrosis, ET) have been treated in the past 24 months?</w:t>
            </w:r>
          </w:p>
        </w:tc>
        <w:tc>
          <w:tcPr>
            <w:tcW w:type="dxa" w:w="2160"/>
          </w:tcPr>
          <w:p/>
        </w:tc>
        <w:tc>
          <w:tcPr>
            <w:tcW w:type="dxa" w:w="2160"/>
          </w:tcPr>
          <w:p/>
        </w:tc>
        <w:tc>
          <w:tcPr>
            <w:tcW w:type="dxa" w:w="2160"/>
          </w:tcPr>
          <w:p/>
        </w:tc>
      </w:tr>
      <w:tr>
        <w:tc>
          <w:tcPr>
            <w:tcW w:type="dxa" w:w="720"/>
          </w:tcPr>
          <w:p>
            <w:r>
              <w:t>112</w:t>
            </w:r>
          </w:p>
        </w:tc>
        <w:tc>
          <w:tcPr>
            <w:tcW w:type="dxa" w:w="7200"/>
          </w:tcPr>
          <w:p>
            <w:r>
              <w:t>This is a mandatory audit required by NHS England as per their Clinical Commissioning Policy: Plerixafor for stem cell mobilisation in adults and children (Publication reference no: 200601P). All providers involved in the provision of Plerixafor and the subsequent harvesting of peripheral blood stem cells must carry out a regular audit on the use of Plerixafor. The audit criteria includes: - % of total patients undergoing mobilisation who require plerixafor. - Number of doses of plerixafor used per patient. - Total CD34+ cells mobilised or sufficient CFU (colony forming units) following plerixafor. - Number of collection days required to obtain sufficient cells for indicated PBSCT. - Time to neutrophil and platelet engraftment following PBSCT to assess the quality of the stem cell harvested. The data we need from EPIC is a list of all patients who have been prescribed and administered Plerixafor from 1st April 2023 to 31st March 2024.</w:t>
            </w:r>
          </w:p>
        </w:tc>
        <w:tc>
          <w:tcPr>
            <w:tcW w:type="dxa" w:w="2160"/>
          </w:tcPr>
          <w:p/>
        </w:tc>
        <w:tc>
          <w:tcPr>
            <w:tcW w:type="dxa" w:w="2160"/>
          </w:tcPr>
          <w:p/>
        </w:tc>
        <w:tc>
          <w:tcPr>
            <w:tcW w:type="dxa" w:w="2160"/>
          </w:tcPr>
          <w:p/>
        </w:tc>
      </w:tr>
      <w:tr>
        <w:tc>
          <w:tcPr>
            <w:tcW w:type="dxa" w:w="720"/>
          </w:tcPr>
          <w:p>
            <w:r>
              <w:t>113</w:t>
            </w:r>
          </w:p>
        </w:tc>
        <w:tc>
          <w:tcPr>
            <w:tcW w:type="dxa" w:w="7200"/>
          </w:tcPr>
          <w:p>
            <w:r>
              <w:t>The aim of this project is to look retrospectively at the management of Acute Chest Syndrome in UCLH Sickle Cell patients; in particular those who were unable to be transfused due to hyperhaemolysis/DTHR/Antibodies etc and were treated with pre-emptive HFNO or CPAP on ITU; in order to elucidate whether there is a tangible benefit (reduction in invasive ventilation, reduction in LOS etc) to early escalation of oxygen therapy in this patient cohort.</w:t>
            </w:r>
          </w:p>
        </w:tc>
        <w:tc>
          <w:tcPr>
            <w:tcW w:type="dxa" w:w="2160"/>
          </w:tcPr>
          <w:p/>
        </w:tc>
        <w:tc>
          <w:tcPr>
            <w:tcW w:type="dxa" w:w="2160"/>
          </w:tcPr>
          <w:p/>
        </w:tc>
        <w:tc>
          <w:tcPr>
            <w:tcW w:type="dxa" w:w="2160"/>
          </w:tcPr>
          <w:p/>
        </w:tc>
      </w:tr>
      <w:tr>
        <w:tc>
          <w:tcPr>
            <w:tcW w:type="dxa" w:w="720"/>
          </w:tcPr>
          <w:p>
            <w:r>
              <w:t>114</w:t>
            </w:r>
          </w:p>
        </w:tc>
        <w:tc>
          <w:tcPr>
            <w:tcW w:type="dxa" w:w="7200"/>
          </w:tcPr>
          <w:p>
            <w:r>
              <w:t>- improving the method used by medical team to document special requirements for oncology patient , leading to improved patient safety &amp; efficacy of blood transfusion</w:t>
            </w:r>
          </w:p>
        </w:tc>
        <w:tc>
          <w:tcPr>
            <w:tcW w:type="dxa" w:w="2160"/>
          </w:tcPr>
          <w:p/>
        </w:tc>
        <w:tc>
          <w:tcPr>
            <w:tcW w:type="dxa" w:w="2160"/>
          </w:tcPr>
          <w:p/>
        </w:tc>
        <w:tc>
          <w:tcPr>
            <w:tcW w:type="dxa" w:w="2160"/>
          </w:tcPr>
          <w:p/>
        </w:tc>
      </w:tr>
      <w:tr>
        <w:tc>
          <w:tcPr>
            <w:tcW w:type="dxa" w:w="720"/>
          </w:tcPr>
          <w:p>
            <w:r>
              <w:t>115</w:t>
            </w:r>
          </w:p>
        </w:tc>
        <w:tc>
          <w:tcPr>
            <w:tcW w:type="dxa" w:w="7200"/>
          </w:tcPr>
          <w:p>
            <w:r>
              <w:t>The project will look at adherence to the trust guidelines implemented in July 2024 to align with national guidelines about the diagnosis and management of diabetes in patients being initiated on SACT. The audit will look at compliance to the defined standards in the guideline in haematology (non-transplant) and oncology patients.</w:t>
            </w:r>
          </w:p>
        </w:tc>
        <w:tc>
          <w:tcPr>
            <w:tcW w:type="dxa" w:w="2160"/>
          </w:tcPr>
          <w:p/>
        </w:tc>
        <w:tc>
          <w:tcPr>
            <w:tcW w:type="dxa" w:w="2160"/>
          </w:tcPr>
          <w:p/>
        </w:tc>
        <w:tc>
          <w:tcPr>
            <w:tcW w:type="dxa" w:w="2160"/>
          </w:tcPr>
          <w:p/>
        </w:tc>
      </w:tr>
      <w:tr>
        <w:tc>
          <w:tcPr>
            <w:tcW w:type="dxa" w:w="720"/>
          </w:tcPr>
          <w:p>
            <w:r>
              <w:t>116</w:t>
            </w:r>
          </w:p>
        </w:tc>
        <w:tc>
          <w:tcPr>
            <w:tcW w:type="dxa" w:w="7200"/>
          </w:tcPr>
          <w:p>
            <w:r>
              <w:t>Radium-223 was approved by the National Institute for Health and Care Excellence (NICE) in 2016 following the ALSYMPCA trial, which demonstrated a survival benefit in patients with metastatic castration refractory prostate cancer and symptomatic bone metastases. Since approval, eligible patients at University College London Hospitals have received radium-223. However, treatment outcomes and toxicity profiles observed in everyday clinical practice may differ from those reported in controlled clinical trials. The aim of this project is to conduct a retrospective review of patients treated with radium-223 at UCLH, evaluating treatment outcomes, toxicity, and survival. This study will assess whether real-world outcomes from a large tertiary prostate cancer centre are comparable to those reported in the ALSYMPCA trial and will provide valuable insights into treatment tolerability and prior therapy patterns in this patient population. This will be the first time the UCLH uro-oncology team have audited our radium patients outcomes.</w:t>
            </w:r>
          </w:p>
        </w:tc>
        <w:tc>
          <w:tcPr>
            <w:tcW w:type="dxa" w:w="2160"/>
          </w:tcPr>
          <w:p/>
        </w:tc>
        <w:tc>
          <w:tcPr>
            <w:tcW w:type="dxa" w:w="2160"/>
          </w:tcPr>
          <w:p/>
        </w:tc>
        <w:tc>
          <w:tcPr>
            <w:tcW w:type="dxa" w:w="2160"/>
          </w:tcPr>
          <w:p/>
        </w:tc>
      </w:tr>
      <w:tr>
        <w:tc>
          <w:tcPr>
            <w:tcW w:type="dxa" w:w="720"/>
          </w:tcPr>
          <w:p>
            <w:r>
              <w:t>117</w:t>
            </w:r>
          </w:p>
        </w:tc>
        <w:tc>
          <w:tcPr>
            <w:tcW w:type="dxa" w:w="7200"/>
          </w:tcPr>
          <w:p>
            <w:r>
              <w:t>This study aims to evaluate the processes and timelines for accessing FOC schemes for sarcoma patients and assess associated patient outcomes.</w:t>
            </w:r>
          </w:p>
        </w:tc>
        <w:tc>
          <w:tcPr>
            <w:tcW w:type="dxa" w:w="2160"/>
          </w:tcPr>
          <w:p/>
        </w:tc>
        <w:tc>
          <w:tcPr>
            <w:tcW w:type="dxa" w:w="2160"/>
          </w:tcPr>
          <w:p/>
        </w:tc>
        <w:tc>
          <w:tcPr>
            <w:tcW w:type="dxa" w:w="2160"/>
          </w:tcPr>
          <w:p/>
        </w:tc>
      </w:tr>
      <w:tr>
        <w:tc>
          <w:tcPr>
            <w:tcW w:type="dxa" w:w="720"/>
          </w:tcPr>
          <w:p>
            <w:r>
              <w:t>118</w:t>
            </w:r>
          </w:p>
        </w:tc>
        <w:tc>
          <w:tcPr>
            <w:tcW w:type="dxa" w:w="7200"/>
          </w:tcPr>
          <w:p>
            <w:r>
              <w:t>This service evaluation project will retrospectively look at what tumour group was most commonly seen by dietitians in radiotherapy, which will help guide the direction of future input. It will also identify whether patients are being referred to us within an appropriate time frame, by identifying how much weight loss patients had already experienced at the point of first dietetic contact, and how high they were scoring for nutritional risk at point of first contact. This will help guide the future development of the service, to identify whether we need to be more proactive and which tumour groups are most at risk of malnourishment. Objectives/aims - identify tumour sites seen Identify nutritional status at point of first contact Identify % weight loss within the last 6 months at point of first contact</w:t>
            </w:r>
          </w:p>
        </w:tc>
        <w:tc>
          <w:tcPr>
            <w:tcW w:type="dxa" w:w="2160"/>
          </w:tcPr>
          <w:p/>
        </w:tc>
        <w:tc>
          <w:tcPr>
            <w:tcW w:type="dxa" w:w="2160"/>
          </w:tcPr>
          <w:p/>
        </w:tc>
        <w:tc>
          <w:tcPr>
            <w:tcW w:type="dxa" w:w="2160"/>
          </w:tcPr>
          <w:p/>
        </w:tc>
      </w:tr>
      <w:tr>
        <w:tc>
          <w:tcPr>
            <w:tcW w:type="dxa" w:w="720"/>
          </w:tcPr>
          <w:p>
            <w:r>
              <w:t>119</w:t>
            </w:r>
          </w:p>
        </w:tc>
        <w:tc>
          <w:tcPr>
            <w:tcW w:type="dxa" w:w="7200"/>
          </w:tcPr>
          <w:p>
            <w:r>
              <w:t>To determine adherence to the Trust’s HD-MTX guideline during 01/09/2024–01/09/2025 and identify targeted improvements to reduce toxicity and avoidable use of glucarpidase.</w:t>
            </w:r>
          </w:p>
        </w:tc>
        <w:tc>
          <w:tcPr>
            <w:tcW w:type="dxa" w:w="2160"/>
          </w:tcPr>
          <w:p/>
        </w:tc>
        <w:tc>
          <w:tcPr>
            <w:tcW w:type="dxa" w:w="2160"/>
          </w:tcPr>
          <w:p/>
        </w:tc>
        <w:tc>
          <w:tcPr>
            <w:tcW w:type="dxa" w:w="2160"/>
          </w:tcPr>
          <w:p/>
        </w:tc>
      </w:tr>
      <w:tr>
        <w:tc>
          <w:tcPr>
            <w:tcW w:type="dxa" w:w="720"/>
          </w:tcPr>
          <w:p>
            <w:r>
              <w:t>120</w:t>
            </w:r>
          </w:p>
        </w:tc>
        <w:tc>
          <w:tcPr>
            <w:tcW w:type="dxa" w:w="7200"/>
          </w:tcPr>
          <w:p>
            <w:r>
              <w:t>To quantify the number and nature of patient deferrals in breast oncology outpatient clinics in a three month period To assess patterns of repeated patient deferrals  To quantify the proportion of oncology outpatient clinics running beyond planned capacity To use this data to inform workforce planning</w:t>
            </w:r>
          </w:p>
        </w:tc>
        <w:tc>
          <w:tcPr>
            <w:tcW w:type="dxa" w:w="2160"/>
          </w:tcPr>
          <w:p/>
        </w:tc>
        <w:tc>
          <w:tcPr>
            <w:tcW w:type="dxa" w:w="2160"/>
          </w:tcPr>
          <w:p/>
        </w:tc>
        <w:tc>
          <w:tcPr>
            <w:tcW w:type="dxa" w:w="2160"/>
          </w:tcPr>
          <w:p/>
        </w:tc>
      </w:tr>
      <w:tr>
        <w:tc>
          <w:tcPr>
            <w:tcW w:type="dxa" w:w="720"/>
          </w:tcPr>
          <w:p>
            <w:r>
              <w:t>121</w:t>
            </w:r>
          </w:p>
        </w:tc>
        <w:tc>
          <w:tcPr>
            <w:tcW w:type="dxa" w:w="7200"/>
          </w:tcPr>
          <w:p>
            <w:r>
              <w:t>I requested same data to the Data clinic last year for the patients attending cancer services in 2024. We are designing a Quality improvement project and would like to have data from the 2 last years as baseline. The aim of the project will be to improve the recording of ethnicity and preferred language to understand diversity and needs of patients attending cancer services.</w:t>
            </w:r>
          </w:p>
        </w:tc>
        <w:tc>
          <w:tcPr>
            <w:tcW w:type="dxa" w:w="2160"/>
          </w:tcPr>
          <w:p/>
        </w:tc>
        <w:tc>
          <w:tcPr>
            <w:tcW w:type="dxa" w:w="2160"/>
          </w:tcPr>
          <w:p/>
        </w:tc>
        <w:tc>
          <w:tcPr>
            <w:tcW w:type="dxa" w:w="2160"/>
          </w:tcPr>
          <w:p/>
        </w:tc>
      </w:tr>
      <w:tr>
        <w:tc>
          <w:tcPr>
            <w:tcW w:type="dxa" w:w="720"/>
          </w:tcPr>
          <w:p>
            <w:r>
              <w:t>123</w:t>
            </w:r>
          </w:p>
        </w:tc>
        <w:tc>
          <w:tcPr>
            <w:tcW w:type="dxa" w:w="7200"/>
          </w:tcPr>
          <w:p>
            <w:r>
              <w:t>This project is a clinical audit conducted within the Oncology Department at UCLH. It evaluates the appropriateness and quality of computed tomography pulmonary angiography (CTPA) requests for suspected pulmonary embolism in oncology patients, in line with Royal College of Radiologists (RCR) AuditLive standards and local UCLH oncological emergency guidelines. The audit aims to: assess adherence to recommended pre-imaging diagnostic assessment (ECG, chest X-ray, Wells score and D-dimer where appropriate); evaluate the completeness and quality of clinical information provided in radiology referrals; determine diagnostic yield of CTPA (PE detected, alternative diagnosis identified, or normal scan). The requested patient-level clinical and radiological data will allow objective measurement of compliance with national and local diagnostic pathways and enable benchmarking against audit standards.</w:t>
            </w:r>
          </w:p>
        </w:tc>
        <w:tc>
          <w:tcPr>
            <w:tcW w:type="dxa" w:w="2160"/>
          </w:tcPr>
          <w:p/>
        </w:tc>
        <w:tc>
          <w:tcPr>
            <w:tcW w:type="dxa" w:w="2160"/>
          </w:tcPr>
          <w:p/>
        </w:tc>
        <w:tc>
          <w:tcPr>
            <w:tcW w:type="dxa" w:w="2160"/>
          </w:tcPr>
          <w:p/>
        </w:tc>
      </w:tr>
      <w:tr>
        <w:tc>
          <w:tcPr>
            <w:tcW w:type="dxa" w:w="720"/>
          </w:tcPr>
          <w:p>
            <w:r>
              <w:t>124</w:t>
            </w:r>
          </w:p>
        </w:tc>
        <w:tc>
          <w:tcPr>
            <w:tcW w:type="dxa" w:w="7200"/>
          </w:tcPr>
          <w:p>
            <w:r>
              <w:t>I would like percentage of haematology inpatients who have a VTE clot during their inpatient admission, that did not have a VTE risk assessment completed. If this is not possible, then haematology inpatient who have a clot during admission that has been prophylactic enoxaparin prescribed on admission but developed a clot. This is to demonstrate a real life issue to registrars/SHO's and ANP's that its vital for the risk assessments to be completed, the data will be presented to them at weekly teaching and via email.</w:t>
            </w:r>
          </w:p>
        </w:tc>
        <w:tc>
          <w:tcPr>
            <w:tcW w:type="dxa" w:w="2160"/>
          </w:tcPr>
          <w:p/>
        </w:tc>
        <w:tc>
          <w:tcPr>
            <w:tcW w:type="dxa" w:w="2160"/>
          </w:tcPr>
          <w:p/>
        </w:tc>
        <w:tc>
          <w:tcPr>
            <w:tcW w:type="dxa" w:w="2160"/>
          </w:tcPr>
          <w:p/>
        </w:tc>
      </w:tr>
      <w:tr>
        <w:tc>
          <w:tcPr>
            <w:tcW w:type="dxa" w:w="720"/>
          </w:tcPr>
          <w:p>
            <w:r>
              <w:t>125</w:t>
            </w:r>
          </w:p>
        </w:tc>
        <w:tc>
          <w:tcPr>
            <w:tcW w:type="dxa" w:w="7200"/>
          </w:tcPr>
          <w:p>
            <w:r>
              <w:t>Exploring the use of PedsQL Multidimensional Fatigue Scale in suppoting fatigue management for paediatric patients having PBT treatment</w:t>
            </w:r>
          </w:p>
        </w:tc>
        <w:tc>
          <w:tcPr>
            <w:tcW w:type="dxa" w:w="2160"/>
          </w:tcPr>
          <w:p/>
        </w:tc>
        <w:tc>
          <w:tcPr>
            <w:tcW w:type="dxa" w:w="2160"/>
          </w:tcPr>
          <w:p/>
        </w:tc>
        <w:tc>
          <w:tcPr>
            <w:tcW w:type="dxa" w:w="2160"/>
          </w:tcPr>
          <w:p/>
        </w:tc>
      </w:tr>
      <w:tr>
        <w:tc>
          <w:tcPr>
            <w:tcW w:type="dxa" w:w="720"/>
          </w:tcPr>
          <w:p>
            <w:r>
              <w:t>126</w:t>
            </w:r>
          </w:p>
        </w:tc>
        <w:tc>
          <w:tcPr>
            <w:tcW w:type="dxa" w:w="7200"/>
          </w:tcPr>
          <w:p>
            <w:r>
              <w:t>We hypothesise that the serum tumour marker, CA125, can be used to predict the evolution of cancer drug resistance. CA125 is a surrogate for tumour burden. It is measured very frequently during treatment for ovarian cancer and is a clinically useful marker of disease response and relapse. Carboplatin-based chemotherapy forms the backbone of treatment and is used repeatedly during the disease course. Median survival in advanced disease is 4-5 years and so patients commonly receive multiple lines of chemotherapy. Over time, this contributes to the evolution of drug resistance and women eventually die with treatment resistant, effectively untreatable cancer. In standard treatment, patients all receive the same dose and duration of therapy regardless of their disease response. However, we have shown in preclinical models, that the evolution of resistance can be forestalled by modifying carboplatin dose according to changes in tumour burden. This concept is known as Adaptive Therapy and we are leading a national, randomised Phase II trial (ACTOv) is testing this approach in 80 ovarian cancer patients. CA125 response during first line therapy predicts patient outcomes (KELIM score). We now propose that CA125 trajectories also relate to patient outcome during subsequent lines of therapy. ACTOv will provide some information in a small number of patients. We now request access to longitudinal CA125 measures in women with relapsed high grade serous ovarian cancer for the duration of their disease course together with details of their chemotherapy treatment over time: drug name, start date, number of administrations (cycles) and stop date for each chemotherapy regimen. We propose that mathematical modelling of this large patient cohort will enable us to predict the evolution of drug resistance in individual patients over time. In future, this knowledge could facilitate a more personalised, evolution-based approach to anti-cancer drug dosing regimens.</w:t>
            </w:r>
          </w:p>
        </w:tc>
        <w:tc>
          <w:tcPr>
            <w:tcW w:type="dxa" w:w="2160"/>
          </w:tcPr>
          <w:p/>
        </w:tc>
        <w:tc>
          <w:tcPr>
            <w:tcW w:type="dxa" w:w="2160"/>
          </w:tcPr>
          <w:p/>
        </w:tc>
        <w:tc>
          <w:tcPr>
            <w:tcW w:type="dxa" w:w="2160"/>
          </w:tcPr>
          <w:p/>
        </w:tc>
      </w:tr>
      <w:tr>
        <w:tc>
          <w:tcPr>
            <w:tcW w:type="dxa" w:w="720"/>
          </w:tcPr>
          <w:p>
            <w:r>
              <w:t>127</w:t>
            </w:r>
          </w:p>
        </w:tc>
        <w:tc>
          <w:tcPr>
            <w:tcW w:type="dxa" w:w="7200"/>
          </w:tcPr>
          <w:p>
            <w:r>
              <w:t>A retrospective feasibility project using routinely collected EPIC data to (1) assess whether the age at diagnosis of cholangiocarcinoma/biliary tract cancer patients has changed over time at UCLH and (2) characterize patients aged &lt;40 years, including molecular testing, actionable alterations, use of targeted therapy, and overall survival. The requested data will provide age/sex, diagnosis date, disease site and stage, PSC status, systemic therapy lines, molecular testing/actionable alteration status, targeted therapy status, and survival (death date/last follow-up) needed to compare trends and outcomes between younger and older patients.</w:t>
            </w:r>
          </w:p>
        </w:tc>
        <w:tc>
          <w:tcPr>
            <w:tcW w:type="dxa" w:w="2160"/>
          </w:tcPr>
          <w:p/>
        </w:tc>
        <w:tc>
          <w:tcPr>
            <w:tcW w:type="dxa" w:w="2160"/>
          </w:tcPr>
          <w:p/>
        </w:tc>
        <w:tc>
          <w:tcPr>
            <w:tcW w:type="dxa" w:w="2160"/>
          </w:tcPr>
          <w:p/>
        </w:tc>
      </w:tr>
      <w:tr>
        <w:tc>
          <w:tcPr>
            <w:tcW w:type="dxa" w:w="720"/>
          </w:tcPr>
          <w:p>
            <w:r>
              <w:t>128</w:t>
            </w:r>
          </w:p>
        </w:tc>
        <w:tc>
          <w:tcPr>
            <w:tcW w:type="dxa" w:w="7200"/>
          </w:tcPr>
          <w:p>
            <w:r>
              <w:t>We wish to identify all patients with immature teratoma (all grades) and review management both surgical and oncological, and compare management with national guidance. We also hope to identify if any patients have recurred or died from disease. At UCLH we have moved towards a de-escalation of treatment, reducing chemotherapy and extent of surgery, in order to reduce toxicity and long term side effects and we wish to know if this has had any detrimental effect on outcomes.</w:t>
            </w:r>
          </w:p>
        </w:tc>
        <w:tc>
          <w:tcPr>
            <w:tcW w:type="dxa" w:w="2160"/>
          </w:tcPr>
          <w:p/>
        </w:tc>
        <w:tc>
          <w:tcPr>
            <w:tcW w:type="dxa" w:w="2160"/>
          </w:tcPr>
          <w:p/>
        </w:tc>
        <w:tc>
          <w:tcPr>
            <w:tcW w:type="dxa" w:w="2160"/>
          </w:tcPr>
          <w:p/>
        </w:tc>
      </w:tr>
      <w:tr>
        <w:tc>
          <w:tcPr>
            <w:tcW w:type="dxa" w:w="720"/>
          </w:tcPr>
          <w:p>
            <w:r>
              <w:t>129</w:t>
            </w:r>
          </w:p>
        </w:tc>
        <w:tc>
          <w:tcPr>
            <w:tcW w:type="dxa" w:w="7200"/>
          </w:tcPr>
          <w:p>
            <w:r>
              <w:t>recent changes in endometrial cancer management has increased the amount of SACT being delivered so we aim to collect true data regarding number of patients on treatment and workload of gynae clinical oncology team</w:t>
            </w:r>
          </w:p>
        </w:tc>
        <w:tc>
          <w:tcPr>
            <w:tcW w:type="dxa" w:w="2160"/>
          </w:tcPr>
          <w:p/>
        </w:tc>
        <w:tc>
          <w:tcPr>
            <w:tcW w:type="dxa" w:w="2160"/>
          </w:tcPr>
          <w:p/>
        </w:tc>
        <w:tc>
          <w:tcPr>
            <w:tcW w:type="dxa" w:w="2160"/>
          </w:tcPr>
          <w:p/>
        </w:tc>
      </w:tr>
      <w:tr>
        <w:tc>
          <w:tcPr>
            <w:tcW w:type="dxa" w:w="720"/>
          </w:tcPr>
          <w:p>
            <w:r>
              <w:t>131</w:t>
            </w:r>
          </w:p>
        </w:tc>
        <w:tc>
          <w:tcPr>
            <w:tcW w:type="dxa" w:w="7200"/>
          </w:tcPr>
          <w:p>
            <w:r>
              <w:t>This audit is looking at our planned and unplanned reviews in Day Care as part of our new service provision as ANP-led Day care</w:t>
            </w:r>
          </w:p>
        </w:tc>
        <w:tc>
          <w:tcPr>
            <w:tcW w:type="dxa" w:w="2160"/>
          </w:tcPr>
          <w:p/>
        </w:tc>
        <w:tc>
          <w:tcPr>
            <w:tcW w:type="dxa" w:w="2160"/>
          </w:tcPr>
          <w:p/>
        </w:tc>
        <w:tc>
          <w:tcPr>
            <w:tcW w:type="dxa" w:w="2160"/>
          </w:tcPr>
          <w:p/>
        </w:tc>
      </w:tr>
      <w:tr>
        <w:tc>
          <w:tcPr>
            <w:tcW w:type="dxa" w:w="720"/>
          </w:tcPr>
          <w:p>
            <w:r>
              <w:t>132</w:t>
            </w:r>
          </w:p>
        </w:tc>
        <w:tc>
          <w:tcPr>
            <w:tcW w:type="dxa" w:w="7200"/>
          </w:tcPr>
          <w:p>
            <w:r>
              <w:t>I am one of the oncology registrars. The North Central London Cancer Alliance have reported that our region are often not meeting the quarterly target for “proportion of NSCLC (stage IIIB-IV, PS 0-1) patients who had systemic anticancer therapy" Dr Ahmad and I would like to audit this at UCLH - to ascertain the proportion in this cohort that had SACT. We think that UCLH are meeting the target and feel that there may be a data capture issue. We would like to gather data on Q3 of 2025 i.e. 1 July to 30 September 2025.</w:t>
            </w:r>
          </w:p>
        </w:tc>
        <w:tc>
          <w:tcPr>
            <w:tcW w:type="dxa" w:w="2160"/>
          </w:tcPr>
          <w:p/>
        </w:tc>
        <w:tc>
          <w:tcPr>
            <w:tcW w:type="dxa" w:w="2160"/>
          </w:tcPr>
          <w:p/>
        </w:tc>
        <w:tc>
          <w:tcPr>
            <w:tcW w:type="dxa" w:w="2160"/>
          </w:tcPr>
          <w:p/>
        </w:tc>
      </w:tr>
      <w:tr>
        <w:tc>
          <w:tcPr>
            <w:tcW w:type="dxa" w:w="720"/>
          </w:tcPr>
          <w:p>
            <w:r>
              <w:t>133</w:t>
            </w:r>
          </w:p>
        </w:tc>
        <w:tc>
          <w:tcPr>
            <w:tcW w:type="dxa" w:w="7200"/>
          </w:tcPr>
          <w:p>
            <w:r>
              <w:t>Due to risks of CRS and ICANS, myeloma patients often have to be admitted into hospital to receive priming doses of bispecific antibodies. Patients sometimes have to pause their treatment due to various reasons such as treatment complications or planned procedures. When restarting treatment after a prolonged pause, patients are required to have re-priming doses, requiring a period of inpatient stay. In our preliminary results, we have observed low CRS / ICANS rates in this group of patient. We would like to formally study this with the help of data clinic, to see if we can deliver re-priming doses in outpatient setting / ambulatory care unit instead of inpatient setting.</w:t>
            </w:r>
          </w:p>
        </w:tc>
        <w:tc>
          <w:tcPr>
            <w:tcW w:type="dxa" w:w="2160"/>
          </w:tcPr>
          <w:p/>
        </w:tc>
        <w:tc>
          <w:tcPr>
            <w:tcW w:type="dxa" w:w="2160"/>
          </w:tcPr>
          <w:p/>
        </w:tc>
        <w:tc>
          <w:tcPr>
            <w:tcW w:type="dxa" w:w="2160"/>
          </w:tcPr>
          <w:p/>
        </w:tc>
      </w:tr>
      <w:tr>
        <w:tc>
          <w:tcPr>
            <w:tcW w:type="dxa" w:w="720"/>
          </w:tcPr>
          <w:p>
            <w:r>
              <w:t>134</w:t>
            </w:r>
          </w:p>
        </w:tc>
        <w:tc>
          <w:tcPr>
            <w:tcW w:type="dxa" w:w="7200"/>
          </w:tcPr>
          <w:p>
            <w:r>
              <w:t>Sample population; hypocalcemia. Is vitamin D being checked If yes, is it low?</w:t>
            </w:r>
          </w:p>
        </w:tc>
        <w:tc>
          <w:tcPr>
            <w:tcW w:type="dxa" w:w="2160"/>
          </w:tcPr>
          <w:p/>
        </w:tc>
        <w:tc>
          <w:tcPr>
            <w:tcW w:type="dxa" w:w="2160"/>
          </w:tcPr>
          <w:p/>
        </w:tc>
        <w:tc>
          <w:tcPr>
            <w:tcW w:type="dxa" w:w="2160"/>
          </w:tcPr>
          <w:p/>
        </w:tc>
      </w:tr>
      <w:tr>
        <w:tc>
          <w:tcPr>
            <w:tcW w:type="dxa" w:w="720"/>
          </w:tcPr>
          <w:p>
            <w:r>
              <w:t>135</w:t>
            </w:r>
          </w:p>
        </w:tc>
        <w:tc>
          <w:tcPr>
            <w:tcW w:type="dxa" w:w="7200"/>
          </w:tcPr>
          <w:p>
            <w:r>
              <w:t>Look at initial investigation plan for AKI and see if urine dip is being performed</w:t>
            </w:r>
          </w:p>
        </w:tc>
        <w:tc>
          <w:tcPr>
            <w:tcW w:type="dxa" w:w="2160"/>
          </w:tcPr>
          <w:p/>
        </w:tc>
        <w:tc>
          <w:tcPr>
            <w:tcW w:type="dxa" w:w="2160"/>
          </w:tcPr>
          <w:p/>
        </w:tc>
        <w:tc>
          <w:tcPr>
            <w:tcW w:type="dxa" w:w="2160"/>
          </w:tcPr>
          <w:p/>
        </w:tc>
      </w:tr>
      <w:tr>
        <w:tc>
          <w:tcPr>
            <w:tcW w:type="dxa" w:w="720"/>
          </w:tcPr>
          <w:p>
            <w:r>
              <w:t>136</w:t>
            </w:r>
          </w:p>
        </w:tc>
        <w:tc>
          <w:tcPr>
            <w:tcW w:type="dxa" w:w="7200"/>
          </w:tcPr>
          <w:p>
            <w:r>
              <w:t>carotid complications post head and neck radiotherapy - looking at late effects of H&amp;N RT and whether we may potentially need screening</w:t>
            </w:r>
          </w:p>
        </w:tc>
        <w:tc>
          <w:tcPr>
            <w:tcW w:type="dxa" w:w="2160"/>
          </w:tcPr>
          <w:p/>
        </w:tc>
        <w:tc>
          <w:tcPr>
            <w:tcW w:type="dxa" w:w="2160"/>
          </w:tcPr>
          <w:p/>
        </w:tc>
        <w:tc>
          <w:tcPr>
            <w:tcW w:type="dxa" w:w="2160"/>
          </w:tcPr>
          <w:p/>
        </w:tc>
      </w:tr>
      <w:tr>
        <w:tc>
          <w:tcPr>
            <w:tcW w:type="dxa" w:w="720"/>
          </w:tcPr>
          <w:p>
            <w:r>
              <w:t>137</w:t>
            </w:r>
          </w:p>
        </w:tc>
        <w:tc>
          <w:tcPr>
            <w:tcW w:type="dxa" w:w="7200"/>
          </w:tcPr>
          <w:p>
            <w:r>
              <w:t>I would like to review all platelet transfusions given to TYA patients at UCLH between 2023-2025 in terms of their indication, effectiveness in improving platelet count</w:t>
            </w:r>
          </w:p>
        </w:tc>
        <w:tc>
          <w:tcPr>
            <w:tcW w:type="dxa" w:w="2160"/>
          </w:tcPr>
          <w:p/>
        </w:tc>
        <w:tc>
          <w:tcPr>
            <w:tcW w:type="dxa" w:w="2160"/>
          </w:tcPr>
          <w:p/>
        </w:tc>
        <w:tc>
          <w:tcPr>
            <w:tcW w:type="dxa" w:w="2160"/>
          </w:tcPr>
          <w:p/>
        </w:tc>
      </w:tr>
      <w:tr>
        <w:tc>
          <w:tcPr>
            <w:tcW w:type="dxa" w:w="720"/>
          </w:tcPr>
          <w:p>
            <w:r>
              <w:t>138</w:t>
            </w:r>
          </w:p>
        </w:tc>
        <w:tc>
          <w:tcPr>
            <w:tcW w:type="dxa" w:w="7200"/>
          </w:tcPr>
          <w:p>
            <w:r>
              <w:t>This is a mandatory audit required by NHS England as per their Clinical Commissioning Policy: Plerixafor for stem cell mobilisation in adults and children (Publication reference no: 200601P). All providers involved in the provision of Plerixafor and the subsequent harvesting of peripheral blood stem cells must carry out a regular audit on the use of Plerixafor. The audit criteria includes: - % of total patients undergoing mobilisation who require plerixafor. - Number of doses of plerixafor used per patient. - Total CD34+ cells mobilised or sufficient CFU (colony forming units) following plerixafor. - Number of collection days required to obtain sufficient cells for indicated PBSCT. - Time to neutrophil and platelet engraftment following PBSCT to assess the quality of the stem cell harvested.</w:t>
            </w:r>
          </w:p>
        </w:tc>
        <w:tc>
          <w:tcPr>
            <w:tcW w:type="dxa" w:w="2160"/>
          </w:tcPr>
          <w:p/>
        </w:tc>
        <w:tc>
          <w:tcPr>
            <w:tcW w:type="dxa" w:w="2160"/>
          </w:tcPr>
          <w:p/>
        </w:tc>
        <w:tc>
          <w:tcPr>
            <w:tcW w:type="dxa" w:w="2160"/>
          </w:tcPr>
          <w:p/>
        </w:tc>
      </w:tr>
      <w:tr>
        <w:tc>
          <w:tcPr>
            <w:tcW w:type="dxa" w:w="720"/>
          </w:tcPr>
          <w:p>
            <w:r>
              <w:t>139</w:t>
            </w:r>
          </w:p>
        </w:tc>
        <w:tc>
          <w:tcPr>
            <w:tcW w:type="dxa" w:w="7200"/>
          </w:tcPr>
          <w:p>
            <w:r>
              <w:t>Patients referred to general clinic with hyperferritinaemia may be diagnosed with hereditary haemochromatosis. Some of the remaining patients may be diagnosed with other diagnoses including fatty liver disease, infection and malignancy. A proportion of patients remain undiagnosed. Our hypothesis is that some of these patients may have raised ferritin due to mutation in SF3B1 which can lead to blood dyscrasia/ haematological malignancy. Our objective in this study is to screen all patients referred to general haematology clinic at UCLH with raised serum ferritin, and apportion them to above diagnostic categories. We may then proceed to investigating the incidence of SF3B1 (through sequencing) in selected patients.</w:t>
            </w:r>
          </w:p>
        </w:tc>
        <w:tc>
          <w:tcPr>
            <w:tcW w:type="dxa" w:w="2160"/>
          </w:tcPr>
          <w:p/>
        </w:tc>
        <w:tc>
          <w:tcPr>
            <w:tcW w:type="dxa" w:w="2160"/>
          </w:tcPr>
          <w:p/>
        </w:tc>
        <w:tc>
          <w:tcPr>
            <w:tcW w:type="dxa" w:w="2160"/>
          </w:tcPr>
          <w:p/>
        </w:tc>
      </w:tr>
      <w:tr>
        <w:tc>
          <w:tcPr>
            <w:tcW w:type="dxa" w:w="720"/>
          </w:tcPr>
          <w:p>
            <w:r>
              <w:t>140</w:t>
            </w:r>
          </w:p>
        </w:tc>
        <w:tc>
          <w:tcPr>
            <w:tcW w:type="dxa" w:w="7200"/>
          </w:tcPr>
          <w:p>
            <w:r>
              <w:t>This project is a retrospective service evaluation examining routinely collected Holistic Needs Assessment (HNA) data within a specialist sarcoma service between October 2025 and April 2026. The aim is to evaluate the type, frequency, and timing of patient-reported holistic needs across the care pathway, and to assess how consistently these needs are identified, documented, and addressed through clinical actions such as advice, referrals, and signposting. The requested dataset will enable quantitative analysis of patterns and prevalence of reported concerns, as well as qualitative exploration of free text responses and documented interventions. This will allow comparison between identified patient needs and the actions taken, providing insight into whether HNAs are being used effectively to inform person-centred care and support service improvement within the sarcoma pathway.</w:t>
            </w:r>
          </w:p>
        </w:tc>
        <w:tc>
          <w:tcPr>
            <w:tcW w:type="dxa" w:w="2160"/>
          </w:tcPr>
          <w:p/>
        </w:tc>
        <w:tc>
          <w:tcPr>
            <w:tcW w:type="dxa" w:w="2160"/>
          </w:tcPr>
          <w:p/>
        </w:tc>
        <w:tc>
          <w:tcPr>
            <w:tcW w:type="dxa" w:w="2160"/>
          </w:tcPr>
          <w:p/>
        </w:tc>
      </w:tr>
      <w:tr>
        <w:tc>
          <w:tcPr>
            <w:tcW w:type="dxa" w:w="720"/>
          </w:tcPr>
          <w:p>
            <w:r>
              <w:t>141</w:t>
            </w:r>
          </w:p>
        </w:tc>
        <w:tc>
          <w:tcPr>
            <w:tcW w:type="dxa" w:w="7200"/>
          </w:tcPr>
          <w:p>
            <w:r>
              <w:t>We are interested in the relationship between CAR-T therapy and subsequent AKI and CKD. We have carried out a preliminary analysis with ~15% of patients. The questions we are trying to answer are: 1. What are the determinants of CKD in patients starting CAR-T therapy (age, previous methotrexate use etc.) ? 2. What are the determinants of AKI in patients with CAR-T therapy (age, prior CKD, CRS, ICA etc.)? 3. Does AKI in these patients correlate with other symptoms of renal dysfunction (proteinuria, weight gain, urine output, furosemide usage?) 3. What are the rates of AKI and new-onset CKD in patients starting CAR-T therapy? 4. Does AKI and new-onset CKD predict long-term outcomes in patients with CAR-T therapy?</w:t>
            </w:r>
          </w:p>
        </w:tc>
        <w:tc>
          <w:tcPr>
            <w:tcW w:type="dxa" w:w="2160"/>
          </w:tcPr>
          <w:p/>
        </w:tc>
        <w:tc>
          <w:tcPr>
            <w:tcW w:type="dxa" w:w="2160"/>
          </w:tcPr>
          <w:p/>
        </w:tc>
        <w:tc>
          <w:tcPr>
            <w:tcW w:type="dxa" w:w="2160"/>
          </w:tcPr>
          <w:p/>
        </w:tc>
      </w:tr>
      <w:tr>
        <w:tc>
          <w:tcPr>
            <w:tcW w:type="dxa" w:w="720"/>
          </w:tcPr>
          <w:p>
            <w:r>
              <w:t>142</w:t>
            </w:r>
          </w:p>
        </w:tc>
        <w:tc>
          <w:tcPr>
            <w:tcW w:type="dxa" w:w="7200"/>
          </w:tcPr>
          <w:p>
            <w:r>
              <w:t>This service improvement project is a retrospective review of patients undergoing elective colorectal cancer surgery at UCLH. The project aims to evaluate compliance with ERAS and ESPEN perioperative nutritional guidelines, with a particular focus on postoperative nutritional optimisation and early nutritional support. Data collected will include preoperative and postoperative weight and BMI, timing of postoperative diet initiation, prescription and timing of oral nutritional supplements, length of hospital stay (+/- ICU/PACU stay) and documentation of nutritional assessment or dietetic involvement where available. Additional perioperative and postoperative outcomes, such as length of stay and postoperative complications, may also be reviewed. The project aims to identify whether current clinical practice aligns with recommended standards for perioperative nutrition in colorectal surgery, including early oral intake and appropriate nutritional supplementation. By analysing retrospective patient data, the project will help identify gaps in adherence to ERAS and ESPEN guidance, highlight areas for improvement in nutritional management pathways, and inform future quality improvement initiatives to optimise postoperative recovery and patient outcomes.</w:t>
            </w:r>
          </w:p>
        </w:tc>
        <w:tc>
          <w:tcPr>
            <w:tcW w:type="dxa" w:w="2160"/>
          </w:tcPr>
          <w:p/>
        </w:tc>
        <w:tc>
          <w:tcPr>
            <w:tcW w:type="dxa" w:w="2160"/>
          </w:tcPr>
          <w:p/>
        </w:tc>
        <w:tc>
          <w:tcPr>
            <w:tcW w:type="dxa" w:w="2160"/>
          </w:tcPr>
          <w:p/>
        </w:tc>
      </w:tr>
      <w:tr>
        <w:tc>
          <w:tcPr>
            <w:tcW w:type="dxa" w:w="720"/>
          </w:tcPr>
          <w:p>
            <w:r>
              <w:t>144</w:t>
            </w:r>
          </w:p>
        </w:tc>
        <w:tc>
          <w:tcPr>
            <w:tcW w:type="dxa" w:w="7200"/>
          </w:tcPr>
          <w:p>
            <w:r>
              <w:t>Evaluate the clinical and biochemical markers of kidney disease with administration of glofitamab/blinatumumab in lymphoma patients and their associated complications</w:t>
            </w:r>
          </w:p>
        </w:tc>
        <w:tc>
          <w:tcPr>
            <w:tcW w:type="dxa" w:w="2160"/>
          </w:tcPr>
          <w:p/>
        </w:tc>
        <w:tc>
          <w:tcPr>
            <w:tcW w:type="dxa" w:w="2160"/>
          </w:tcPr>
          <w:p/>
        </w:tc>
        <w:tc>
          <w:tcPr>
            <w:tcW w:type="dxa" w:w="2160"/>
          </w:tcPr>
          <w:p/>
        </w:tc>
      </w:tr>
      <w:tr>
        <w:tc>
          <w:tcPr>
            <w:tcW w:type="dxa" w:w="720"/>
          </w:tcPr>
          <w:p>
            <w:r>
              <w:t>145</w:t>
            </w:r>
          </w:p>
        </w:tc>
        <w:tc>
          <w:tcPr>
            <w:tcW w:type="dxa" w:w="7200"/>
          </w:tcPr>
          <w:p>
            <w:r>
              <w:t>Primary Aim To identify clinical risk factors associated with the development of candidaemia among adult hospitalised patients with solid organ malignancy. Secondary Aims 1. To describe the epidemiology of candidaemia in patients with solid organ malignancy, including the distribution of Candida species and antifungal susceptibility patterns. 2. To evaluate clinical outcomes associated with candidaemia, including in-hospital mortality, 30-day mortality, intensive care unit admission, and hospital length of stay. 3. To assess temporal trends in Candida species distribution and antifungal resistance patterns during the study period. 4. To compare local epidemiological findings with published UK surveillance data.</w:t>
            </w:r>
          </w:p>
        </w:tc>
        <w:tc>
          <w:tcPr>
            <w:tcW w:type="dxa" w:w="2160"/>
          </w:tcPr>
          <w:p/>
        </w:tc>
        <w:tc>
          <w:tcPr>
            <w:tcW w:type="dxa" w:w="2160"/>
          </w:tcPr>
          <w:p/>
        </w:tc>
        <w:tc>
          <w:tcPr>
            <w:tcW w:type="dxa" w:w="2160"/>
          </w:tcPr>
          <w:p/>
        </w:tc>
      </w:tr>
      <w:tr>
        <w:tc>
          <w:tcPr>
            <w:tcW w:type="dxa" w:w="720"/>
          </w:tcPr>
          <w:p>
            <w:r>
              <w:t>147</w:t>
            </w:r>
          </w:p>
        </w:tc>
        <w:tc>
          <w:tcPr>
            <w:tcW w:type="dxa" w:w="7200"/>
          </w:tcPr>
          <w:p>
            <w:r>
              <w:t>The aim is to review the referral pathway and eventual outcomes of patients who are diagnosed by the UCLH SIHMDS to have AML with TP53 mutation. We want to understand after diagnosis from the SIHMDS, how many patients are referred, discussed in MDT, subsequently transferred (or not), the treatments received, and their outcomes (response to recommended treatment, and subsequent treatments received).</w:t>
            </w:r>
          </w:p>
        </w:tc>
        <w:tc>
          <w:tcPr>
            <w:tcW w:type="dxa" w:w="2160"/>
          </w:tcPr>
          <w:p/>
        </w:tc>
        <w:tc>
          <w:tcPr>
            <w:tcW w:type="dxa" w:w="2160"/>
          </w:tcPr>
          <w:p/>
        </w:tc>
        <w:tc>
          <w:tcPr>
            <w:tcW w:type="dxa" w:w="2160"/>
          </w:tcPr>
          <w:p/>
        </w:tc>
      </w:tr>
      <w:tr>
        <w:tc>
          <w:tcPr>
            <w:tcW w:type="dxa" w:w="720"/>
          </w:tcPr>
          <w:p>
            <w:r>
              <w:t>148</w:t>
            </w:r>
          </w:p>
        </w:tc>
        <w:tc>
          <w:tcPr>
            <w:tcW w:type="dxa" w:w="7200"/>
          </w:tcPr>
          <w:p>
            <w:r>
              <w:t>To evaluate the incidence of ATG infusion related reactions in patients and the management of this. This data will help to identify patients that have been administered ATG - a large number will be required for statistical analysis. If low numbers of reactions we could consider moving this treatment to an OP setting.</w:t>
            </w:r>
          </w:p>
        </w:tc>
        <w:tc>
          <w:tcPr>
            <w:tcW w:type="dxa" w:w="2160"/>
          </w:tcPr>
          <w:p/>
        </w:tc>
        <w:tc>
          <w:tcPr>
            <w:tcW w:type="dxa" w:w="2160"/>
          </w:tcPr>
          <w:p/>
        </w:tc>
        <w:tc>
          <w:tcPr>
            <w:tcW w:type="dxa" w:w="2160"/>
          </w:tcPr>
          <w:p/>
        </w:tc>
      </w:tr>
      <w:tr>
        <w:tc>
          <w:tcPr>
            <w:tcW w:type="dxa" w:w="720"/>
          </w:tcPr>
          <w:p>
            <w:r>
              <w:t>149</w:t>
            </w:r>
          </w:p>
        </w:tc>
        <w:tc>
          <w:tcPr>
            <w:tcW w:type="dxa" w:w="7200"/>
          </w:tcPr>
          <w:p>
            <w:r>
              <w:t>Gemtuzumab ozogamicin ( Mylotarg) ( in combination with daunorubicin plus cytarabine) has been reimbursed by NICE for use in the management of CD33 positive favourable or intermediate risk AML since 2018. The frequency of dosing of Gemtuzumab ozogamicin have varied between different clinical trials ( UK based AML 18 and 19 trials as well as the licensing study ALFA-0701) , despite overall proven benefits- its use does come with side effects which can be significant particularly the occurrence of veno- occlusive disease of the liver. We would like to c a data set on the patients at ULCH who have received at least one dose of Gemtuzumab ozogamicin. These patients have been identified from a BEACON report and there are currently 141. The main outcomes from the project would be - how is it been prescribed - i.e number of doses and when are these being given- are we following a standard approach or is practice variable between patients - is variation in prescribing having any impact on outcomes - frequency of side effects- particularly the veno-occlusive disease of the liver - are there any lab or disease parameters which can predict occurrence of side effects The data required to answer the above is number and frequency of doses given, diagnostic information ( will be obtained from HILUS), lab parameters at diagnosis as well as prior to each dose of Gemtuzumab ozogamicin, occurrence of complications- partly through lab results.</w:t>
            </w:r>
          </w:p>
        </w:tc>
        <w:tc>
          <w:tcPr>
            <w:tcW w:type="dxa" w:w="2160"/>
          </w:tcPr>
          <w:p/>
        </w:tc>
        <w:tc>
          <w:tcPr>
            <w:tcW w:type="dxa" w:w="2160"/>
          </w:tcPr>
          <w:p/>
        </w:tc>
        <w:tc>
          <w:tcPr>
            <w:tcW w:type="dxa" w:w="2160"/>
          </w:tcPr>
          <w:p/>
        </w:tc>
      </w:tr>
      <w:tr>
        <w:tc>
          <w:tcPr>
            <w:tcW w:type="dxa" w:w="720"/>
          </w:tcPr>
          <w:p>
            <w:r>
              <w:t>151</w:t>
            </w:r>
          </w:p>
        </w:tc>
        <w:tc>
          <w:tcPr>
            <w:tcW w:type="dxa" w:w="7200"/>
          </w:tcPr>
          <w:p>
            <w:r>
              <w:t>To understand the number of patients with a cancer diagnosis have had whole genome sequencing completed, a breadown per cancer type, point in cancer care when WGS was done (Diagnosis/Relapse). Also the number of histology samples requested and WGS completed. We need to capture from EPIC the number of WGS samples collected for the TYA cancer population.</w:t>
            </w:r>
          </w:p>
        </w:tc>
        <w:tc>
          <w:tcPr>
            <w:tcW w:type="dxa" w:w="2160"/>
          </w:tcPr>
          <w:p/>
        </w:tc>
        <w:tc>
          <w:tcPr>
            <w:tcW w:type="dxa" w:w="2160"/>
          </w:tcPr>
          <w:p/>
        </w:tc>
        <w:tc>
          <w:tcPr>
            <w:tcW w:type="dxa" w:w="2160"/>
          </w:tcPr>
          <w:p/>
        </w:tc>
      </w:tr>
      <w:tr>
        <w:tc>
          <w:tcPr>
            <w:tcW w:type="dxa" w:w="720"/>
          </w:tcPr>
          <w:p>
            <w:r>
              <w:t>152</w:t>
            </w:r>
          </w:p>
        </w:tc>
        <w:tc>
          <w:tcPr>
            <w:tcW w:type="dxa" w:w="7200"/>
          </w:tcPr>
          <w:p>
            <w:r>
              <w:t>Project aims to evaluate patient outcomes with lacrimal outflow cancers and compare the morbidity and mortality of patients who have had an orbital exenteration vs the ones who have not. Some data from epic has already been collected but completing this data set as well as getting historical data that was documented on paper notes will be critical for completion and accurate outcomes</w:t>
            </w:r>
          </w:p>
        </w:tc>
        <w:tc>
          <w:tcPr>
            <w:tcW w:type="dxa" w:w="2160"/>
          </w:tcPr>
          <w:p/>
        </w:tc>
        <w:tc>
          <w:tcPr>
            <w:tcW w:type="dxa" w:w="2160"/>
          </w:tcPr>
          <w:p/>
        </w:tc>
        <w:tc>
          <w:tcPr>
            <w:tcW w:type="dxa" w:w="2160"/>
          </w:tcPr>
          <w:p/>
        </w:tc>
      </w:tr>
      <w:tr>
        <w:tc>
          <w:tcPr>
            <w:tcW w:type="dxa" w:w="720"/>
          </w:tcPr>
          <w:p>
            <w:r>
              <w:t>153</w:t>
            </w:r>
          </w:p>
        </w:tc>
        <w:tc>
          <w:tcPr>
            <w:tcW w:type="dxa" w:w="7200"/>
          </w:tcPr>
          <w:p>
            <w:r>
              <w:t>Lenalidomide maintenance is now the standard of care post autologous stem cell transplant in patients with multiple myeloma. Unlike other treatment, it is prescribed when a patient's myeloma is quiescent and therefore we need to minimise side effects and supportive measures required for the patient to tolerate and continue treatment. In our clinics, we want to understand how many patients require supportive measures, dose reductions and how tolerable the treatment is (how many stay on until progression vs discontinuation of treatment). We also want to understand if these decisions are in line with available guidelines for dose reductions and supportive measures.</w:t>
            </w:r>
          </w:p>
        </w:tc>
        <w:tc>
          <w:tcPr>
            <w:tcW w:type="dxa" w:w="2160"/>
          </w:tcPr>
          <w:p/>
        </w:tc>
        <w:tc>
          <w:tcPr>
            <w:tcW w:type="dxa" w:w="2160"/>
          </w:tcPr>
          <w:p/>
        </w:tc>
        <w:tc>
          <w:tcPr>
            <w:tcW w:type="dxa" w:w="2160"/>
          </w:tcPr>
          <w:p/>
        </w:tc>
      </w:tr>
      <w:tr>
        <w:tc>
          <w:tcPr>
            <w:tcW w:type="dxa" w:w="720"/>
          </w:tcPr>
          <w:p>
            <w:r>
              <w:t>154</w:t>
            </w:r>
          </w:p>
        </w:tc>
        <w:tc>
          <w:tcPr>
            <w:tcW w:type="dxa" w:w="7200"/>
          </w:tcPr>
          <w:p>
            <w:r>
              <w:t>This retrospective audit will evaluate the prevalence of clonal haematopoiesis of indeterminate potential (CHIP) in patients with Waldenström macroglobulinaemia (WM) who have undergone next-generation sequencing (NGS). The audit will use existing clinical, laboratory, and molecular data collected as part of routine care. The primary objective is to determine the prevalence of CHIP. Secondary objectives are to assess associations between CHIP and inflammatory markers, cytopenias, neuropathy, cryoglobulinaemia, cardiovascular disease, and concurrent myeloid neoplasia. Exploratory analyses will evaluate the relationship between specific CHIP mutation categories and WM clinical phenotypes. The data will be used to compare patients with and without CHIP and to investigate whether CHIP is associated with distinct inflammatory, cytopenic, neurological, or other disease manifestations in WM.</w:t>
            </w:r>
          </w:p>
        </w:tc>
        <w:tc>
          <w:tcPr>
            <w:tcW w:type="dxa" w:w="2160"/>
          </w:tcPr>
          <w:p/>
        </w:tc>
        <w:tc>
          <w:tcPr>
            <w:tcW w:type="dxa" w:w="2160"/>
          </w:tcPr>
          <w:p/>
        </w:tc>
        <w:tc>
          <w:tcPr>
            <w:tcW w:type="dxa" w:w="2160"/>
          </w:tcPr>
          <w:p/>
        </w:tc>
      </w:tr>
      <w:tr>
        <w:tc>
          <w:tcPr>
            <w:tcW w:type="dxa" w:w="720"/>
          </w:tcPr>
          <w:p>
            <w:r>
              <w:t>155</w:t>
            </w:r>
          </w:p>
        </w:tc>
        <w:tc>
          <w:tcPr>
            <w:tcW w:type="dxa" w:w="7200"/>
          </w:tcPr>
          <w:p>
            <w:r>
              <w:t>Research shows a complex relationship between prostate cancer and cardiovascular disease (CVD) with several studies implicating each separate pathology as a risk factor for the other (1,2). Therefore, the European Society of Cardiology Cardio-Oncology (ESC) guideline makes a Class IB recommendation that all patients with prostate cancer receiving androgen deprivation therapy (ADT) without previous cardiovascular disease have baseline and annual CV risk assessment (BP measurement, lipid profile, fasting glucose, HbA1c, ECG and patient education on healthy lifestyle) using SCORE2 or SCORE2-OP to facilitate early detection and treatment of CVD (3). However, as acknowledged in the aforementioned ESC guideline, there is a distinct lack of prostate cancer-specific cardiovascular screening tools as traditional tools, such as SCORE2 and SCORE2-OP were not developed or validated in prostate cancer cohorts. To overcome this, Stabellini and colleagues recently developed and published a prostate cancer-specific CVD risk stratification tool that showed similar performance to traditional risk scores with the benefit of less clinical variables needed (4). It is currently unclear if our practice at UCLH is in line with the ESC Cardio-Oncology guidelines, which are the current evidence-based benchmark in the cardio-oncology field. It is also unclear whether we routinely collect the necessary variables during initial oncology appointments to calculate baseline SCORE2-OP and Stabellini risk scores. Lastly, it is unclear if the novel Stabellini score will be effacious for predicting CVD in a British tertiary prostate cancer cohort. Therefore, the aims of our study are three-fold. Firstly, we aim to characterise the uptake of cardiovascular screening and monitoring in people with prostate cancer at UCLH according to the ESC guideline recommendations through time (over a seven year period from 2015-2022). Secondly, we will assess whether the parameters needed to calculate CVD risk using traditional (i.e. QRISK3 and SCORE2) risk scores and novel risk scores (Guha-Stabellini risk score) are collected at clinic appointments. Thirdly, we will characterise the cardiovascular outcomes in people with prostate cancer and whether traditional and novel risk scores can predict these outcomes in order to inform future uro-oncology service provision. The data requested will address these aims as it will provide a list of patients with prostate cancer treated at UCLH. References 1. Zhu Q, Zeng L and Chen M (2026) Cardiometabolic comorbidities and prostate cancer risk: evidence from the prostate, lung, colorectal, and ovarian cancer screening trial. Front. Oncol. 16:1799790. doi: 10.3389/fonc.2026.1799790 2. Leong, D, Guha, A, Morgans, A. et al. Cardiovascular Risk in Prostate Cancer: JACC: CardioOncology State-of-the-Art Review. J Am Coll Cardiol CardioOnc. 2024 Dec, 6 (6) 835–846. https://doi.org/10.1016/j.jaccao.2024.09.012 3. Lyon AR, López-Fernández T, Couch LS, Asteggiano R, Aznar MC, Bergler-Klein J, et al. 2022 ESC Guidelines on cardio-oncology developed in collaboration with the European Hematology Association (EHA), the European Society for Therapeutic Radiology and Oncology (ESTRO) and the International Cardio-Oncology Society (IC-OS): Developed by the task force on cardio-oncology of the European Society of Cardiology (ESC). European Heart Journal. 2022;43(41):4229-361. 4. Stabellini N, Nahle T, Shah V, Kollapaneni SS, Makram OM, Cullen J, et al. Development and External Validation of a Machine Learning–Based Risk Classification Score for Prostate Cancer–Specific Cardiovascular Risk. JCO Oncology Practice.0(0):OP-26-00131.</w:t>
            </w:r>
          </w:p>
        </w:tc>
        <w:tc>
          <w:tcPr>
            <w:tcW w:type="dxa" w:w="2160"/>
          </w:tcPr>
          <w:p/>
        </w:tc>
        <w:tc>
          <w:tcPr>
            <w:tcW w:type="dxa" w:w="2160"/>
          </w:tcPr>
          <w:p/>
        </w:tc>
        <w:tc>
          <w:tcPr>
            <w:tcW w:type="dxa" w:w="2160"/>
          </w:tcPr>
          <w:p/>
        </w:tc>
      </w:tr>
      <w:tr>
        <w:tc>
          <w:tcPr>
            <w:tcW w:type="dxa" w:w="720"/>
          </w:tcPr>
          <w:p>
            <w:r>
              <w:t>156</w:t>
            </w:r>
          </w:p>
        </w:tc>
        <w:tc>
          <w:tcPr>
            <w:tcW w:type="dxa" w:w="7200"/>
          </w:tcPr>
          <w:p>
            <w:r>
              <w:t>This audit evaluates the compliance, completion rates, and clinical accuracy of the new nutritional screening tool implemented in January for specific non-head and neck PBT patient groups. The project analyses data to confirm if eligible patients are being screened and whether indicators like weight changes and symptoms are correctly recorded and referred as indicated.</w:t>
            </w:r>
          </w:p>
        </w:tc>
        <w:tc>
          <w:tcPr>
            <w:tcW w:type="dxa" w:w="2160"/>
          </w:tcPr>
          <w:p/>
        </w:tc>
        <w:tc>
          <w:tcPr>
            <w:tcW w:type="dxa" w:w="2160"/>
          </w:tcPr>
          <w:p/>
        </w:tc>
        <w:tc>
          <w:tcPr>
            <w:tcW w:type="dxa" w:w="2160"/>
          </w:tcPr>
          <w:p/>
        </w:tc>
      </w:tr>
    </w:tbl>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