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944F0" w14:textId="77777777" w:rsidR="00CE3503" w:rsidRDefault="00CE3503" w:rsidP="00CE3503">
      <w:pPr>
        <w:rPr>
          <w:rFonts w:hint="eastAsia"/>
          <w:b/>
          <w:bCs/>
        </w:rPr>
      </w:pPr>
      <w:r w:rsidRPr="00CC22AE">
        <w:rPr>
          <w:b/>
          <w:bCs/>
        </w:rPr>
        <w:t>TIC Industry - 2026 forward looking</w:t>
      </w:r>
      <w:r>
        <w:rPr>
          <w:rFonts w:hint="eastAsia"/>
          <w:b/>
          <w:bCs/>
        </w:rPr>
        <w:t xml:space="preserve"> - 20260220</w:t>
      </w:r>
    </w:p>
    <w:p w14:paraId="04767512" w14:textId="77777777" w:rsidR="00CE3503" w:rsidRPr="00CC22AE" w:rsidRDefault="00CE3503" w:rsidP="00CE3503">
      <w:r w:rsidRPr="00CC22AE">
        <w:t>This article aims at combining my understanding and characteristics of the industry for what it will look like in 5 years.</w:t>
      </w:r>
    </w:p>
    <w:p w14:paraId="4F75F926" w14:textId="77777777" w:rsidR="00CE3503" w:rsidRPr="00CC22AE" w:rsidRDefault="00CE3503" w:rsidP="00CE3503">
      <w:r w:rsidRPr="00CC22AE">
        <w:rPr>
          <w:i/>
          <w:iCs/>
        </w:rPr>
        <w:t xml:space="preserve">For those new to the industry, TIC services as a third-party checker help recognize the quality of a product and get paid by the service. SGS as the leader in the industry, can mostly represent the industry. </w:t>
      </w:r>
    </w:p>
    <w:p w14:paraId="7BE3F6D3" w14:textId="77777777" w:rsidR="00CE3503" w:rsidRPr="00CC22AE" w:rsidRDefault="00CE3503" w:rsidP="00CE3503">
      <w:r w:rsidRPr="00CC22AE">
        <w:rPr>
          <w:i/>
          <w:iCs/>
        </w:rPr>
        <w:t>The sector is a compounding, capital-light business services sector that earns its fees from being the mandatory third-party enforcer between regulation and commerce.</w:t>
      </w:r>
    </w:p>
    <w:p w14:paraId="7380FC8D" w14:textId="77777777" w:rsidR="00CE3503" w:rsidRPr="00CC22AE" w:rsidRDefault="00CE3503" w:rsidP="00CE3503">
      <w:pPr>
        <w:rPr>
          <w:b/>
          <w:bCs/>
        </w:rPr>
      </w:pPr>
      <w:r w:rsidRPr="00CC22AE">
        <w:rPr>
          <w:b/>
          <w:bCs/>
        </w:rPr>
        <w:t>About the TIC industry</w:t>
      </w:r>
    </w:p>
    <w:p w14:paraId="3665AFD3" w14:textId="77777777" w:rsidR="00CE3503" w:rsidRPr="00CC22AE" w:rsidRDefault="00CE3503" w:rsidP="00CE3503">
      <w:r w:rsidRPr="00CC22AE">
        <w:t xml:space="preserve">First, brand is the key asset of a company. Take SGS as an example, a product with SGS certification automatically provides reliability for users. The deep combine of brand name and reliability provides competitive advantage to the company. On the other hand, difficult for </w:t>
      </w:r>
      <w:proofErr w:type="gramStart"/>
      <w:r w:rsidRPr="00CC22AE">
        <w:t>new-joiner</w:t>
      </w:r>
      <w:proofErr w:type="gramEnd"/>
      <w:r w:rsidRPr="00CC22AE">
        <w:t xml:space="preserve"> to compete with.</w:t>
      </w:r>
    </w:p>
    <w:p w14:paraId="7616FC34" w14:textId="77777777" w:rsidR="00CE3503" w:rsidRPr="00CC22AE" w:rsidRDefault="00CE3503" w:rsidP="00CE3503">
      <w:r w:rsidRPr="00CC22AE">
        <w:t xml:space="preserve">Second, the cost management. This is a topic that I experienced multiple times in my work which is how to balance the addition costs with client need. Since TIC company is hired by the client to do quality check, it's natural to face increasing client demand for quality while lower price from competitors. While big names can argue through brand name and reputation, most companies </w:t>
      </w:r>
      <w:proofErr w:type="gramStart"/>
      <w:r w:rsidRPr="00CC22AE">
        <w:t>have to</w:t>
      </w:r>
      <w:proofErr w:type="gramEnd"/>
      <w:r w:rsidRPr="00CC22AE">
        <w:t xml:space="preserve"> compete through lowering the price.</w:t>
      </w:r>
    </w:p>
    <w:p w14:paraId="6AD64CD3" w14:textId="77777777" w:rsidR="00CE3503" w:rsidRPr="00CC22AE" w:rsidRDefault="00CE3503" w:rsidP="00CE3503">
      <w:r w:rsidRPr="00CC22AE">
        <w:rPr>
          <w:i/>
          <w:iCs/>
        </w:rPr>
        <w:t xml:space="preserve">(If you know the big four auditor, it's </w:t>
      </w:r>
      <w:proofErr w:type="gramStart"/>
      <w:r w:rsidRPr="00CC22AE">
        <w:rPr>
          <w:i/>
          <w:iCs/>
        </w:rPr>
        <w:t>similar to</w:t>
      </w:r>
      <w:proofErr w:type="gramEnd"/>
      <w:r w:rsidRPr="00CC22AE">
        <w:rPr>
          <w:i/>
          <w:iCs/>
        </w:rPr>
        <w:t xml:space="preserve"> auditors hired by shareholders to check the figures of a company)</w:t>
      </w:r>
    </w:p>
    <w:p w14:paraId="3A4E3742" w14:textId="77777777" w:rsidR="00CE3503" w:rsidRPr="00CC22AE" w:rsidRDefault="00CE3503" w:rsidP="00CE3503">
      <w:r w:rsidRPr="00CC22AE">
        <w:t xml:space="preserve">In addition, new businesses </w:t>
      </w:r>
      <w:proofErr w:type="gramStart"/>
      <w:r w:rsidRPr="00CC22AE">
        <w:t>is</w:t>
      </w:r>
      <w:proofErr w:type="gramEnd"/>
      <w:r w:rsidRPr="00CC22AE">
        <w:t xml:space="preserve"> tricky for a TIC company as it's a gamble towards future trend. Either through M&amp;A or internal development, even a long-term successful strategy will have huge pressure on the management through short-term results especially profitability. It can happen when choosing a temporarily popular aspect (e.g. ESG, new energy, SAAS) but turn out to be a huge failure.</w:t>
      </w:r>
    </w:p>
    <w:p w14:paraId="65AABB83" w14:textId="77777777" w:rsidR="00CE3503" w:rsidRPr="00CC22AE" w:rsidRDefault="00CE3503" w:rsidP="00CE3503">
      <w:r w:rsidRPr="00CC22AE">
        <w:t xml:space="preserve">From new-entry perspective: </w:t>
      </w:r>
      <w:r w:rsidRPr="00CC22AE">
        <w:rPr>
          <w:b/>
          <w:bCs/>
        </w:rPr>
        <w:t>High</w:t>
      </w:r>
      <w:r w:rsidRPr="00CC22AE">
        <w:t xml:space="preserve"> for regulated, accredited testing (labs, certifications, notified-body work) — regulators choose and constrain who can operate. </w:t>
      </w:r>
      <w:r w:rsidRPr="00CC22AE">
        <w:rPr>
          <w:b/>
          <w:bCs/>
        </w:rPr>
        <w:t>Medium</w:t>
      </w:r>
      <w:r w:rsidRPr="00CC22AE">
        <w:t xml:space="preserve"> for general inspection — brand helps but margins are thinner and price competition is real. </w:t>
      </w:r>
      <w:r w:rsidRPr="00CC22AE">
        <w:rPr>
          <w:b/>
          <w:bCs/>
        </w:rPr>
        <w:t>Lower</w:t>
      </w:r>
      <w:r w:rsidRPr="00CC22AE">
        <w:t xml:space="preserve"> for commodity auditing — vulnerable to pricing pressure; this is the segment where margin erosion concentrates.</w:t>
      </w:r>
    </w:p>
    <w:p w14:paraId="61E876F1" w14:textId="77777777" w:rsidR="00CE3503" w:rsidRPr="00CC22AE" w:rsidRDefault="00CE3503" w:rsidP="00CE3503">
      <w:r w:rsidRPr="00CC22AE">
        <w:t>From valuation perspective, historically the sector has traded at a long-run average of 14.2x EV/EBITDA, peaking at 17.2x at the 2018–2019 digital/ESG re-rating and troughing at 12.6x during COVID.</w:t>
      </w:r>
    </w:p>
    <w:p w14:paraId="2E27DA09" w14:textId="77777777" w:rsidR="00CE3503" w:rsidRPr="00CC22AE" w:rsidRDefault="00CE3503" w:rsidP="00CE3503">
      <w:pPr>
        <w:rPr>
          <w:b/>
          <w:bCs/>
        </w:rPr>
      </w:pPr>
      <w:r w:rsidRPr="00CC22AE">
        <w:rPr>
          <w:b/>
          <w:bCs/>
        </w:rPr>
        <w:t>TIC industry - forward looking</w:t>
      </w:r>
    </w:p>
    <w:p w14:paraId="49E466FB" w14:textId="77777777" w:rsidR="00CE3503" w:rsidRPr="00CC22AE" w:rsidRDefault="00CE3503" w:rsidP="00CE3503">
      <w:r w:rsidRPr="00CC22AE">
        <w:t>If I am to forecast the industry, I will say:</w:t>
      </w:r>
    </w:p>
    <w:p w14:paraId="5A4F919C" w14:textId="77777777" w:rsidR="00CE3503" w:rsidRPr="00CC22AE" w:rsidRDefault="00CE3503" w:rsidP="00CE3503">
      <w:r w:rsidRPr="00CC22AE">
        <w:lastRenderedPageBreak/>
        <w:t xml:space="preserve">Big brands will continue to maintain its position </w:t>
      </w:r>
      <w:proofErr w:type="gramStart"/>
      <w:r w:rsidRPr="00CC22AE">
        <w:t>as long as</w:t>
      </w:r>
      <w:proofErr w:type="gramEnd"/>
      <w:r w:rsidRPr="00CC22AE">
        <w:t xml:space="preserve"> the reputation remains. The winners will be the players that protect brand credibility while industrializing delivery through technology and targeted M&amp;A. But it can happen that a company have a lead position in </w:t>
      </w:r>
      <w:proofErr w:type="gramStart"/>
      <w:r w:rsidRPr="00CC22AE">
        <w:t>a</w:t>
      </w:r>
      <w:proofErr w:type="gramEnd"/>
      <w:r w:rsidRPr="00CC22AE">
        <w:t xml:space="preserve"> industry that's diminishing.</w:t>
      </w:r>
    </w:p>
    <w:p w14:paraId="3991F320" w14:textId="77777777" w:rsidR="00CE3503" w:rsidRPr="00CC22AE" w:rsidRDefault="00CE3503" w:rsidP="00CE3503">
      <w:r w:rsidRPr="00CC22AE">
        <w:t xml:space="preserve">Every company has a strength in certain TIC area, buying that company has exposure to that industry. Industrials, energy, products, etc.., those </w:t>
      </w:r>
      <w:proofErr w:type="gramStart"/>
      <w:r w:rsidRPr="00CC22AE">
        <w:t>clients</w:t>
      </w:r>
      <w:proofErr w:type="gramEnd"/>
      <w:r w:rsidRPr="00CC22AE">
        <w:t xml:space="preserve"> performance will influence TIC companies as suppliers so it's not an independent TIC industry but one part of a value chain within an industry.</w:t>
      </w:r>
    </w:p>
    <w:p w14:paraId="2F28EA38" w14:textId="77777777" w:rsidR="00CE3503" w:rsidRPr="00CC22AE" w:rsidRDefault="00CE3503" w:rsidP="00CE3503">
      <w:r w:rsidRPr="00CC22AE">
        <w:t>Since now everyone is talking about AI, I don't see the obvious change in the TIC industry now, which means AI application requires management to figure out methods to implement.</w:t>
      </w:r>
    </w:p>
    <w:p w14:paraId="4FAE26C8" w14:textId="77777777" w:rsidR="00CE3503" w:rsidRPr="00CC22AE" w:rsidRDefault="00CE3503" w:rsidP="00CE3503">
      <w:r w:rsidRPr="00CC22AE">
        <w:t xml:space="preserve">What differs a good TIC vs bad TIC company? Besides valuation, revenue growth, profitability, I will look at how management maintains brand reputation. The link to trust and reliability is the key </w:t>
      </w:r>
      <w:proofErr w:type="gramStart"/>
      <w:r w:rsidRPr="00CC22AE">
        <w:t>of</w:t>
      </w:r>
      <w:proofErr w:type="gramEnd"/>
      <w:r w:rsidRPr="00CC22AE">
        <w:t xml:space="preserve"> a TIC company, without that, it will struggle in the price war without bargaining power against client.</w:t>
      </w:r>
    </w:p>
    <w:p w14:paraId="6712A896" w14:textId="77777777" w:rsidR="00CE3503" w:rsidRPr="00CC22AE" w:rsidRDefault="00CE3503" w:rsidP="00CE3503">
      <w:r w:rsidRPr="00CC22AE">
        <w:t>As 2025 was turbulent for global supply chain, TIC players with wide geographic footprints and multi-body accreditation benefits from the uncertainty. Otherwise, companies with narrow geographic concentration can stand out with revenue growth and high profitability.</w:t>
      </w:r>
    </w:p>
    <w:p w14:paraId="51DA6BD7" w14:textId="77777777" w:rsidR="00CE3503" w:rsidRPr="00CC22AE" w:rsidRDefault="00CE3503" w:rsidP="00CE3503">
      <w:r w:rsidRPr="00CC22AE">
        <w:t>Finally, a good reputation needs years of effort but can be destroyed in a sudden. That's why SGS stands the lead position in the TIC industry.</w:t>
      </w:r>
    </w:p>
    <w:p w14:paraId="4367FFC8" w14:textId="77777777" w:rsidR="00CE3503" w:rsidRPr="00CC22AE" w:rsidRDefault="00CE3503" w:rsidP="00CE3503">
      <w:r w:rsidRPr="00CC22AE">
        <w:rPr>
          <w:i/>
          <w:iCs/>
        </w:rPr>
        <w:t>Written 20260220 in Hong Kong</w:t>
      </w:r>
    </w:p>
    <w:p w14:paraId="07CC6BFC" w14:textId="77777777" w:rsidR="00CE3503" w:rsidRDefault="00CE3503" w:rsidP="00CE3503"/>
    <w:p w14:paraId="7B6203D2" w14:textId="77777777" w:rsidR="00856967" w:rsidRDefault="00856967"/>
    <w:sectPr w:rsidR="0085696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13832" w14:textId="77777777" w:rsidR="00B07CD9" w:rsidRDefault="00B07CD9" w:rsidP="00CE3503">
      <w:pPr>
        <w:spacing w:after="0" w:line="240" w:lineRule="auto"/>
      </w:pPr>
      <w:r>
        <w:separator/>
      </w:r>
    </w:p>
  </w:endnote>
  <w:endnote w:type="continuationSeparator" w:id="0">
    <w:p w14:paraId="504B6996" w14:textId="77777777" w:rsidR="00B07CD9" w:rsidRDefault="00B07CD9" w:rsidP="00CE35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E7F3D" w14:textId="77777777" w:rsidR="00B07CD9" w:rsidRDefault="00B07CD9" w:rsidP="00CE3503">
      <w:pPr>
        <w:spacing w:after="0" w:line="240" w:lineRule="auto"/>
      </w:pPr>
      <w:r>
        <w:separator/>
      </w:r>
    </w:p>
  </w:footnote>
  <w:footnote w:type="continuationSeparator" w:id="0">
    <w:p w14:paraId="299C96CE" w14:textId="77777777" w:rsidR="00B07CD9" w:rsidRDefault="00B07CD9" w:rsidP="00CE350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B7F"/>
    <w:rsid w:val="00194868"/>
    <w:rsid w:val="001B2EB1"/>
    <w:rsid w:val="001E7751"/>
    <w:rsid w:val="00380B7F"/>
    <w:rsid w:val="00856967"/>
    <w:rsid w:val="00B07CD9"/>
    <w:rsid w:val="00B42401"/>
    <w:rsid w:val="00CE3503"/>
    <w:rsid w:val="00D039E3"/>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C562184A-7F34-424F-9207-5A049AEFA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503"/>
  </w:style>
  <w:style w:type="paragraph" w:styleId="Heading1">
    <w:name w:val="heading 1"/>
    <w:basedOn w:val="Normal"/>
    <w:next w:val="Normal"/>
    <w:link w:val="Heading1Char"/>
    <w:uiPriority w:val="9"/>
    <w:qFormat/>
    <w:rsid w:val="00380B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0B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0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B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0B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0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0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0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B7F"/>
    <w:rPr>
      <w:rFonts w:eastAsiaTheme="majorEastAsia" w:cstheme="majorBidi"/>
      <w:color w:val="272727" w:themeColor="text1" w:themeTint="D8"/>
    </w:rPr>
  </w:style>
  <w:style w:type="paragraph" w:styleId="Title">
    <w:name w:val="Title"/>
    <w:basedOn w:val="Normal"/>
    <w:next w:val="Normal"/>
    <w:link w:val="TitleChar"/>
    <w:uiPriority w:val="10"/>
    <w:qFormat/>
    <w:rsid w:val="00380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B7F"/>
    <w:pPr>
      <w:spacing w:before="160"/>
      <w:jc w:val="center"/>
    </w:pPr>
    <w:rPr>
      <w:i/>
      <w:iCs/>
      <w:color w:val="404040" w:themeColor="text1" w:themeTint="BF"/>
    </w:rPr>
  </w:style>
  <w:style w:type="character" w:customStyle="1" w:styleId="QuoteChar">
    <w:name w:val="Quote Char"/>
    <w:basedOn w:val="DefaultParagraphFont"/>
    <w:link w:val="Quote"/>
    <w:uiPriority w:val="29"/>
    <w:rsid w:val="00380B7F"/>
    <w:rPr>
      <w:i/>
      <w:iCs/>
      <w:color w:val="404040" w:themeColor="text1" w:themeTint="BF"/>
    </w:rPr>
  </w:style>
  <w:style w:type="paragraph" w:styleId="ListParagraph">
    <w:name w:val="List Paragraph"/>
    <w:basedOn w:val="Normal"/>
    <w:uiPriority w:val="34"/>
    <w:qFormat/>
    <w:rsid w:val="00380B7F"/>
    <w:pPr>
      <w:ind w:left="720"/>
      <w:contextualSpacing/>
    </w:pPr>
  </w:style>
  <w:style w:type="character" w:styleId="IntenseEmphasis">
    <w:name w:val="Intense Emphasis"/>
    <w:basedOn w:val="DefaultParagraphFont"/>
    <w:uiPriority w:val="21"/>
    <w:qFormat/>
    <w:rsid w:val="00380B7F"/>
    <w:rPr>
      <w:i/>
      <w:iCs/>
      <w:color w:val="0F4761" w:themeColor="accent1" w:themeShade="BF"/>
    </w:rPr>
  </w:style>
  <w:style w:type="paragraph" w:styleId="IntenseQuote">
    <w:name w:val="Intense Quote"/>
    <w:basedOn w:val="Normal"/>
    <w:next w:val="Normal"/>
    <w:link w:val="IntenseQuoteChar"/>
    <w:uiPriority w:val="30"/>
    <w:qFormat/>
    <w:rsid w:val="00380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B7F"/>
    <w:rPr>
      <w:i/>
      <w:iCs/>
      <w:color w:val="0F4761" w:themeColor="accent1" w:themeShade="BF"/>
    </w:rPr>
  </w:style>
  <w:style w:type="character" w:styleId="IntenseReference">
    <w:name w:val="Intense Reference"/>
    <w:basedOn w:val="DefaultParagraphFont"/>
    <w:uiPriority w:val="32"/>
    <w:qFormat/>
    <w:rsid w:val="00380B7F"/>
    <w:rPr>
      <w:b/>
      <w:bCs/>
      <w:smallCaps/>
      <w:color w:val="0F4761" w:themeColor="accent1" w:themeShade="BF"/>
      <w:spacing w:val="5"/>
    </w:rPr>
  </w:style>
  <w:style w:type="paragraph" w:styleId="Header">
    <w:name w:val="header"/>
    <w:basedOn w:val="Normal"/>
    <w:link w:val="HeaderChar"/>
    <w:uiPriority w:val="99"/>
    <w:unhideWhenUsed/>
    <w:rsid w:val="00CE35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3503"/>
  </w:style>
  <w:style w:type="paragraph" w:styleId="Footer">
    <w:name w:val="footer"/>
    <w:basedOn w:val="Normal"/>
    <w:link w:val="FooterChar"/>
    <w:uiPriority w:val="99"/>
    <w:unhideWhenUsed/>
    <w:rsid w:val="00CE35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35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639</Words>
  <Characters>3348</Characters>
  <Application>Microsoft Office Word</Application>
  <DocSecurity>0</DocSecurity>
  <Lines>279</Lines>
  <Paragraphs>124</Paragraphs>
  <ScaleCrop>false</ScaleCrop>
  <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Chen</dc:creator>
  <cp:keywords/>
  <dc:description/>
  <cp:lastModifiedBy>Xavier Chen</cp:lastModifiedBy>
  <cp:revision>2</cp:revision>
  <dcterms:created xsi:type="dcterms:W3CDTF">2026-02-27T06:25:00Z</dcterms:created>
  <dcterms:modified xsi:type="dcterms:W3CDTF">2026-02-27T06:26:00Z</dcterms:modified>
</cp:coreProperties>
</file>