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80" w:after="160"/>
        <w:jc w:val="center"/>
      </w:pPr>
      <w:r>
        <w:t>研究模型与算法方案修改对照</w:t>
      </w:r>
    </w:p>
    <w:p>
      <w:pPr>
        <w:spacing w:after="60"/>
        <w:jc w:val="center"/>
      </w:pPr>
      <w:r>
        <w:rPr>
          <w:rFonts w:ascii="Arial" w:hAnsi="Arial" w:eastAsia="微软雅黑"/>
          <w:b w:val="0"/>
          <w:color w:val="000000"/>
          <w:sz w:val="22"/>
        </w:rPr>
        <w:t>依据当前计划和已完成链路数据的逐节替换建议</w:t>
      </w:r>
    </w:p>
    <w:p>
      <w:pPr>
        <w:spacing w:after="320"/>
        <w:jc w:val="center"/>
      </w:pPr>
      <w:r>
        <w:rPr>
          <w:rFonts w:ascii="Arial" w:hAnsi="Arial" w:eastAsia="微软雅黑"/>
          <w:color w:val="666666"/>
          <w:sz w:val="19"/>
        </w:rPr>
        <w:t>生成日期  2026年10月18日</w:t>
      </w:r>
    </w:p>
    <w:p>
      <w:pPr>
        <w:spacing w:before="0" w:after="140" w:line="307" w:lineRule="auto"/>
      </w:pPr>
      <w:r>
        <w:rPr>
          <w:rFonts w:ascii="Arial" w:hAnsi="Arial" w:eastAsia="宋体"/>
          <w:color w:val="000000"/>
          <w:sz w:val="21"/>
        </w:rPr>
        <w:t>结论：现有研究方案需要把多级城市接续写入正式方法，并把路径重构从当前主线移到后续扩展。多级关系表示同一台农机城市访问顺序中的前后联系，不等同于农机从起点直接开到终点。当前正式链路以衰减权重为主，逐条计数版本只用于比较。</w:t>
      </w:r>
    </w:p>
    <w:p>
      <w:pPr>
        <w:spacing w:before="0" w:after="240" w:line="307" w:lineRule="auto"/>
      </w:pPr>
      <w:r>
        <w:rPr>
          <w:rFonts w:ascii="Arial" w:hAnsi="Arial" w:eastAsia="宋体"/>
          <w:color w:val="000000"/>
          <w:sz w:val="21"/>
        </w:rPr>
        <w:t>本文档按“原文位置、修改原因、建议替换文本”逐项列出修改内容，可直接用于修改原研究方案。原研究方案文件本身没有被覆盖。凡是尚未正式确定的阈值或口径，本文只保留符号和待确认说明，不写入具体数值。</w:t>
      </w:r>
    </w:p>
    <w:p>
      <w:pPr>
        <w:pStyle w:val="Heading1"/>
        <w:keepNext/>
        <w:spacing w:before="280" w:after="140"/>
      </w:pPr>
      <w:r>
        <w:rPr>
          <w:rFonts w:ascii="Arial" w:hAnsi="Arial" w:eastAsia="微软雅黑"/>
          <w:b/>
          <w:color w:val="000000"/>
          <w:sz w:val="31"/>
        </w:rPr>
        <w:t>一 修改依据和边界</w:t>
      </w:r>
    </w:p>
    <w:p>
      <w:pPr>
        <w:spacing w:after="80" w:line="293" w:lineRule="auto"/>
        <w:ind w:left="461" w:hanging="317"/>
      </w:pPr>
      <w:r>
        <w:rPr>
          <w:rFonts w:ascii="Arial" w:hAnsi="Arial" w:eastAsia="宋体"/>
          <w:color w:val="000000"/>
          <w:sz w:val="21"/>
        </w:rPr>
        <w:t>1.  研究方案与PLAN不一致时，当前步骤以PLAN为准。</w:t>
      </w:r>
    </w:p>
    <w:p>
      <w:pPr>
        <w:spacing w:after="80" w:line="293" w:lineRule="auto"/>
        <w:ind w:left="461" w:hanging="317"/>
      </w:pPr>
      <w:r>
        <w:rPr>
          <w:rFonts w:ascii="Arial" w:hAnsi="Arial" w:eastAsia="宋体"/>
          <w:color w:val="000000"/>
          <w:sz w:val="21"/>
        </w:rPr>
        <w:t>2.  2021年、2022年、2023年分开生成城市接续和城市链路，不跨年连接。</w:t>
      </w:r>
    </w:p>
    <w:p>
      <w:pPr>
        <w:spacing w:after="80" w:line="293" w:lineRule="auto"/>
        <w:ind w:left="461" w:hanging="317"/>
      </w:pPr>
      <w:r>
        <w:rPr>
          <w:rFonts w:ascii="Arial" w:hAnsi="Arial" w:eastAsia="宋体"/>
          <w:color w:val="000000"/>
          <w:sz w:val="21"/>
        </w:rPr>
        <w:t>3.  先在全部有名称的轨迹城市中形成完整城市访问顺序，再筛选两端都属于固定81城的城市对，避免先裁剪城市后截断路径。</w:t>
      </w:r>
    </w:p>
    <w:p>
      <w:pPr>
        <w:spacing w:after="80" w:line="293" w:lineRule="auto"/>
        <w:ind w:left="461" w:hanging="317"/>
      </w:pPr>
      <w:r>
        <w:rPr>
          <w:rFonts w:ascii="Arial" w:hAnsi="Arial" w:eastAsia="宋体"/>
          <w:color w:val="000000"/>
          <w:sz w:val="21"/>
        </w:rPr>
        <w:t>4.  同一份数据同时保留一级和多级关系，用边级、跨越访问数和衰减权重区分，不拆成互不相干的数据集。</w:t>
      </w:r>
    </w:p>
    <w:p>
      <w:pPr>
        <w:spacing w:after="80" w:line="293" w:lineRule="auto"/>
        <w:ind w:left="461" w:hanging="317"/>
      </w:pPr>
      <w:r>
        <w:rPr>
          <w:rFonts w:ascii="Arial" w:hAnsi="Arial" w:eastAsia="宋体"/>
          <w:color w:val="000000"/>
          <w:sz w:val="21"/>
        </w:rPr>
        <w:t>5.  主版本链路权重为衰减权重之和；备用版本为接续记录数。两者不能混写成同一个指标。</w:t>
      </w:r>
    </w:p>
    <w:p>
      <w:pPr>
        <w:spacing w:after="80" w:line="293" w:lineRule="auto"/>
        <w:ind w:left="461" w:hanging="317"/>
      </w:pPr>
      <w:r>
        <w:rPr>
          <w:rFonts w:ascii="Arial" w:hAnsi="Arial" w:eastAsia="宋体"/>
          <w:color w:val="000000"/>
          <w:sz w:val="21"/>
        </w:rPr>
        <w:t>6.  路径重构不属于当前分析主线，相关指标和算法暂不作为本轮正式输出。</w:t>
      </w:r>
    </w:p>
    <w:p>
      <w:pPr>
        <w:pStyle w:val="Heading2"/>
        <w:keepNext/>
        <w:spacing w:before="200" w:after="100"/>
      </w:pPr>
      <w:r>
        <w:rPr>
          <w:rFonts w:ascii="Arial" w:hAnsi="Arial" w:eastAsia="微软雅黑"/>
          <w:b/>
          <w:color w:val="000000"/>
          <w:sz w:val="26"/>
        </w:rPr>
        <w:t>仍需后续确定的内容</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trPr>
        <w:tc>
          <w:tcPr>
            <w:tcW w:type="dxa" w:w="2232"/>
            <w:vAlign w:val="center"/>
            <w:tcMar>
              <w:top w:w="90" w:type="dxa"/>
              <w:start w:w="110" w:type="dxa"/>
              <w:bottom w:w="90" w:type="dxa"/>
              <w:end w:w="110" w:type="dxa"/>
            </w:tcMar>
            <w:shd w:fill="1F4E78"/>
          </w:tcPr>
          <w:p>
            <w:pPr>
              <w:spacing w:before="0" w:after="0" w:line="276" w:lineRule="auto"/>
              <w:jc w:val="center"/>
            </w:pPr>
            <w:r>
              <w:rPr>
                <w:rFonts w:ascii="Arial" w:hAnsi="Arial" w:eastAsia="微软雅黑"/>
                <w:b/>
                <w:color w:val="FFFFFF"/>
                <w:sz w:val="18"/>
              </w:rPr>
              <w:t>问题</w:t>
            </w:r>
          </w:p>
        </w:tc>
        <w:tc>
          <w:tcPr>
            <w:tcW w:type="dxa" w:w="3096"/>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当前状态</w:t>
            </w:r>
          </w:p>
        </w:tc>
        <w:tc>
          <w:tcPr>
            <w:tcW w:type="dxa" w:w="4104"/>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研究方案中的写法</w:t>
            </w:r>
          </w:p>
        </w:tc>
      </w:tr>
      <w:tr>
        <w:trPr>
          <w:cantSplit/>
        </w:trPr>
        <w:tc>
          <w:tcPr>
            <w:tcW w:type="dxa" w:w="223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最大接续时间间隔</w:t>
            </w:r>
          </w:p>
        </w:tc>
        <w:tc>
          <w:tcPr>
            <w:tcW w:type="dxa" w:w="3096"/>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当前不按时间间隔删边</w:t>
            </w:r>
          </w:p>
        </w:tc>
        <w:tc>
          <w:tcPr>
            <w:tcW w:type="dxa" w:w="410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构建正式基线前结合完整样本确定，并检查不同取值对结果的影响</w:t>
            </w:r>
          </w:p>
        </w:tc>
      </w:tr>
      <w:tr>
        <w:trPr>
          <w:cantSplit/>
        </w:trPr>
        <w:tc>
          <w:tcPr>
            <w:tcW w:type="dxa" w:w="2232"/>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基线筛边阈值</w:t>
            </w:r>
          </w:p>
        </w:tc>
        <w:tc>
          <w:tcPr>
            <w:tcW w:type="dxa" w:w="3096"/>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转移概率阈值和跨年支持度阈值均未定</w:t>
            </w:r>
          </w:p>
        </w:tc>
        <w:tc>
          <w:tcPr>
            <w:tcW w:type="dxa" w:w="410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保留符号，不写具体数值</w:t>
            </w:r>
          </w:p>
        </w:tc>
      </w:tr>
      <w:tr>
        <w:trPr>
          <w:cantSplit/>
        </w:trPr>
        <w:tc>
          <w:tcPr>
            <w:tcW w:type="dxa" w:w="223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同城边是否进入基线网络</w:t>
            </w:r>
          </w:p>
        </w:tc>
        <w:tc>
          <w:tcPr>
            <w:tcW w:type="dxa" w:w="3096"/>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同城端点目前保留在链路数据中</w:t>
            </w:r>
          </w:p>
        </w:tc>
        <w:tc>
          <w:tcPr>
            <w:tcW w:type="dxa" w:w="410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正式网络计算前单独决定</w:t>
            </w:r>
          </w:p>
        </w:tc>
      </w:tr>
      <w:tr>
        <w:trPr>
          <w:cantSplit/>
        </w:trPr>
        <w:tc>
          <w:tcPr>
            <w:tcW w:type="dxa" w:w="2232"/>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最终回流定义</w:t>
            </w:r>
          </w:p>
        </w:tc>
        <w:tc>
          <w:tcPr>
            <w:tcW w:type="dxa" w:w="3096"/>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目前只有用于查看数据的直接回流口径</w:t>
            </w:r>
          </w:p>
        </w:tc>
        <w:tc>
          <w:tcPr>
            <w:tcW w:type="dxa" w:w="410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正式回流分析前再确定范围</w:t>
            </w:r>
          </w:p>
        </w:tc>
      </w:tr>
      <w:tr>
        <w:trPr>
          <w:cantSplit/>
        </w:trPr>
        <w:tc>
          <w:tcPr>
            <w:tcW w:type="dxa" w:w="223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低样本补边方法</w:t>
            </w:r>
          </w:p>
        </w:tc>
        <w:tc>
          <w:tcPr>
            <w:tcW w:type="dxa" w:w="3096"/>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gravity、radiation、top-k等尚未被选为正式方法</w:t>
            </w:r>
          </w:p>
        </w:tc>
        <w:tc>
          <w:tcPr>
            <w:tcW w:type="dxa" w:w="410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先完成经验基线，再决定是否需要</w:t>
            </w:r>
          </w:p>
        </w:tc>
      </w:tr>
    </w:tbl>
    <w:p>
      <w:pPr>
        <w:spacing w:after="20"/>
      </w:pPr>
    </w:p>
    <w:p>
      <w:pPr>
        <w:pStyle w:val="Heading1"/>
        <w:keepNext/>
        <w:spacing w:before="280" w:after="140"/>
      </w:pPr>
      <w:r>
        <w:rPr>
          <w:rFonts w:ascii="Arial" w:hAnsi="Arial" w:eastAsia="微软雅黑"/>
          <w:b/>
          <w:color w:val="000000"/>
          <w:sz w:val="31"/>
        </w:rPr>
        <w:t>二 修改位置总表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trPr>
        <w:tc>
          <w:tcPr>
            <w:tcW w:type="dxa" w:w="648"/>
            <w:vAlign w:val="center"/>
            <w:tcMar>
              <w:top w:w="90" w:type="dxa"/>
              <w:start w:w="110" w:type="dxa"/>
              <w:bottom w:w="90" w:type="dxa"/>
              <w:end w:w="110" w:type="dxa"/>
            </w:tcMar>
            <w:shd w:fill="1F4E78"/>
          </w:tcPr>
          <w:p>
            <w:pPr>
              <w:spacing w:before="0" w:after="0" w:line="276" w:lineRule="auto"/>
              <w:jc w:val="center"/>
            </w:pPr>
            <w:r>
              <w:rPr>
                <w:rFonts w:ascii="Arial" w:hAnsi="Arial" w:eastAsia="微软雅黑"/>
                <w:b/>
                <w:color w:val="FFFFFF"/>
                <w:sz w:val="17"/>
              </w:rPr>
              <w:t>编号</w:t>
            </w:r>
          </w:p>
        </w:tc>
        <w:tc>
          <w:tcPr>
            <w:tcW w:type="dxa" w:w="1944"/>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7"/>
              </w:rPr>
              <w:t>原文位置</w:t>
            </w:r>
          </w:p>
        </w:tc>
        <w:tc>
          <w:tcPr>
            <w:tcW w:type="dxa" w:w="1267"/>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7"/>
              </w:rPr>
              <w:t>修改动作</w:t>
            </w:r>
          </w:p>
        </w:tc>
        <w:tc>
          <w:tcPr>
            <w:tcW w:type="dxa" w:w="4579"/>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7"/>
              </w:rPr>
              <w:t>为什么修改</w:t>
            </w:r>
          </w:p>
        </w:tc>
        <w:tc>
          <w:tcPr>
            <w:tcW w:type="dxa" w:w="1037"/>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7"/>
              </w:rPr>
              <w:t>状态</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1</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一 研究总体思路</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改写</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删除当前主线中的路径重构，补入多级接续和两套权重</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2</w:t>
            </w:r>
          </w:p>
        </w:tc>
        <w:tc>
          <w:tcPr>
            <w:tcW w:type="dxa" w:w="194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2.2 路径重构</w:t>
            </w:r>
          </w:p>
        </w:tc>
        <w:tc>
          <w:tcPr>
            <w:tcW w:type="dxa" w:w="126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替换并移位</w:t>
            </w:r>
          </w:p>
        </w:tc>
        <w:tc>
          <w:tcPr>
            <w:tcW w:type="dxa" w:w="457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当前改为多级城市接续；路径重构移到后续扩展</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3</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三 数学模型开头和3.2</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改写</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统一边级、权重、方向和81城范围的数学定义</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4</w:t>
            </w:r>
          </w:p>
        </w:tc>
        <w:tc>
          <w:tcPr>
            <w:tcW w:type="dxa" w:w="194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3.3 级联滞后指标</w:t>
            </w:r>
          </w:p>
        </w:tc>
        <w:tc>
          <w:tcPr>
            <w:tcW w:type="dxa" w:w="126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修正公式</w:t>
            </w:r>
          </w:p>
        </w:tc>
        <w:tc>
          <w:tcPr>
            <w:tcW w:type="dxa" w:w="457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区分链路权重和转移概率，并补足下游滞后所对应的上游事件</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5</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3.4 路径重构指标</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移到后续</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当前PLAN明确暂不开展，避免指标先于分析口径</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6</w:t>
            </w:r>
          </w:p>
        </w:tc>
        <w:tc>
          <w:tcPr>
            <w:tcW w:type="dxa" w:w="194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4.1至4.3</w:t>
            </w:r>
          </w:p>
        </w:tc>
        <w:tc>
          <w:tcPr>
            <w:tcW w:type="dxa" w:w="126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整体改写</w:t>
            </w:r>
          </w:p>
        </w:tc>
        <w:tc>
          <w:tcPr>
            <w:tcW w:type="dxa" w:w="457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原文主要写相邻直接转移，不能覆盖已经生成的多级接续</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7</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4.4至4.5</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缩减并留参数</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先做2021至2022经验基线，不提前采用复杂补边方法</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部分待定</w:t>
            </w:r>
          </w:p>
        </w:tc>
      </w:tr>
      <w:tr>
        <w:trPr>
          <w:cantSplit/>
        </w:trPr>
        <w:tc>
          <w:tcPr>
            <w:tcW w:type="dxa" w:w="648"/>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8</w:t>
            </w:r>
          </w:p>
        </w:tc>
        <w:tc>
          <w:tcPr>
            <w:tcW w:type="dxa" w:w="194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5.1至5.3</w:t>
            </w:r>
          </w:p>
        </w:tc>
        <w:tc>
          <w:tcPr>
            <w:tcW w:type="dxa" w:w="126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改写步骤</w:t>
            </w:r>
          </w:p>
        </w:tc>
        <w:tc>
          <w:tcPr>
            <w:tcW w:type="dxa" w:w="457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项目已从清洗后的田间作业段开始，不重复做点级识别</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9</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5.5 受扰事件识别</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改写</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与PLAN的三日累计降雨和进度偏离口径一致</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阈值待定</w:t>
            </w:r>
          </w:p>
        </w:tc>
      </w:tr>
      <w:tr>
        <w:trPr>
          <w:cantSplit/>
        </w:trPr>
        <w:tc>
          <w:tcPr>
            <w:tcW w:type="dxa" w:w="648"/>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10</w:t>
            </w:r>
          </w:p>
        </w:tc>
        <w:tc>
          <w:tcPr>
            <w:tcW w:type="dxa" w:w="194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5.6 级联滞后识别</w:t>
            </w:r>
          </w:p>
        </w:tc>
        <w:tc>
          <w:tcPr>
            <w:tcW w:type="dxa" w:w="126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删除具体天数</w:t>
            </w:r>
          </w:p>
        </w:tc>
        <w:tc>
          <w:tcPr>
            <w:tcW w:type="dxa" w:w="457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原文预设5天，但当前时间窗口尚未确定</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待定</w:t>
            </w:r>
          </w:p>
        </w:tc>
      </w:tr>
      <w:tr>
        <w:trPr>
          <w:cantSplit/>
        </w:trPr>
        <w:tc>
          <w:tcPr>
            <w:tcW w:type="dxa" w:w="64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7"/>
              </w:rPr>
              <w:t>11</w:t>
            </w:r>
          </w:p>
        </w:tc>
        <w:tc>
          <w:tcPr>
            <w:tcW w:type="dxa" w:w="194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5.7至5.8</w:t>
            </w:r>
          </w:p>
        </w:tc>
        <w:tc>
          <w:tcPr>
            <w:tcW w:type="dxa" w:w="126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移位并改验证</w:t>
            </w:r>
          </w:p>
        </w:tc>
        <w:tc>
          <w:tcPr>
            <w:tcW w:type="dxa" w:w="457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移除当前路径重构检验，增加一级边和多级边的敏感性检查</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7"/>
              </w:rPr>
              <w:t>已确定</w:t>
            </w:r>
          </w:p>
        </w:tc>
      </w:tr>
    </w:tbl>
    <w:p>
      <w:pPr>
        <w:spacing w:after="20"/>
      </w:pPr>
    </w:p>
    <w:p>
      <w:pPr>
        <w:pStyle w:val="Heading1"/>
        <w:keepNext/>
        <w:spacing w:before="280" w:after="140"/>
      </w:pPr>
      <w:r>
        <w:rPr>
          <w:rFonts w:ascii="Arial" w:hAnsi="Arial" w:eastAsia="微软雅黑"/>
          <w:b/>
          <w:color w:val="000000"/>
          <w:sz w:val="31"/>
        </w:rPr>
        <w:t>三 逐节替换内容</w:t>
      </w:r>
    </w:p>
    <w:p>
      <w:pPr>
        <w:pStyle w:val="Heading2"/>
        <w:keepNext/>
        <w:spacing w:before="200" w:after="100"/>
      </w:pPr>
      <w:r>
        <w:rPr>
          <w:rFonts w:ascii="Arial" w:hAnsi="Arial" w:eastAsia="微软雅黑"/>
          <w:b/>
          <w:color w:val="000000"/>
          <w:sz w:val="26"/>
        </w:rPr>
        <w:t>修改一 研究总体思路和路径重构位置</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原研究方案第一部分和第二部分2.2。</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原文把路径重构列为当前两大研究任务之一，与PLAN中“暂不开展路径重构”不一致；同时没有写出已经采用的多级城市接续规则。</w:t>
      </w:r>
    </w:p>
    <w:p>
      <w:pPr>
        <w:pStyle w:val="Heading3"/>
        <w:keepNext/>
        <w:spacing w:before="140" w:after="80"/>
      </w:pPr>
      <w:r>
        <w:rPr>
          <w:rFonts w:ascii="Arial" w:hAnsi="Arial" w:eastAsia="微软雅黑"/>
          <w:b/>
          <w:color w:val="000000"/>
          <w:sz w:val="23"/>
        </w:rPr>
        <w:t>建议替换文本</w:t>
      </w:r>
    </w:p>
    <w:p>
      <w:pPr>
        <w:pStyle w:val="Heading3"/>
        <w:keepNext/>
        <w:spacing w:before="140" w:after="80"/>
      </w:pPr>
      <w:r>
        <w:rPr>
          <w:rFonts w:ascii="Arial" w:hAnsi="Arial" w:eastAsia="微软雅黑"/>
          <w:b/>
          <w:color w:val="000000"/>
          <w:sz w:val="23"/>
        </w:rPr>
        <w:t>一 研究总体思路</w:t>
      </w:r>
    </w:p>
    <w:p>
      <w:pPr>
        <w:spacing w:before="0" w:after="104" w:line="307" w:lineRule="auto"/>
        <w:ind w:firstLine="403"/>
      </w:pPr>
      <w:r>
        <w:rPr>
          <w:rFonts w:ascii="Arial" w:hAnsi="Arial" w:eastAsia="宋体"/>
          <w:color w:val="000000"/>
          <w:sz w:val="21"/>
        </w:rPr>
        <w:t>本研究将跨区小麦机收系统表示为城市级动态有向网络。地级市是节点，同一台农机在同一年内先后到达不同城市所形成的城市接续关系是有向联系，城市日尺度收割进度和降雨是节点随时间变化的状态。当前研究重点是识别降雨扰动是否伴随本地收割进度滞后，以及这种滞后是否沿稳定的城市接续链路出现在下游城市。</w:t>
      </w:r>
    </w:p>
    <w:p>
      <w:pPr>
        <w:spacing w:before="0" w:after="104" w:line="307" w:lineRule="auto"/>
        <w:ind w:firstLine="403"/>
      </w:pPr>
      <w:r>
        <w:rPr>
          <w:rFonts w:ascii="Arial" w:hAnsi="Arial" w:eastAsia="宋体"/>
          <w:color w:val="000000"/>
          <w:sz w:val="21"/>
        </w:rPr>
        <w:t>研究按以下顺序进行：第一，使用已经清洗并筛选出的田间作业段，形成单机年度城市访问顺序；第二，从完整城市顺序中生成一级和多级接续记录；第三，在固定81城范围内按方向汇总年度链路权重；第四，使用2021年和2022年构建经验基线链路；第五，计算2023年三日累计降雨和城市进度偏离；第六，识别受扰城市日并计算级联滞后的描述性指标。</w:t>
      </w:r>
    </w:p>
    <w:p>
      <w:pPr>
        <w:spacing w:before="0" w:after="104" w:line="307" w:lineRule="auto"/>
        <w:ind w:firstLine="403"/>
      </w:pPr>
      <w:r>
        <w:rPr>
          <w:rFonts w:ascii="Arial" w:hAnsi="Arial" w:eastAsia="宋体"/>
          <w:color w:val="000000"/>
          <w:sz w:val="21"/>
        </w:rPr>
        <w:t>路径重构暂不属于当前主线。有关基线边消失、新边出现、流动矩阵差异和路径熵的分析留作后续扩展，待回流口径、同城边处理和基线筛边方法确定后再单独制定。</w:t>
      </w:r>
    </w:p>
    <w:p>
      <w:pPr>
        <w:pStyle w:val="Heading3"/>
        <w:keepNext/>
        <w:spacing w:before="140" w:after="80"/>
      </w:pPr>
      <w:r>
        <w:rPr>
          <w:rFonts w:ascii="Arial" w:hAnsi="Arial" w:eastAsia="微软雅黑"/>
          <w:b/>
          <w:color w:val="000000"/>
          <w:sz w:val="23"/>
        </w:rPr>
        <w:t>2.2 多级城市接续关系</w:t>
      </w:r>
    </w:p>
    <w:p>
      <w:pPr>
        <w:spacing w:before="0" w:after="104" w:line="307" w:lineRule="auto"/>
        <w:ind w:firstLine="403"/>
      </w:pPr>
      <w:r>
        <w:rPr>
          <w:rFonts w:ascii="Arial" w:hAnsi="Arial" w:eastAsia="宋体"/>
          <w:color w:val="000000"/>
          <w:sz w:val="21"/>
        </w:rPr>
        <w:t>连续同城作业记录合并后，设农机m在年份y的城市访问顺序如下。离开某城市后再次返回该城市时，仍视为一次新的访问。</w:t>
      </w:r>
    </w:p>
    <w:p>
      <w:pPr>
        <w:keepNext/>
        <w:spacing w:before="100" w:after="20"/>
        <w:jc w:val="center"/>
      </w:pPr>
      <w:r>
        <w:rPr>
          <w:rFonts w:ascii="Arial" w:hAnsi="Arial" w:eastAsia="微软雅黑"/>
          <w:b/>
          <w:color w:val="666666"/>
          <w:sz w:val="19"/>
        </w:rPr>
        <w:t>式 1  单机年度城市访问顺序</w:t>
      </w:r>
    </w:p>
    <w:p>
      <w:pPr>
        <w:keepLines/>
        <w:spacing w:before="0" w:after="120"/>
        <w:jc w:val="center"/>
      </w:pPr>
      <m:oMathPara>
        <m:oMathParaPr>
          <m:jc m:val="center"/>
        </m:oMathParaPr>
        <m:oMath>
          <m:sSub>
            <m:e>
              <m:r>
                <m:rPr>
                  <m:sty m:val="p"/>
                  <m:scr m:val="script"/>
                </m:rPr>
                <m:t>C</m:t>
              </m:r>
            </m:e>
            <m:sub>
              <m:r>
                <m:t>m</m:t>
              </m:r>
              <m:r>
                <m:rPr>
                  <m:sty m:val="p"/>
                </m:rPr>
                <m:t>,</m:t>
              </m:r>
              <m:r>
                <m:t>y</m:t>
              </m:r>
            </m:sub>
          </m:sSub>
          <m:r>
            <m:rPr>
              <m:sty m:val="p"/>
            </m:rPr>
            <m:t>=</m:t>
          </m:r>
          <m:d>
            <m:dPr>
              <m:begChr m:val="("/>
              <m:endChr m:val=")"/>
              <m:grow/>
            </m:dPr>
            <m:e>
              <m:sSub>
                <m:e>
                  <m:r>
                    <m:t>c</m:t>
                  </m:r>
                </m:e>
                <m:sub>
                  <m:r>
                    <m:t>m</m:t>
                  </m:r>
                  <m:r>
                    <m:rPr>
                      <m:sty m:val="p"/>
                    </m:rPr>
                    <m:t>,</m:t>
                  </m:r>
                  <m:r>
                    <m:t>y</m:t>
                  </m:r>
                  <m:r>
                    <m:rPr>
                      <m:sty m:val="p"/>
                    </m:rPr>
                    <m:t>,</m:t>
                  </m:r>
                  <m:r>
                    <m:t>1</m:t>
                  </m:r>
                </m:sub>
              </m:sSub>
              <m:r>
                <m:rPr>
                  <m:sty m:val="p"/>
                </m:rPr>
                <m:t>,</m:t>
              </m:r>
              <m:sSub>
                <m:e>
                  <m:r>
                    <m:t>c</m:t>
                  </m:r>
                </m:e>
                <m:sub>
                  <m:r>
                    <m:t>m</m:t>
                  </m:r>
                  <m:r>
                    <m:rPr>
                      <m:sty m:val="p"/>
                    </m:rPr>
                    <m:t>,</m:t>
                  </m:r>
                  <m:r>
                    <m:t>y</m:t>
                  </m:r>
                  <m:r>
                    <m:rPr>
                      <m:sty m:val="p"/>
                    </m:rPr>
                    <m:t>,</m:t>
                  </m:r>
                  <m:r>
                    <m:t>2</m:t>
                  </m:r>
                </m:sub>
              </m:sSub>
              <m:r>
                <m:rPr>
                  <m:sty m:val="p"/>
                </m:rPr>
                <m:t>,</m:t>
              </m:r>
              <m:r>
                <m:rPr>
                  <m:sty m:val="p"/>
                </m:rPr>
                <m:t>…</m:t>
              </m:r>
              <m:r>
                <m:rPr>
                  <m:sty m:val="p"/>
                </m:rPr>
                <m:t>,</m:t>
              </m:r>
              <m:sSub>
                <m:e>
                  <m:r>
                    <m:t>c</m:t>
                  </m:r>
                </m:e>
                <m:sub>
                  <m:r>
                    <m:t>m</m:t>
                  </m:r>
                  <m:r>
                    <m:rPr>
                      <m:sty m:val="p"/>
                    </m:rPr>
                    <m:t>,</m:t>
                  </m:r>
                  <m:r>
                    <m:t>y</m:t>
                  </m:r>
                  <m:r>
                    <m:rPr>
                      <m:sty m:val="p"/>
                    </m:rPr>
                    <m:t>,</m:t>
                  </m:r>
                  <m:sSub>
                    <m:e>
                      <m:r>
                        <m:t>L</m:t>
                      </m:r>
                    </m:e>
                    <m:sub>
                      <m:r>
                        <m:t>m</m:t>
                      </m:r>
                      <m:r>
                        <m:rPr>
                          <m:sty m:val="p"/>
                        </m:rPr>
                        <m:t>,</m:t>
                      </m:r>
                      <m:r>
                        <m:t>y</m:t>
                      </m:r>
                    </m:sub>
                  </m:sSub>
                </m:sub>
              </m:sSub>
            </m:e>
          </m:d>
        </m:oMath>
      </m:oMathPara>
    </w:p>
    <w:p>
      <w:pPr>
        <w:spacing w:before="0" w:after="104" w:line="307" w:lineRule="auto"/>
        <w:ind w:firstLine="403"/>
      </w:pPr>
      <w:r>
        <w:rPr>
          <w:rFonts w:ascii="Arial" w:hAnsi="Arial" w:eastAsia="宋体"/>
          <w:color w:val="000000"/>
          <w:sz w:val="21"/>
        </w:rPr>
        <w:t>对顺序中任意两个位置p和q，只要p小于q，就生成一条从前一位置到后一位置的接续记录。</w:t>
      </w:r>
    </w:p>
    <w:p>
      <w:pPr>
        <w:keepNext/>
        <w:spacing w:before="100" w:after="20"/>
        <w:jc w:val="center"/>
      </w:pPr>
      <w:r>
        <w:rPr>
          <w:rFonts w:ascii="Arial" w:hAnsi="Arial" w:eastAsia="微软雅黑"/>
          <w:b/>
          <w:color w:val="666666"/>
          <w:sz w:val="19"/>
        </w:rPr>
        <w:t>式 2  候选接续记录</w:t>
      </w:r>
    </w:p>
    <w:p>
      <w:pPr>
        <w:keepLines/>
        <w:spacing w:before="0" w:after="120"/>
        <w:jc w:val="center"/>
      </w:pPr>
      <m:oMathPara>
        <m:oMathParaPr>
          <m:jc m:val="center"/>
        </m:oMathParaPr>
        <m:oMath>
          <m:r>
            <m:t>r</m:t>
          </m:r>
          <m:r>
            <m:rPr>
              <m:sty m:val="p"/>
            </m:rPr>
            <m:t>=</m:t>
          </m:r>
          <m:r>
            <m:rPr>
              <m:sty m:val="p"/>
            </m:rPr>
            <m:t>(</m:t>
          </m:r>
          <m:r>
            <m:t>m</m:t>
          </m:r>
          <m:r>
            <m:rPr>
              <m:sty m:val="p"/>
            </m:rPr>
            <m:t>,</m:t>
          </m:r>
          <m:r>
            <m:t>y</m:t>
          </m:r>
          <m:r>
            <m:rPr>
              <m:sty m:val="p"/>
            </m:rPr>
            <m:t>,</m:t>
          </m:r>
          <m:r>
            <m:t>p</m:t>
          </m:r>
          <m:r>
            <m:rPr>
              <m:sty m:val="p"/>
            </m:rPr>
            <m:t>,</m:t>
          </m:r>
          <m:r>
            <m:t>q</m:t>
          </m:r>
          <m:r>
            <m:rPr>
              <m:sty m:val="p"/>
            </m:rPr>
            <m:t>)</m:t>
          </m:r>
          <m:r>
            <m:rPr>
              <m:sty m:val="p"/>
            </m:rPr>
            <m:t>,</m:t>
          </m:r>
          <m:r>
            <m:t>  </m:t>
          </m:r>
          <m:r>
            <m:t>1</m:t>
          </m:r>
          <m:r>
            <m:rPr>
              <m:sty m:val="p"/>
            </m:rPr>
            <m:t>≤</m:t>
          </m:r>
          <m:r>
            <m:t>p</m:t>
          </m:r>
          <m:r>
            <m:rPr>
              <m:sty m:val="p"/>
            </m:rPr>
            <m:t>&lt;</m:t>
          </m:r>
          <m:r>
            <m:t>q</m:t>
          </m:r>
          <m:r>
            <m:rPr>
              <m:sty m:val="p"/>
            </m:rPr>
            <m:t>≤</m:t>
          </m:r>
          <m:sSub>
            <m:e>
              <m:r>
                <m:t>L</m:t>
              </m:r>
            </m:e>
            <m:sub>
              <m:r>
                <m:t>m</m:t>
              </m:r>
              <m:r>
                <m:rPr>
                  <m:sty m:val="p"/>
                </m:rPr>
                <m:t>,</m:t>
              </m:r>
              <m:r>
                <m:t>y</m:t>
              </m:r>
            </m:sub>
          </m:sSub>
        </m:oMath>
      </m:oMathPara>
    </w:p>
    <w:p>
      <w:pPr>
        <w:spacing w:before="0" w:after="104" w:line="307" w:lineRule="auto"/>
        <w:ind w:firstLine="403"/>
      </w:pPr>
      <w:r>
        <w:rPr>
          <w:rFonts w:ascii="Arial" w:hAnsi="Arial" w:eastAsia="宋体"/>
          <w:color w:val="000000"/>
          <w:sz w:val="21"/>
        </w:rPr>
        <w:t>边级表示两个访问位置相隔几步。一级关系是相邻访问；二级及以上关系为多级接续，只说明城市在同一台农机的访问顺序中先后出现，不应写成直接迁移。</w:t>
      </w:r>
    </w:p>
    <w:p>
      <w:pPr>
        <w:keepNext/>
        <w:spacing w:before="100" w:after="20"/>
        <w:jc w:val="center"/>
      </w:pPr>
      <w:r>
        <w:rPr>
          <w:rFonts w:ascii="Arial" w:hAnsi="Arial" w:eastAsia="微软雅黑"/>
          <w:b/>
          <w:color w:val="666666"/>
          <w:sz w:val="19"/>
        </w:rPr>
        <w:t>式 3  边级 跨越访问数和衰减权重</w:t>
      </w:r>
    </w:p>
    <w:p>
      <w:pPr>
        <w:keepLines/>
        <w:spacing w:before="0" w:after="120"/>
        <w:jc w:val="center"/>
      </w:pPr>
      <m:oMathPara>
        <m:oMathParaPr>
          <m:jc m:val="center"/>
        </m:oMathParaPr>
        <m:oMath>
          <m:sSub>
            <m:e>
              <m:r>
                <m:rPr>
                  <m:sty m:val="p"/>
                </m:rPr>
                <m:t>ℓ</m:t>
              </m:r>
            </m:e>
            <m:sub>
              <m:r>
                <m:t>r</m:t>
              </m:r>
            </m:sub>
          </m:sSub>
          <m:r>
            <m:rPr>
              <m:sty m:val="p"/>
            </m:rPr>
            <m:t>=</m:t>
          </m:r>
          <m:r>
            <m:t>q</m:t>
          </m:r>
          <m:r>
            <m:rPr>
              <m:sty m:val="p"/>
            </m:rPr>
            <m:t>−</m:t>
          </m:r>
          <m:r>
            <m:t>p</m:t>
          </m:r>
          <m:r>
            <m:rPr>
              <m:sty m:val="p"/>
            </m:rPr>
            <m:t>,</m:t>
          </m:r>
          <m:r>
            <m:t>  </m:t>
          </m:r>
          <m:sSub>
            <m:e>
              <m:r>
                <m:t>s</m:t>
              </m:r>
            </m:e>
            <m:sub>
              <m:r>
                <m:t>r</m:t>
              </m:r>
            </m:sub>
          </m:sSub>
          <m:r>
            <m:rPr>
              <m:sty m:val="p"/>
            </m:rPr>
            <m:t>=</m:t>
          </m:r>
          <m:sSub>
            <m:e>
              <m:r>
                <m:rPr>
                  <m:sty m:val="p"/>
                </m:rPr>
                <m:t>ℓ</m:t>
              </m:r>
            </m:e>
            <m:sub>
              <m:r>
                <m:t>r</m:t>
              </m:r>
            </m:sub>
          </m:sSub>
          <m:r>
            <m:rPr>
              <m:sty m:val="p"/>
            </m:rPr>
            <m:t>−</m:t>
          </m:r>
          <m:r>
            <m:t>1</m:t>
          </m:r>
          <m:r>
            <m:rPr>
              <m:sty m:val="p"/>
            </m:rPr>
            <m:t>,</m:t>
          </m:r>
          <m:r>
            <m:t>  </m:t>
          </m:r>
          <m:sSub>
            <m:e>
              <m:r>
                <m:t>ω</m:t>
              </m:r>
            </m:e>
            <m:sub>
              <m:r>
                <m:t>r</m:t>
              </m:r>
            </m:sub>
          </m:sSub>
          <m:r>
            <m:rPr>
              <m:sty m:val="p"/>
            </m:rPr>
            <m:t>=</m:t>
          </m:r>
          <m:sSup>
            <m:e>
              <m:r>
                <m:t>0.5</m:t>
              </m:r>
            </m:e>
            <m:sup>
              <m:sSub>
                <m:e>
                  <m:r>
                    <m:rPr>
                      <m:sty m:val="p"/>
                    </m:rPr>
                    <m:t>ℓ</m:t>
                  </m:r>
                </m:e>
                <m:sub>
                  <m:r>
                    <m:t>r</m:t>
                  </m:r>
                </m:sub>
              </m:sSub>
              <m:r>
                <m:rPr>
                  <m:sty m:val="p"/>
                </m:rPr>
                <m:t>−</m:t>
              </m:r>
              <m:r>
                <m:t>1</m:t>
              </m:r>
            </m:sup>
          </m:sSup>
        </m:oMath>
      </m:oMathPara>
    </w:p>
    <w:p>
      <w:pPr>
        <w:spacing w:before="0" w:after="104" w:line="307" w:lineRule="auto"/>
        <w:ind w:firstLine="403"/>
      </w:pPr>
      <w:r>
        <w:rPr>
          <w:rFonts w:ascii="Arial" w:hAnsi="Arial" w:eastAsia="宋体"/>
          <w:color w:val="000000"/>
          <w:sz w:val="21"/>
        </w:rPr>
        <w:t>其中，ℓr为边级，sr为中间跨过的访问位置数，ωr为衰减权重。一级权重为1，二级为0.5，三级为0.25，之后每增加一级再减半。边级和权重保存在同一份数据中，不另拆一级边和多级边文件。</w:t>
      </w:r>
    </w:p>
    <w:p>
      <w:pPr>
        <w:pStyle w:val="Heading3"/>
        <w:keepNext/>
        <w:spacing w:before="140" w:after="80"/>
      </w:pPr>
      <w:r>
        <w:rPr>
          <w:rFonts w:ascii="Arial" w:hAnsi="Arial" w:eastAsia="微软雅黑"/>
          <w:b/>
          <w:color w:val="000000"/>
          <w:sz w:val="23"/>
        </w:rPr>
        <w:t>多级路线例子</w:t>
      </w:r>
    </w:p>
    <w:p>
      <w:pPr>
        <w:spacing w:before="0" w:after="104" w:line="307" w:lineRule="auto"/>
      </w:pPr>
      <w:r>
        <w:rPr>
          <w:rFonts w:ascii="Arial" w:hAnsi="Arial" w:eastAsia="宋体"/>
          <w:color w:val="000000"/>
          <w:sz w:val="21"/>
        </w:rPr>
        <w:t>若城市顺序为A、B、C、D，则生成六条有方向的接续记录。</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trPr>
        <w:tc>
          <w:tcPr>
            <w:tcW w:type="dxa" w:w="1656"/>
            <w:vAlign w:val="center"/>
            <w:tcMar>
              <w:top w:w="90" w:type="dxa"/>
              <w:start w:w="110" w:type="dxa"/>
              <w:bottom w:w="90" w:type="dxa"/>
              <w:end w:w="110" w:type="dxa"/>
            </w:tcMar>
            <w:shd w:fill="1F4E78"/>
          </w:tcPr>
          <w:p>
            <w:pPr>
              <w:spacing w:before="0" w:after="0" w:line="276" w:lineRule="auto"/>
              <w:jc w:val="center"/>
            </w:pPr>
            <w:r>
              <w:rPr>
                <w:rFonts w:ascii="Arial" w:hAnsi="Arial" w:eastAsia="微软雅黑"/>
                <w:b/>
                <w:color w:val="FFFFFF"/>
                <w:sz w:val="18"/>
              </w:rPr>
              <w:t>接续关系</w:t>
            </w:r>
          </w:p>
        </w:tc>
        <w:tc>
          <w:tcPr>
            <w:tcW w:type="dxa" w:w="1037"/>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边级</w:t>
            </w:r>
          </w:p>
        </w:tc>
        <w:tc>
          <w:tcPr>
            <w:tcW w:type="dxa" w:w="1512"/>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跨越访问数</w:t>
            </w:r>
          </w:p>
        </w:tc>
        <w:tc>
          <w:tcPr>
            <w:tcW w:type="dxa" w:w="1411"/>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衰减权重</w:t>
            </w:r>
          </w:p>
        </w:tc>
        <w:tc>
          <w:tcPr>
            <w:tcW w:type="dxa" w:w="3384"/>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解释</w:t>
            </w:r>
          </w:p>
        </w:tc>
      </w:tr>
      <w:tr>
        <w:trPr>
          <w:cantSplit/>
        </w:trPr>
        <w:tc>
          <w:tcPr>
            <w:tcW w:type="dxa" w:w="1656"/>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A到B</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15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w:t>
            </w:r>
          </w:p>
        </w:tc>
        <w:tc>
          <w:tcPr>
            <w:tcW w:type="dxa" w:w="1411"/>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338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相邻访问</w:t>
            </w:r>
          </w:p>
        </w:tc>
      </w:tr>
      <w:tr>
        <w:trPr>
          <w:cantSplit/>
        </w:trPr>
        <w:tc>
          <w:tcPr>
            <w:tcW w:type="dxa" w:w="1656"/>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A到C</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2</w:t>
            </w:r>
          </w:p>
        </w:tc>
        <w:tc>
          <w:tcPr>
            <w:tcW w:type="dxa" w:w="15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1411"/>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0.5</w:t>
            </w:r>
          </w:p>
        </w:tc>
        <w:tc>
          <w:tcPr>
            <w:tcW w:type="dxa" w:w="338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多级接续</w:t>
            </w:r>
          </w:p>
        </w:tc>
      </w:tr>
      <w:tr>
        <w:trPr>
          <w:cantSplit/>
        </w:trPr>
        <w:tc>
          <w:tcPr>
            <w:tcW w:type="dxa" w:w="1656"/>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A到D</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3</w:t>
            </w:r>
          </w:p>
        </w:tc>
        <w:tc>
          <w:tcPr>
            <w:tcW w:type="dxa" w:w="15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2</w:t>
            </w:r>
          </w:p>
        </w:tc>
        <w:tc>
          <w:tcPr>
            <w:tcW w:type="dxa" w:w="1411"/>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0.25</w:t>
            </w:r>
          </w:p>
        </w:tc>
        <w:tc>
          <w:tcPr>
            <w:tcW w:type="dxa" w:w="338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多级接续</w:t>
            </w:r>
          </w:p>
        </w:tc>
      </w:tr>
      <w:tr>
        <w:trPr>
          <w:cantSplit/>
        </w:trPr>
        <w:tc>
          <w:tcPr>
            <w:tcW w:type="dxa" w:w="1656"/>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B到C</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15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w:t>
            </w:r>
          </w:p>
        </w:tc>
        <w:tc>
          <w:tcPr>
            <w:tcW w:type="dxa" w:w="1411"/>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338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相邻访问</w:t>
            </w:r>
          </w:p>
        </w:tc>
      </w:tr>
      <w:tr>
        <w:trPr>
          <w:cantSplit/>
        </w:trPr>
        <w:tc>
          <w:tcPr>
            <w:tcW w:type="dxa" w:w="1656"/>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B到D</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2</w:t>
            </w:r>
          </w:p>
        </w:tc>
        <w:tc>
          <w:tcPr>
            <w:tcW w:type="dxa" w:w="15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1411"/>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0.5</w:t>
            </w:r>
          </w:p>
        </w:tc>
        <w:tc>
          <w:tcPr>
            <w:tcW w:type="dxa" w:w="3384"/>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多级接续</w:t>
            </w:r>
          </w:p>
        </w:tc>
      </w:tr>
      <w:tr>
        <w:trPr>
          <w:cantSplit/>
        </w:trPr>
        <w:tc>
          <w:tcPr>
            <w:tcW w:type="dxa" w:w="1656"/>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C到D</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15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0</w:t>
            </w:r>
          </w:p>
        </w:tc>
        <w:tc>
          <w:tcPr>
            <w:tcW w:type="dxa" w:w="1411"/>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1</w:t>
            </w:r>
          </w:p>
        </w:tc>
        <w:tc>
          <w:tcPr>
            <w:tcW w:type="dxa" w:w="3384"/>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相邻访问</w:t>
            </w:r>
          </w:p>
        </w:tc>
      </w:tr>
    </w:tbl>
    <w:p>
      <w:pPr>
        <w:spacing w:after="20"/>
      </w:pPr>
    </w:p>
    <w:p>
      <w:pPr>
        <w:spacing w:before="0" w:after="104" w:line="307" w:lineRule="auto"/>
      </w:pPr>
      <w:r>
        <w:rPr>
          <w:rFonts w:ascii="Arial" w:hAnsi="Arial" w:eastAsia="宋体"/>
          <w:color w:val="000000"/>
          <w:sz w:val="21"/>
        </w:rPr>
        <w:t>若城市顺序为A、B、A，则B到A是一条一级直接回流记录，A到A是一条二级同城端点记录。两者目前都保留，但不能把A到A解释为同城内移动，也不能据此提前确定最终回流定义。</w:t>
      </w:r>
    </w:p>
    <w:p>
      <w:pPr>
        <w:pStyle w:val="Heading3"/>
      </w:pPr>
      <w:r>
        <w:t>时间冲突和同城端点</w:t>
      </w:r>
    </w:p>
    <w:p>
      <w:pPr/>
      <w:r>
        <w:t>时间冲突是后一端已经开始、前一端却还没有结束，也就是终点进入时间早于起点离开时间。例如A市记录到10:00结束，B市记录从09:30开始，时间间隔为-0.5小时。这可能是原始记录时间重叠或时间异常，当前只标记，不自动删除；时间间隔等于0不算冲突。</w:t>
      </w:r>
    </w:p>
    <w:p>
      <w:pPr/>
      <w:r>
        <w:t>同城端点是一条接续记录的起点城市和终点城市相同。例如A市到B市再回A市，会形成一条二级的A市到A市记录。它表示离开后返回同城，不表示一直停留，也不直接等于最终的正式回流口径。</w:t>
      </w:r>
    </w:p>
    <w:p>
      <w:pPr>
        <w:pStyle w:val="Heading2"/>
        <w:keepNext/>
        <w:spacing w:before="200" w:after="100"/>
      </w:pPr>
      <w:r>
        <w:rPr>
          <w:rFonts w:ascii="Arial" w:hAnsi="Arial" w:eastAsia="微软雅黑"/>
          <w:b/>
          <w:color w:val="000000"/>
          <w:sz w:val="26"/>
        </w:rPr>
        <w:t>修改二 数学模型结构和年度城市链路</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原研究方案第三部分开头和3.2。</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原文只把边解释为正常年份中的稳定转移，未区分候选接续、年度汇总链路和最终基线边，也没有写清主权重和备用权重。</w:t>
      </w:r>
    </w:p>
    <w:p>
      <w:pPr>
        <w:pStyle w:val="Heading3"/>
        <w:keepNext/>
        <w:spacing w:before="140" w:after="80"/>
      </w:pPr>
      <w:r>
        <w:rPr>
          <w:rFonts w:ascii="Arial" w:hAnsi="Arial" w:eastAsia="微软雅黑"/>
          <w:b/>
          <w:color w:val="000000"/>
          <w:sz w:val="23"/>
        </w:rPr>
        <w:t>建议替换文本</w:t>
      </w:r>
    </w:p>
    <w:p>
      <w:pPr>
        <w:spacing w:before="0" w:after="104" w:line="307" w:lineRule="auto"/>
        <w:ind w:firstLine="403"/>
      </w:pPr>
      <w:r>
        <w:rPr>
          <w:rFonts w:ascii="Arial" w:hAnsi="Arial" w:eastAsia="宋体"/>
          <w:color w:val="000000"/>
          <w:sz w:val="21"/>
        </w:rPr>
        <w:t>当前数学模型分为三部分：城市本地状态、城市级基线收割网络和级联滞后指标。路径重构指标不列入当前模型。</w:t>
      </w:r>
    </w:p>
    <w:p>
      <w:pPr>
        <w:pStyle w:val="Heading3"/>
        <w:keepNext/>
        <w:spacing w:before="140" w:after="80"/>
      </w:pPr>
      <w:r>
        <w:rPr>
          <w:rFonts w:ascii="Arial" w:hAnsi="Arial" w:eastAsia="微软雅黑"/>
          <w:b/>
          <w:color w:val="000000"/>
          <w:sz w:val="23"/>
        </w:rPr>
        <w:t>3.2 城市级链路和基线网络模型</w:t>
      </w:r>
    </w:p>
    <w:p>
      <w:pPr>
        <w:spacing w:before="0" w:after="104" w:line="307" w:lineRule="auto"/>
        <w:ind w:firstLine="403"/>
      </w:pPr>
      <w:r>
        <w:rPr>
          <w:rFonts w:ascii="Arial" w:hAnsi="Arial" w:eastAsia="宋体"/>
          <w:color w:val="000000"/>
          <w:sz w:val="21"/>
        </w:rPr>
        <w:t>设V为固定81城节点集合。对年份y和有方向的城市对i到j，记所有对应接续记录的集合为下式。A到B与B到A属于不同集合。</w:t>
      </w:r>
    </w:p>
    <w:p>
      <w:pPr>
        <w:keepNext/>
        <w:spacing w:before="100" w:after="20"/>
        <w:jc w:val="center"/>
      </w:pPr>
      <w:r>
        <w:rPr>
          <w:rFonts w:ascii="Arial" w:hAnsi="Arial" w:eastAsia="微软雅黑"/>
          <w:b/>
          <w:color w:val="666666"/>
          <w:sz w:val="19"/>
        </w:rPr>
        <w:t>式 4  年度有向城市对的接续记录集合</w:t>
      </w:r>
    </w:p>
    <w:p>
      <w:pPr>
        <w:keepLines/>
        <w:spacing w:before="0" w:after="120"/>
        <w:jc w:val="center"/>
      </w:pPr>
      <m:oMathPara>
        <m:oMathParaPr>
          <m:jc m:val="center"/>
        </m:oMathParaPr>
        <m:oMath>
          <m:sSubSup>
            <m:e>
              <m:r>
                <m:rPr>
                  <m:sty m:val="p"/>
                  <m:scr m:val="script"/>
                </m:rPr>
                <m:t>R</m:t>
              </m:r>
            </m:e>
            <m:sub>
              <m:r>
                <m:t>i</m:t>
              </m:r>
              <m:r>
                <m:t>j</m:t>
              </m:r>
            </m:sub>
            <m:sup>
              <m:r>
                <m:rPr>
                  <m:sty m:val="p"/>
                </m:rPr>
                <m:t>(</m:t>
              </m:r>
              <m:r>
                <m:t>y</m:t>
              </m:r>
              <m:r>
                <m:rPr>
                  <m:sty m:val="p"/>
                </m:rPr>
                <m:t>)</m:t>
              </m:r>
            </m:sup>
          </m:sSubSup>
          <m:r>
            <m:rPr>
              <m:sty m:val="p"/>
            </m:rPr>
            <m:t>=</m:t>
          </m:r>
          <m:d>
            <m:dPr>
              <m:begChr m:val="{"/>
              <m:endChr m:val="}"/>
              <m:grow/>
            </m:dPr>
            <m:e>
              <m:r>
                <m:t>r</m:t>
              </m:r>
              <m:r>
                <m:rPr>
                  <m:sty m:val="p"/>
                </m:rPr>
                <m:t>:</m:t>
              </m:r>
              <m:sSub>
                <m:e>
                  <m:r>
                    <m:t>c</m:t>
                  </m:r>
                </m:e>
                <m:sub>
                  <m:r>
                    <m:t>m</m:t>
                  </m:r>
                  <m:r>
                    <m:rPr>
                      <m:sty m:val="p"/>
                    </m:rPr>
                    <m:t>,</m:t>
                  </m:r>
                  <m:r>
                    <m:t>y</m:t>
                  </m:r>
                  <m:r>
                    <m:rPr>
                      <m:sty m:val="p"/>
                    </m:rPr>
                    <m:t>,</m:t>
                  </m:r>
                  <m:r>
                    <m:t>p</m:t>
                  </m:r>
                </m:sub>
              </m:sSub>
              <m:r>
                <m:rPr>
                  <m:sty m:val="p"/>
                </m:rPr>
                <m:t>=</m:t>
              </m:r>
              <m:r>
                <m:t>i</m:t>
              </m:r>
              <m:r>
                <m:rPr>
                  <m:sty m:val="p"/>
                </m:rPr>
                <m:t>,</m:t>
              </m:r>
              <m:r>
                <m:t> </m:t>
              </m:r>
              <m:sSub>
                <m:e>
                  <m:r>
                    <m:t>c</m:t>
                  </m:r>
                </m:e>
                <m:sub>
                  <m:r>
                    <m:t>m</m:t>
                  </m:r>
                  <m:r>
                    <m:rPr>
                      <m:sty m:val="p"/>
                    </m:rPr>
                    <m:t>,</m:t>
                  </m:r>
                  <m:r>
                    <m:t>y</m:t>
                  </m:r>
                  <m:r>
                    <m:rPr>
                      <m:sty m:val="p"/>
                    </m:rPr>
                    <m:t>,</m:t>
                  </m:r>
                  <m:r>
                    <m:t>q</m:t>
                  </m:r>
                </m:sub>
              </m:sSub>
              <m:r>
                <m:rPr>
                  <m:sty m:val="p"/>
                </m:rPr>
                <m:t>=</m:t>
              </m:r>
              <m:r>
                <m:t>j</m:t>
              </m:r>
            </m:e>
          </m:d>
        </m:oMath>
      </m:oMathPara>
    </w:p>
    <w:p>
      <w:pPr>
        <w:spacing w:before="0" w:after="104" w:line="307" w:lineRule="auto"/>
      </w:pPr>
      <w:r>
        <w:rPr>
          <w:rFonts w:ascii="Arial" w:hAnsi="Arial" w:eastAsia="宋体"/>
          <w:color w:val="000000"/>
          <w:sz w:val="21"/>
        </w:rPr>
        <w:t>主版本将同一城市对中每条记录的衰减权重相加。</w:t>
      </w:r>
    </w:p>
    <w:p>
      <w:pPr>
        <w:keepNext/>
        <w:spacing w:before="100" w:after="20"/>
        <w:jc w:val="center"/>
      </w:pPr>
      <w:r>
        <w:rPr>
          <w:rFonts w:ascii="Arial" w:hAnsi="Arial" w:eastAsia="微软雅黑"/>
          <w:b/>
          <w:color w:val="666666"/>
          <w:sz w:val="19"/>
        </w:rPr>
        <w:t>式 5  主版本衰减链路权重</w:t>
      </w:r>
    </w:p>
    <w:p>
      <w:pPr>
        <w:keepLines/>
        <w:spacing w:before="0" w:after="120"/>
        <w:jc w:val="center"/>
      </w:pPr>
      <m:oMathPara>
        <m:oMathParaPr>
          <m:jc m:val="center"/>
        </m:oMathParaPr>
        <m:oMath>
          <m:sSubSup>
            <m:e>
              <m:r>
                <m:t>W</m:t>
              </m:r>
            </m:e>
            <m:sub>
              <m:r>
                <m:t>i</m:t>
              </m:r>
              <m:r>
                <m:t>j</m:t>
              </m:r>
              <m:r>
                <m:rPr>
                  <m:sty m:val="p"/>
                </m:rPr>
                <m:t>,</m:t>
              </m:r>
              <m:r>
                <m:t>y</m:t>
              </m:r>
            </m:sub>
            <m:sup>
              <m:r>
                <m:rPr>
                  <m:sty m:val="p"/>
                </m:rPr>
                <m:t>d</m:t>
              </m:r>
              <m:r>
                <m:rPr>
                  <m:sty m:val="p"/>
                </m:rPr>
                <m:t>e</m:t>
              </m:r>
              <m:r>
                <m:rPr>
                  <m:sty m:val="p"/>
                </m:rPr>
                <m:t>c</m:t>
              </m:r>
              <m:r>
                <m:rPr>
                  <m:sty m:val="p"/>
                </m:rPr>
                <m:t>a</m:t>
              </m:r>
              <m:r>
                <m:rPr>
                  <m:sty m:val="p"/>
                </m:rPr>
                <m:t>y</m:t>
              </m:r>
            </m:sup>
          </m:sSubSup>
          <m:r>
            <m:rPr>
              <m:sty m:val="p"/>
            </m:rPr>
            <m:t>=</m:t>
          </m:r>
          <m:nary>
            <m:naryPr>
              <m:chr m:val="∑"/>
              <m:limLoc m:val="undOvr"/>
              <m:subHide m:val="0"/>
              <m:supHide m:val="1"/>
            </m:naryPr>
            <m:sub>
              <m:r>
                <m:t>r</m:t>
              </m:r>
              <m:r>
                <m:rPr>
                  <m:sty m:val="p"/>
                </m:rPr>
                <m:t>∈</m:t>
              </m:r>
              <m:sSubSup>
                <m:e>
                  <m:r>
                    <m:rPr>
                      <m:sty m:val="p"/>
                      <m:scr m:val="script"/>
                    </m:rPr>
                    <m:t>R</m:t>
                  </m:r>
                </m:e>
                <m:sub>
                  <m:r>
                    <m:t>i</m:t>
                  </m:r>
                  <m:r>
                    <m:t>j</m:t>
                  </m:r>
                </m:sub>
                <m:sup>
                  <m:r>
                    <m:rPr>
                      <m:sty m:val="p"/>
                    </m:rPr>
                    <m:t>(</m:t>
                  </m:r>
                  <m:r>
                    <m:t>y</m:t>
                  </m:r>
                  <m:r>
                    <m:rPr>
                      <m:sty m:val="p"/>
                    </m:rPr>
                    <m:t>)</m:t>
                  </m:r>
                </m:sup>
              </m:sSubSup>
            </m:sub>
            <m:sup>
              <m:r>
                <m:t>​</m:t>
              </m:r>
            </m:sup>
            <m:e>
              <m:sSub>
                <m:e>
                  <m:r>
                    <m:t>ω</m:t>
                  </m:r>
                </m:e>
                <m:sub>
                  <m:r>
                    <m:t>r</m:t>
                  </m:r>
                </m:sub>
              </m:sSub>
            </m:e>
          </m:nary>
        </m:oMath>
      </m:oMathPara>
    </w:p>
    <w:p>
      <w:pPr>
        <w:spacing w:before="0" w:after="104" w:line="307" w:lineRule="auto"/>
      </w:pPr>
      <w:r>
        <w:rPr>
          <w:rFonts w:ascii="Arial" w:hAnsi="Arial" w:eastAsia="宋体"/>
          <w:color w:val="000000"/>
          <w:sz w:val="21"/>
        </w:rPr>
        <w:t>备用版本中每条接续记录计1，因此权重等于记录数。</w:t>
      </w:r>
    </w:p>
    <w:p>
      <w:pPr>
        <w:keepNext/>
        <w:spacing w:before="100" w:after="20"/>
        <w:jc w:val="center"/>
      </w:pPr>
      <w:r>
        <w:rPr>
          <w:rFonts w:ascii="Arial" w:hAnsi="Arial" w:eastAsia="微软雅黑"/>
          <w:b/>
          <w:color w:val="666666"/>
          <w:sz w:val="19"/>
        </w:rPr>
        <w:t>式 6  备用版本计数链路权重</w:t>
      </w:r>
    </w:p>
    <w:p>
      <w:pPr>
        <w:keepLines/>
        <w:spacing w:before="0" w:after="120"/>
        <w:jc w:val="center"/>
      </w:pPr>
      <m:oMathPara>
        <m:oMathParaPr>
          <m:jc m:val="center"/>
        </m:oMathParaPr>
        <m:oMath>
          <m:sSubSup>
            <m:e>
              <m:r>
                <m:t>W</m:t>
              </m:r>
            </m:e>
            <m:sub>
              <m:r>
                <m:t>i</m:t>
              </m:r>
              <m:r>
                <m:t>j</m:t>
              </m:r>
              <m:r>
                <m:rPr>
                  <m:sty m:val="p"/>
                </m:rPr>
                <m:t>,</m:t>
              </m:r>
              <m:r>
                <m:t>y</m:t>
              </m:r>
            </m:sub>
            <m:sup>
              <m:r>
                <m:rPr>
                  <m:sty m:val="p"/>
                </m:rPr>
                <m:t>c</m:t>
              </m:r>
              <m:r>
                <m:rPr>
                  <m:sty m:val="p"/>
                </m:rPr>
                <m:t>o</m:t>
              </m:r>
              <m:r>
                <m:rPr>
                  <m:sty m:val="p"/>
                </m:rPr>
                <m:t>u</m:t>
              </m:r>
              <m:r>
                <m:rPr>
                  <m:sty m:val="p"/>
                </m:rPr>
                <m:t>n</m:t>
              </m:r>
              <m:r>
                <m:rPr>
                  <m:sty m:val="p"/>
                </m:rPr>
                <m:t>t</m:t>
              </m:r>
            </m:sup>
          </m:sSubSup>
          <m:r>
            <m:rPr>
              <m:sty m:val="p"/>
            </m:rPr>
            <m:t>=</m:t>
          </m:r>
          <m:nary>
            <m:naryPr>
              <m:chr m:val="∑"/>
              <m:limLoc m:val="undOvr"/>
              <m:subHide m:val="0"/>
              <m:supHide m:val="1"/>
            </m:naryPr>
            <m:sub>
              <m:r>
                <m:t>r</m:t>
              </m:r>
              <m:r>
                <m:rPr>
                  <m:sty m:val="p"/>
                </m:rPr>
                <m:t>∈</m:t>
              </m:r>
              <m:sSubSup>
                <m:e>
                  <m:r>
                    <m:rPr>
                      <m:sty m:val="p"/>
                      <m:scr m:val="script"/>
                    </m:rPr>
                    <m:t>R</m:t>
                  </m:r>
                </m:e>
                <m:sub>
                  <m:r>
                    <m:t>i</m:t>
                  </m:r>
                  <m:r>
                    <m:t>j</m:t>
                  </m:r>
                </m:sub>
                <m:sup>
                  <m:r>
                    <m:rPr>
                      <m:sty m:val="p"/>
                    </m:rPr>
                    <m:t>(</m:t>
                  </m:r>
                  <m:r>
                    <m:t>y</m:t>
                  </m:r>
                  <m:r>
                    <m:rPr>
                      <m:sty m:val="p"/>
                    </m:rPr>
                    <m:t>)</m:t>
                  </m:r>
                </m:sup>
              </m:sSubSup>
            </m:sub>
            <m:sup>
              <m:r>
                <m:t>​</m:t>
              </m:r>
            </m:sup>
            <m:e>
              <m:r>
                <m:t>1</m:t>
              </m:r>
            </m:e>
          </m:nary>
          <m:r>
            <m:rPr>
              <m:sty m:val="p"/>
            </m:rPr>
            <m:t>=</m:t>
          </m:r>
          <m:d>
            <m:dPr>
              <m:begChr m:val="|"/>
              <m:endChr m:val="|"/>
              <m:grow/>
            </m:dPr>
            <m:e>
              <m:sSubSup>
                <m:e>
                  <m:r>
                    <m:rPr>
                      <m:sty m:val="p"/>
                      <m:scr m:val="script"/>
                    </m:rPr>
                    <m:t>R</m:t>
                  </m:r>
                </m:e>
                <m:sub>
                  <m:r>
                    <m:t>i</m:t>
                  </m:r>
                  <m:r>
                    <m:t>j</m:t>
                  </m:r>
                </m:sub>
                <m:sup>
                  <m:r>
                    <m:rPr>
                      <m:sty m:val="p"/>
                    </m:rPr>
                    <m:t>(</m:t>
                  </m:r>
                  <m:r>
                    <m:t>y</m:t>
                  </m:r>
                  <m:r>
                    <m:rPr>
                      <m:sty m:val="p"/>
                    </m:rPr>
                    <m:t>)</m:t>
                  </m:r>
                </m:sup>
              </m:sSubSup>
            </m:e>
          </m:d>
        </m:oMath>
      </m:oMathPara>
    </w:p>
    <w:p>
      <w:pPr>
        <w:spacing w:before="0" w:after="104" w:line="307" w:lineRule="auto"/>
        <w:ind w:firstLine="403"/>
      </w:pPr>
      <w:r>
        <w:rPr>
          <w:rFonts w:ascii="Arial" w:hAnsi="Arial" w:eastAsia="宋体"/>
          <w:color w:val="000000"/>
          <w:sz w:val="21"/>
        </w:rPr>
        <w:t>同一台农机多次形成同一方向城市对时，每条记录都参与汇总，不先按农机去重。涉及农机数可以作为描述字段，但不代替链路权重。</w:t>
      </w:r>
    </w:p>
    <w:p>
      <w:pPr>
        <w:spacing w:before="0" w:after="104" w:line="307" w:lineRule="auto"/>
      </w:pPr>
      <w:r>
        <w:rPr>
          <w:rFonts w:ascii="Arial" w:hAnsi="Arial" w:eastAsia="宋体"/>
          <w:color w:val="000000"/>
          <w:sz w:val="21"/>
        </w:rPr>
        <w:t>为避免把所有记录都理解为直接转移，同时保留一级记录数和二级及以上记录数。</w:t>
      </w:r>
    </w:p>
    <w:p>
      <w:pPr>
        <w:keepNext/>
        <w:spacing w:before="100" w:after="20"/>
        <w:jc w:val="center"/>
      </w:pPr>
      <w:r>
        <w:rPr>
          <w:rFonts w:ascii="Arial" w:hAnsi="Arial" w:eastAsia="微软雅黑"/>
          <w:b/>
          <w:color w:val="666666"/>
          <w:sz w:val="19"/>
        </w:rPr>
        <w:t>式 7  一级和多级记录数量</w:t>
      </w:r>
    </w:p>
    <w:p>
      <w:pPr>
        <w:keepLines/>
        <w:spacing w:before="0" w:after="120"/>
        <w:jc w:val="center"/>
      </w:pPr>
      <m:oMathPara>
        <m:oMathParaPr>
          <m:jc m:val="center"/>
        </m:oMathParaPr>
        <m:oMath>
          <m:m>
            <m:mPr>
              <m:baseJc m:val="center"/>
              <m:plcHide m:val="1"/>
              <m:mcs>
                <m:mc>
                  <m:mcPr>
                    <m:mcJc m:val="right"/>
                    <m:count m:val="1"/>
                  </m:mcPr>
                </m:mc>
                <m:mc>
                  <m:mcPr>
                    <m:mcJc m:val="left"/>
                    <m:count m:val="1"/>
                  </m:mcPr>
                </m:mc>
              </m:mcs>
            </m:mPr>
            <m:mr>
              <m:e>
                <m:sSubSup>
                  <m:e>
                    <m:r>
                      <m:t>N</m:t>
                    </m:r>
                  </m:e>
                  <m:sub>
                    <m:r>
                      <m:t>i</m:t>
                    </m:r>
                    <m:r>
                      <m:t>j</m:t>
                    </m:r>
                    <m:r>
                      <m:rPr>
                        <m:sty m:val="p"/>
                      </m:rPr>
                      <m:t>,</m:t>
                    </m:r>
                    <m:r>
                      <m:t>y</m:t>
                    </m:r>
                  </m:sub>
                  <m:sup>
                    <m:r>
                      <m:rPr>
                        <m:sty m:val="p"/>
                      </m:rPr>
                      <m:t>(</m:t>
                    </m:r>
                    <m:r>
                      <m:t>1</m:t>
                    </m:r>
                    <m:r>
                      <m:rPr>
                        <m:sty m:val="p"/>
                      </m:rPr>
                      <m:t>)</m:t>
                    </m:r>
                  </m:sup>
                </m:sSubSup>
              </m:e>
              <m:e>
                <m:r>
                  <m:rPr>
                    <m:sty m:val="p"/>
                  </m:rPr>
                  <m:t>=</m:t>
                </m:r>
                <m:nary>
                  <m:naryPr>
                    <m:chr m:val="∑"/>
                    <m:limLoc m:val="undOvr"/>
                    <m:subHide m:val="0"/>
                    <m:supHide m:val="1"/>
                  </m:naryPr>
                  <m:sub>
                    <m:r>
                      <m:t>r</m:t>
                    </m:r>
                    <m:r>
                      <m:rPr>
                        <m:sty m:val="p"/>
                      </m:rPr>
                      <m:t>∈</m:t>
                    </m:r>
                    <m:sSubSup>
                      <m:e>
                        <m:r>
                          <m:rPr>
                            <m:sty m:val="p"/>
                            <m:scr m:val="script"/>
                          </m:rPr>
                          <m:t>R</m:t>
                        </m:r>
                      </m:e>
                      <m:sub>
                        <m:r>
                          <m:t>i</m:t>
                        </m:r>
                        <m:r>
                          <m:t>j</m:t>
                        </m:r>
                      </m:sub>
                      <m:sup>
                        <m:r>
                          <m:rPr>
                            <m:sty m:val="p"/>
                          </m:rPr>
                          <m:t>(</m:t>
                        </m:r>
                        <m:r>
                          <m:t>y</m:t>
                        </m:r>
                        <m:r>
                          <m:rPr>
                            <m:sty m:val="p"/>
                          </m:rPr>
                          <m:t>)</m:t>
                        </m:r>
                      </m:sup>
                    </m:sSubSup>
                  </m:sub>
                  <m:sup>
                    <m:r>
                      <m:t>​</m:t>
                    </m:r>
                  </m:sup>
                  <m:e>
                    <m:r>
                      <m:rPr>
                        <m:sty m:val="p"/>
                        <m:scr m:val="double-struck"/>
                      </m:rPr>
                      <m:t>I</m:t>
                    </m:r>
                  </m:e>
                </m:nary>
                <m:r>
                  <m:rPr>
                    <m:sty m:val="p"/>
                  </m:rPr>
                  <m:t>(</m:t>
                </m:r>
                <m:sSub>
                  <m:e>
                    <m:r>
                      <m:rPr>
                        <m:sty m:val="p"/>
                      </m:rPr>
                      <m:t>ℓ</m:t>
                    </m:r>
                  </m:e>
                  <m:sub>
                    <m:r>
                      <m:t>r</m:t>
                    </m:r>
                  </m:sub>
                </m:sSub>
                <m:r>
                  <m:rPr>
                    <m:sty m:val="p"/>
                  </m:rPr>
                  <m:t>=</m:t>
                </m:r>
                <m:r>
                  <m:t>1</m:t>
                </m:r>
                <m:r>
                  <m:rPr>
                    <m:sty m:val="p"/>
                  </m:rPr>
                  <m:t>)</m:t>
                </m:r>
                <m:r>
                  <m:rPr>
                    <m:sty m:val="p"/>
                  </m:rPr>
                  <m:t>,</m:t>
                </m:r>
              </m:e>
            </m:mr>
            <m:mr>
              <m:e>
                <m:sSubSup>
                  <m:e>
                    <m:r>
                      <m:t>N</m:t>
                    </m:r>
                  </m:e>
                  <m:sub>
                    <m:r>
                      <m:t>i</m:t>
                    </m:r>
                    <m:r>
                      <m:t>j</m:t>
                    </m:r>
                    <m:r>
                      <m:rPr>
                        <m:sty m:val="p"/>
                      </m:rPr>
                      <m:t>,</m:t>
                    </m:r>
                    <m:r>
                      <m:t>y</m:t>
                    </m:r>
                  </m:sub>
                  <m:sup>
                    <m:r>
                      <m:rPr>
                        <m:sty m:val="p"/>
                      </m:rPr>
                      <m:t>(</m:t>
                    </m:r>
                    <m:r>
                      <m:t>2</m:t>
                    </m:r>
                    <m:r>
                      <m:rPr>
                        <m:sty m:val="p"/>
                      </m:rPr>
                      <m:t>+</m:t>
                    </m:r>
                    <m:r>
                      <m:rPr>
                        <m:sty m:val="p"/>
                      </m:rPr>
                      <m:t>)</m:t>
                    </m:r>
                  </m:sup>
                </m:sSubSup>
              </m:e>
              <m:e>
                <m:r>
                  <m:rPr>
                    <m:sty m:val="p"/>
                  </m:rPr>
                  <m:t>=</m:t>
                </m:r>
                <m:nary>
                  <m:naryPr>
                    <m:chr m:val="∑"/>
                    <m:limLoc m:val="undOvr"/>
                    <m:subHide m:val="0"/>
                    <m:supHide m:val="1"/>
                  </m:naryPr>
                  <m:sub>
                    <m:r>
                      <m:t>r</m:t>
                    </m:r>
                    <m:r>
                      <m:rPr>
                        <m:sty m:val="p"/>
                      </m:rPr>
                      <m:t>∈</m:t>
                    </m:r>
                    <m:sSubSup>
                      <m:e>
                        <m:r>
                          <m:rPr>
                            <m:sty m:val="p"/>
                            <m:scr m:val="script"/>
                          </m:rPr>
                          <m:t>R</m:t>
                        </m:r>
                      </m:e>
                      <m:sub>
                        <m:r>
                          <m:t>i</m:t>
                        </m:r>
                        <m:r>
                          <m:t>j</m:t>
                        </m:r>
                      </m:sub>
                      <m:sup>
                        <m:r>
                          <m:rPr>
                            <m:sty m:val="p"/>
                          </m:rPr>
                          <m:t>(</m:t>
                        </m:r>
                        <m:r>
                          <m:t>y</m:t>
                        </m:r>
                        <m:r>
                          <m:rPr>
                            <m:sty m:val="p"/>
                          </m:rPr>
                          <m:t>)</m:t>
                        </m:r>
                      </m:sup>
                    </m:sSubSup>
                  </m:sub>
                  <m:sup>
                    <m:r>
                      <m:t>​</m:t>
                    </m:r>
                  </m:sup>
                  <m:e>
                    <m:r>
                      <m:rPr>
                        <m:sty m:val="p"/>
                        <m:scr m:val="double-struck"/>
                      </m:rPr>
                      <m:t>I</m:t>
                    </m:r>
                  </m:e>
                </m:nary>
                <m:r>
                  <m:rPr>
                    <m:sty m:val="p"/>
                  </m:rPr>
                  <m:t>(</m:t>
                </m:r>
                <m:sSub>
                  <m:e>
                    <m:r>
                      <m:rPr>
                        <m:sty m:val="p"/>
                      </m:rPr>
                      <m:t>ℓ</m:t>
                    </m:r>
                  </m:e>
                  <m:sub>
                    <m:r>
                      <m:t>r</m:t>
                    </m:r>
                  </m:sub>
                </m:sSub>
                <m:r>
                  <m:rPr>
                    <m:sty m:val="p"/>
                  </m:rPr>
                  <m:t>≥</m:t>
                </m:r>
                <m:r>
                  <m:t>2</m:t>
                </m:r>
                <m:r>
                  <m:rPr>
                    <m:sty m:val="p"/>
                  </m:rPr>
                  <m:t>)</m:t>
                </m:r>
              </m:e>
            </m:mr>
          </m:m>
        </m:oMath>
      </m:oMathPara>
    </w:p>
    <w:p>
      <w:pPr>
        <w:spacing w:before="0" w:after="104" w:line="307" w:lineRule="auto"/>
        <w:ind w:firstLine="403"/>
      </w:pPr>
      <w:r>
        <w:rPr>
          <w:rFonts w:ascii="Arial" w:hAnsi="Arial" w:eastAsia="宋体"/>
          <w:color w:val="000000"/>
          <w:sz w:val="21"/>
        </w:rPr>
        <w:t>年度城市链路网络写为下式。当前主分析令Wy等于衰减链路权重；计数链路用于稳健性比较。输出文件只写入实际出现的城市对，未出现的城市对在矩阵表示中权重记为0。这里的0表示该城市对在相应年度没有接续记录，不是把原始缺失值填成0。</w:t>
      </w:r>
    </w:p>
    <w:p>
      <w:pPr>
        <w:keepNext/>
        <w:spacing w:before="100" w:after="20"/>
        <w:jc w:val="center"/>
      </w:pPr>
      <w:r>
        <w:rPr>
          <w:rFonts w:ascii="Arial" w:hAnsi="Arial" w:eastAsia="微软雅黑"/>
          <w:b/>
          <w:color w:val="666666"/>
          <w:sz w:val="19"/>
        </w:rPr>
        <w:t>式 8  年度81城有向链路网络</w:t>
      </w:r>
    </w:p>
    <w:p>
      <w:pPr>
        <w:keepLines/>
        <w:spacing w:before="0" w:after="120"/>
        <w:jc w:val="center"/>
      </w:pPr>
      <m:oMathPara>
        <m:oMathParaPr>
          <m:jc m:val="center"/>
        </m:oMathParaPr>
        <m:oMath>
          <m:sSub>
            <m:e>
              <m:r>
                <m:t>G</m:t>
              </m:r>
            </m:e>
            <m:sub>
              <m:r>
                <m:t>y</m:t>
              </m:r>
            </m:sub>
          </m:sSub>
          <m:r>
            <m:rPr>
              <m:sty m:val="p"/>
            </m:rPr>
            <m:t>=</m:t>
          </m:r>
          <m:r>
            <m:rPr>
              <m:sty m:val="p"/>
            </m:rPr>
            <m:t>(</m:t>
          </m:r>
          <m:r>
            <m:t>V</m:t>
          </m:r>
          <m:r>
            <m:rPr>
              <m:sty m:val="p"/>
            </m:rPr>
            <m:t>,</m:t>
          </m:r>
          <m:sSub>
            <m:e>
              <m:r>
                <m:t>E</m:t>
              </m:r>
            </m:e>
            <m:sub>
              <m:r>
                <m:t>y</m:t>
              </m:r>
            </m:sub>
          </m:sSub>
          <m:r>
            <m:rPr>
              <m:sty m:val="p"/>
            </m:rPr>
            <m:t>,</m:t>
          </m:r>
          <m:sSub>
            <m:e>
              <m:r>
                <m:t>W</m:t>
              </m:r>
            </m:e>
            <m:sub>
              <m:r>
                <m:t>y</m:t>
              </m:r>
            </m:sub>
          </m:sSub>
          <m:r>
            <m:rPr>
              <m:sty m:val="p"/>
            </m:rPr>
            <m:t>)</m:t>
          </m:r>
          <m:r>
            <m:rPr>
              <m:sty m:val="p"/>
            </m:rPr>
            <m:t>,</m:t>
          </m:r>
          <m:r>
            <m:t>  </m:t>
          </m:r>
          <m:sSub>
            <m:e>
              <m:r>
                <m:t>E</m:t>
              </m:r>
            </m:e>
            <m:sub>
              <m:r>
                <m:t>y</m:t>
              </m:r>
            </m:sub>
          </m:sSub>
          <m:r>
            <m:rPr>
              <m:sty m:val="p"/>
            </m:rPr>
            <m:t>=</m:t>
          </m:r>
          <m:d>
            <m:dPr>
              <m:begChr m:val="{"/>
              <m:endChr m:val="}"/>
              <m:grow/>
            </m:dPr>
            <m:e>
              <m:r>
                <m:rPr>
                  <m:sty m:val="p"/>
                </m:rPr>
                <m:t>(</m:t>
              </m:r>
              <m:r>
                <m:t>i</m:t>
              </m:r>
              <m:r>
                <m:rPr>
                  <m:sty m:val="p"/>
                </m:rPr>
                <m:t>,</m:t>
              </m:r>
              <m:r>
                <m:t>j</m:t>
              </m:r>
              <m:r>
                <m:rPr>
                  <m:sty m:val="p"/>
                </m:rPr>
                <m:t>)</m:t>
              </m:r>
              <m:r>
                <m:rPr>
                  <m:sty m:val="p"/>
                </m:rPr>
                <m:t>∈</m:t>
              </m:r>
              <m:r>
                <m:t>V</m:t>
              </m:r>
              <m:r>
                <m:rPr>
                  <m:sty m:val="p"/>
                </m:rPr>
                <m:t>×</m:t>
              </m:r>
              <m:r>
                <m:t>V</m:t>
              </m:r>
              <m:r>
                <m:rPr>
                  <m:sty m:val="p"/>
                </m:rPr>
                <m:t>:</m:t>
              </m:r>
              <m:sSubSup>
                <m:e>
                  <m:r>
                    <m:rPr>
                      <m:sty m:val="p"/>
                      <m:scr m:val="script"/>
                    </m:rPr>
                    <m:t>R</m:t>
                  </m:r>
                </m:e>
                <m:sub>
                  <m:r>
                    <m:t>i</m:t>
                  </m:r>
                  <m:r>
                    <m:t>j</m:t>
                  </m:r>
                </m:sub>
                <m:sup>
                  <m:r>
                    <m:rPr>
                      <m:sty m:val="p"/>
                    </m:rPr>
                    <m:t>(</m:t>
                  </m:r>
                  <m:r>
                    <m:t>y</m:t>
                  </m:r>
                  <m:r>
                    <m:rPr>
                      <m:sty m:val="p"/>
                    </m:rPr>
                    <m:t>)</m:t>
                  </m:r>
                </m:sup>
              </m:sSubSup>
              <m:r>
                <m:rPr>
                  <m:sty m:val="p"/>
                </m:rPr>
                <m:t>≠</m:t>
              </m:r>
              <m:r>
                <m:rPr>
                  <m:sty m:val="p"/>
                </m:rPr>
                <m:t>⌀</m:t>
              </m:r>
            </m:e>
          </m:d>
        </m:oMath>
      </m:oMathPara>
    </w:p>
    <w:p>
      <w:pPr>
        <w:spacing w:before="0" w:after="104" w:line="307" w:lineRule="auto"/>
        <w:ind w:firstLine="403"/>
      </w:pPr>
      <w:r>
        <w:rPr>
          <w:rFonts w:ascii="Arial" w:hAnsi="Arial" w:eastAsia="宋体"/>
          <w:color w:val="000000"/>
          <w:sz w:val="21"/>
        </w:rPr>
        <w:t>同城端点目前仍保留在年度链路数据中。它们是否进入正式基线网络，需在基线构建前另行确定。</w:t>
      </w:r>
    </w:p>
    <w:p>
      <w:pPr>
        <w:pStyle w:val="Heading2"/>
        <w:keepNext/>
        <w:spacing w:before="200" w:after="100"/>
      </w:pPr>
      <w:r>
        <w:rPr>
          <w:rFonts w:ascii="Arial" w:hAnsi="Arial" w:eastAsia="微软雅黑"/>
          <w:b/>
          <w:color w:val="000000"/>
          <w:sz w:val="26"/>
        </w:rPr>
        <w:t>修改三 级联滞后指标公式</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原研究方案3.3。</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原文把“标准化边权”和“转移概率”混在同一个符号中，下游滞后量也没有标明对应哪一个上游事件。修改后先定义年度转移概率和2021至2022基线概率，再计算CLI、CS和CA。</w:t>
      </w:r>
    </w:p>
    <w:p>
      <w:pPr>
        <w:pStyle w:val="Heading3"/>
        <w:keepNext/>
        <w:spacing w:before="140" w:after="80"/>
      </w:pPr>
      <w:r>
        <w:rPr>
          <w:rFonts w:ascii="Arial" w:hAnsi="Arial" w:eastAsia="微软雅黑"/>
          <w:b/>
          <w:color w:val="000000"/>
          <w:sz w:val="23"/>
        </w:rPr>
        <w:t>建议替换文本</w:t>
      </w:r>
    </w:p>
    <w:p>
      <w:pPr>
        <w:spacing w:before="0" w:after="104" w:line="307" w:lineRule="auto"/>
        <w:ind w:firstLine="403"/>
      </w:pPr>
      <w:r>
        <w:rPr>
          <w:rFonts w:ascii="Arial" w:hAnsi="Arial" w:eastAsia="宋体"/>
          <w:color w:val="000000"/>
          <w:sz w:val="21"/>
        </w:rPr>
        <w:t>在确定同城边是否保留后，对主版本年度链路权重按起点城市归一化。若某个起点城市的权重合计为0，则该行转移概率不计算，不用缺失值或任意常数代替。</w:t>
      </w:r>
    </w:p>
    <w:p>
      <w:pPr>
        <w:keepNext/>
        <w:spacing w:before="100" w:after="20"/>
        <w:jc w:val="center"/>
      </w:pPr>
      <w:r>
        <w:rPr>
          <w:rFonts w:ascii="Arial" w:hAnsi="Arial" w:eastAsia="微软雅黑"/>
          <w:b/>
          <w:color w:val="666666"/>
          <w:sz w:val="19"/>
        </w:rPr>
        <w:t>式 9  年度转移概率</w:t>
      </w:r>
    </w:p>
    <w:p>
      <w:pPr>
        <w:keepLines/>
        <w:spacing w:before="0" w:after="120"/>
        <w:jc w:val="center"/>
      </w:pPr>
      <m:oMathPara>
        <m:oMathParaPr>
          <m:jc m:val="center"/>
        </m:oMathParaPr>
        <m:oMath>
          <m:sSubSup>
            <m:e>
              <m:r>
                <m:t>P</m:t>
              </m:r>
            </m:e>
            <m:sub>
              <m:r>
                <m:t>i</m:t>
              </m:r>
              <m:r>
                <m:t>j</m:t>
              </m:r>
            </m:sub>
            <m:sup>
              <m:r>
                <m:rPr>
                  <m:sty m:val="p"/>
                </m:rPr>
                <m:t>(</m:t>
              </m:r>
              <m:r>
                <m:t>y</m:t>
              </m:r>
              <m:r>
                <m:rPr>
                  <m:sty m:val="p"/>
                </m:rPr>
                <m:t>)</m:t>
              </m:r>
            </m:sup>
          </m:sSubSup>
          <m:r>
            <m:rPr>
              <m:sty m:val="p"/>
            </m:rPr>
            <m:t>=</m:t>
          </m:r>
          <m:f>
            <m:fPr>
              <m:type m:val="bar"/>
            </m:fPr>
            <m:num>
              <m:sSubSup>
                <m:e>
                  <m:r>
                    <m:t>W</m:t>
                  </m:r>
                </m:e>
                <m:sub>
                  <m:r>
                    <m:t>i</m:t>
                  </m:r>
                  <m:r>
                    <m:t>j</m:t>
                  </m:r>
                </m:sub>
                <m:sup>
                  <m:r>
                    <m:rPr>
                      <m:sty m:val="p"/>
                    </m:rPr>
                    <m:t>(</m:t>
                  </m:r>
                  <m:r>
                    <m:t>y</m:t>
                  </m:r>
                  <m:r>
                    <m:rPr>
                      <m:sty m:val="p"/>
                    </m:rPr>
                    <m:t>)</m:t>
                  </m:r>
                </m:sup>
              </m:sSubSup>
            </m:num>
            <m:den>
              <m:nary>
                <m:naryPr>
                  <m:chr m:val="∑"/>
                  <m:limLoc m:val="undOvr"/>
                  <m:subHide m:val="0"/>
                  <m:supHide m:val="1"/>
                </m:naryPr>
                <m:sub>
                  <m:r>
                    <m:t>k</m:t>
                  </m:r>
                  <m:r>
                    <m:rPr>
                      <m:sty m:val="p"/>
                    </m:rPr>
                    <m:t>∈</m:t>
                  </m:r>
                  <m:r>
                    <m:t>V</m:t>
                  </m:r>
                </m:sub>
                <m:sup>
                  <m:r>
                    <m:t>​</m:t>
                  </m:r>
                </m:sup>
                <m:e>
                  <m:sSubSup>
                    <m:e>
                      <m:r>
                        <m:t>W</m:t>
                      </m:r>
                    </m:e>
                    <m:sub>
                      <m:r>
                        <m:t>i</m:t>
                      </m:r>
                      <m:r>
                        <m:t>k</m:t>
                      </m:r>
                    </m:sub>
                    <m:sup>
                      <m:r>
                        <m:rPr>
                          <m:sty m:val="p"/>
                        </m:rPr>
                        <m:t>(</m:t>
                      </m:r>
                      <m:r>
                        <m:t>y</m:t>
                      </m:r>
                      <m:r>
                        <m:rPr>
                          <m:sty m:val="p"/>
                        </m:rPr>
                        <m:t>)</m:t>
                      </m:r>
                    </m:sup>
                  </m:sSubSup>
                </m:e>
              </m:nary>
            </m:den>
          </m:f>
          <m:r>
            <m:rPr>
              <m:sty m:val="p"/>
            </m:rPr>
            <m:t>,</m:t>
          </m:r>
          <m:r>
            <m:t>  </m:t>
          </m:r>
          <m:nary>
            <m:naryPr>
              <m:chr m:val="∑"/>
              <m:limLoc m:val="undOvr"/>
              <m:subHide m:val="0"/>
              <m:supHide m:val="1"/>
            </m:naryPr>
            <m:sub>
              <m:r>
                <m:t>k</m:t>
              </m:r>
              <m:r>
                <m:rPr>
                  <m:sty m:val="p"/>
                </m:rPr>
                <m:t>∈</m:t>
              </m:r>
              <m:r>
                <m:t>V</m:t>
              </m:r>
            </m:sub>
            <m:sup>
              <m:r>
                <m:t>​</m:t>
              </m:r>
            </m:sup>
            <m:e>
              <m:sSubSup>
                <m:e>
                  <m:r>
                    <m:t>W</m:t>
                  </m:r>
                </m:e>
                <m:sub>
                  <m:r>
                    <m:t>i</m:t>
                  </m:r>
                  <m:r>
                    <m:t>k</m:t>
                  </m:r>
                </m:sub>
                <m:sup>
                  <m:r>
                    <m:rPr>
                      <m:sty m:val="p"/>
                    </m:rPr>
                    <m:t>(</m:t>
                  </m:r>
                  <m:r>
                    <m:t>y</m:t>
                  </m:r>
                  <m:r>
                    <m:rPr>
                      <m:sty m:val="p"/>
                    </m:rPr>
                    <m:t>)</m:t>
                  </m:r>
                </m:sup>
              </m:sSubSup>
            </m:e>
          </m:nary>
          <m:r>
            <m:rPr>
              <m:sty m:val="p"/>
            </m:rPr>
            <m:t>&gt;</m:t>
          </m:r>
          <m:r>
            <m:t>0</m:t>
          </m:r>
        </m:oMath>
      </m:oMathPara>
    </w:p>
    <w:p>
      <w:pPr>
        <w:spacing w:before="0" w:after="104" w:line="307" w:lineRule="auto"/>
      </w:pPr>
      <w:r>
        <w:rPr>
          <w:rFonts w:ascii="Arial" w:hAnsi="Arial" w:eastAsia="宋体"/>
          <w:color w:val="000000"/>
          <w:sz w:val="21"/>
        </w:rPr>
        <w:t>2021年和2022年分别归一化，再取同一城市对的平均，得到经验基线概率。</w:t>
      </w:r>
    </w:p>
    <w:p>
      <w:pPr>
        <w:keepNext/>
        <w:spacing w:before="100" w:after="20"/>
        <w:jc w:val="center"/>
      </w:pPr>
      <w:r>
        <w:rPr>
          <w:rFonts w:ascii="Arial" w:hAnsi="Arial" w:eastAsia="微软雅黑"/>
          <w:b/>
          <w:color w:val="666666"/>
          <w:sz w:val="19"/>
        </w:rPr>
        <w:t>式 10  2021至2022经验基线概率</w:t>
      </w:r>
    </w:p>
    <w:p>
      <w:pPr>
        <w:keepLines/>
        <w:spacing w:before="0" w:after="120"/>
        <w:jc w:val="center"/>
      </w:pPr>
      <m:oMathPara>
        <m:oMathParaPr>
          <m:jc m:val="center"/>
        </m:oMathParaPr>
        <m:oMath>
          <m:sSub>
            <m:e>
              <m:acc>
                <m:accPr>
                  <m:chr m:val="‾"/>
                </m:accPr>
                <m:e>
                  <m:r>
                    <m:t>P</m:t>
                  </m:r>
                </m:e>
              </m:acc>
            </m:e>
            <m:sub>
              <m:r>
                <m:t>i</m:t>
              </m:r>
              <m:r>
                <m:t>j</m:t>
              </m:r>
            </m:sub>
          </m:sSub>
          <m:r>
            <m:rPr>
              <m:sty m:val="p"/>
            </m:rPr>
            <m:t>=</m:t>
          </m:r>
          <m:f>
            <m:fPr>
              <m:type m:val="bar"/>
            </m:fPr>
            <m:num>
              <m:sSubSup>
                <m:e>
                  <m:r>
                    <m:t>P</m:t>
                  </m:r>
                </m:e>
                <m:sub>
                  <m:r>
                    <m:t>i</m:t>
                  </m:r>
                  <m:r>
                    <m:t>j</m:t>
                  </m:r>
                </m:sub>
                <m:sup>
                  <m:r>
                    <m:rPr>
                      <m:sty m:val="p"/>
                    </m:rPr>
                    <m:t>(</m:t>
                  </m:r>
                  <m:r>
                    <m:t>2021</m:t>
                  </m:r>
                  <m:r>
                    <m:rPr>
                      <m:sty m:val="p"/>
                    </m:rPr>
                    <m:t>)</m:t>
                  </m:r>
                </m:sup>
              </m:sSubSup>
              <m:r>
                <m:rPr>
                  <m:sty m:val="p"/>
                </m:rPr>
                <m:t>+</m:t>
              </m:r>
              <m:sSubSup>
                <m:e>
                  <m:r>
                    <m:t>P</m:t>
                  </m:r>
                </m:e>
                <m:sub>
                  <m:r>
                    <m:t>i</m:t>
                  </m:r>
                  <m:r>
                    <m:t>j</m:t>
                  </m:r>
                </m:sub>
                <m:sup>
                  <m:r>
                    <m:rPr>
                      <m:sty m:val="p"/>
                    </m:rPr>
                    <m:t>(</m:t>
                  </m:r>
                  <m:r>
                    <m:t>2022</m:t>
                  </m:r>
                  <m:r>
                    <m:rPr>
                      <m:sty m:val="p"/>
                    </m:rPr>
                    <m:t>)</m:t>
                  </m:r>
                </m:sup>
              </m:sSubSup>
            </m:num>
            <m:den>
              <m:r>
                <m:t>2</m:t>
              </m:r>
            </m:den>
          </m:f>
        </m:oMath>
      </m:oMathPara>
    </w:p>
    <w:p>
      <w:pPr>
        <w:spacing w:before="0" w:after="104" w:line="307" w:lineRule="auto"/>
        <w:ind w:firstLine="403"/>
      </w:pPr>
      <w:r>
        <w:rPr>
          <w:rFonts w:ascii="Arial" w:hAnsi="Arial" w:eastAsia="宋体"/>
          <w:color w:val="000000"/>
          <w:sz w:val="21"/>
        </w:rPr>
        <w:t>设基线网络中城市i的下游城市为其下游集合。式11中的额外滞后项表示城市i发生受扰事件后，城市j在规定接续窗口内出现且不能完全由本地降雨解释的额外滞后面积。这样可以明确每个下游滞后对应哪个上游事件。</w:t>
      </w:r>
    </w:p>
    <w:p>
      <w:pPr>
        <w:keepNext/>
        <w:spacing w:before="100" w:after="20"/>
        <w:jc w:val="center"/>
      </w:pPr>
      <w:r>
        <w:rPr>
          <w:rFonts w:ascii="Arial" w:hAnsi="Arial" w:eastAsia="微软雅黑"/>
          <w:b/>
          <w:color w:val="666666"/>
          <w:sz w:val="19"/>
        </w:rPr>
        <w:t>式 11  级联滞后强度</w:t>
      </w:r>
    </w:p>
    <w:p>
      <w:pPr>
        <w:keepLines/>
        <w:spacing w:before="0" w:after="120"/>
        <w:jc w:val="center"/>
      </w:pPr>
      <m:oMathPara>
        <m:oMathParaPr>
          <m:jc m:val="center"/>
        </m:oMathParaPr>
        <m:oMath>
          <m:sSub>
            <m:e>
              <m:r>
                <m:rPr>
                  <m:sty m:val="p"/>
                </m:rPr>
                <m:t>C</m:t>
              </m:r>
              <m:r>
                <m:rPr>
                  <m:sty m:val="p"/>
                </m:rPr>
                <m:t>L</m:t>
              </m:r>
              <m:r>
                <m:rPr>
                  <m:sty m:val="p"/>
                </m:rPr>
                <m:t>I</m:t>
              </m:r>
            </m:e>
            <m:sub>
              <m:r>
                <m:t>i</m:t>
              </m:r>
            </m:sub>
          </m:sSub>
          <m:r>
            <m:rPr>
              <m:sty m:val="p"/>
            </m:rPr>
            <m:t>=</m:t>
          </m:r>
          <m:nary>
            <m:naryPr>
              <m:chr m:val="∑"/>
              <m:limLoc m:val="undOvr"/>
              <m:subHide m:val="0"/>
              <m:supHide m:val="1"/>
            </m:naryPr>
            <m:sub>
              <m:r>
                <m:t>j</m:t>
              </m:r>
              <m:r>
                <m:rPr>
                  <m:sty m:val="p"/>
                </m:rPr>
                <m:t>∈</m:t>
              </m:r>
              <m:sSubSup>
                <m:e>
                  <m:r>
                    <m:rPr>
                      <m:sty m:val="p"/>
                      <m:scr m:val="script"/>
                    </m:rPr>
                    <m:t>N</m:t>
                  </m:r>
                </m:e>
                <m:sub>
                  <m:r>
                    <m:t>i</m:t>
                  </m:r>
                </m:sub>
                <m:sup>
                  <m:r>
                    <m:rPr>
                      <m:sty m:val="p"/>
                    </m:rPr>
                    <m:t>o</m:t>
                  </m:r>
                  <m:r>
                    <m:rPr>
                      <m:sty m:val="p"/>
                    </m:rPr>
                    <m:t>u</m:t>
                  </m:r>
                  <m:r>
                    <m:rPr>
                      <m:sty m:val="p"/>
                    </m:rPr>
                    <m:t>t</m:t>
                  </m:r>
                </m:sup>
              </m:sSubSup>
            </m:sub>
            <m:sup>
              <m:r>
                <m:t>​</m:t>
              </m:r>
            </m:sup>
            <m:e>
              <m:sSub>
                <m:e>
                  <m:acc>
                    <m:accPr>
                      <m:chr m:val="‾"/>
                    </m:accPr>
                    <m:e>
                      <m:r>
                        <m:t>P</m:t>
                      </m:r>
                    </m:e>
                  </m:acc>
                </m:e>
                <m:sub>
                  <m:r>
                    <m:t>i</m:t>
                  </m:r>
                  <m:r>
                    <m:t>j</m:t>
                  </m:r>
                </m:sub>
              </m:sSub>
            </m:e>
          </m:nary>
          <m:r>
            <m:t> </m:t>
          </m:r>
          <m:r>
            <m:t>L</m:t>
          </m:r>
          <m:sSubSup>
            <m:e>
              <m:r>
                <m:t>A</m:t>
              </m:r>
            </m:e>
            <m:sub>
              <m:r>
                <m:t>j</m:t>
              </m:r>
              <m:r>
                <m:rPr>
                  <m:sty m:val="p"/>
                </m:rPr>
                <m:t>∣</m:t>
              </m:r>
              <m:r>
                <m:t>i</m:t>
              </m:r>
            </m:sub>
            <m:sup>
              <m:r>
                <m:rPr>
                  <m:sty m:val="p"/>
                </m:rPr>
                <m:t>a</m:t>
              </m:r>
              <m:r>
                <m:rPr>
                  <m:sty m:val="p"/>
                </m:rPr>
                <m:t>f</m:t>
              </m:r>
              <m:r>
                <m:rPr>
                  <m:sty m:val="p"/>
                </m:rPr>
                <m:t>t</m:t>
              </m:r>
              <m:r>
                <m:rPr>
                  <m:sty m:val="p"/>
                </m:rPr>
                <m:t>e</m:t>
              </m:r>
              <m:r>
                <m:rPr>
                  <m:sty m:val="p"/>
                </m:rPr>
                <m:t>r</m:t>
              </m:r>
            </m:sup>
          </m:sSubSup>
        </m:oMath>
      </m:oMathPara>
    </w:p>
    <w:p>
      <w:pPr>
        <w:spacing w:before="0" w:after="104" w:line="307" w:lineRule="auto"/>
      </w:pPr>
      <w:r>
        <w:rPr>
          <w:rFonts w:ascii="Arial" w:hAnsi="Arial" w:eastAsia="宋体"/>
          <w:color w:val="000000"/>
          <w:sz w:val="21"/>
        </w:rPr>
        <w:t>级联影响范围统计超过滞后阈值的下游城市数量。</w:t>
      </w:r>
    </w:p>
    <w:p>
      <w:pPr>
        <w:keepNext/>
        <w:spacing w:before="100" w:after="20"/>
        <w:jc w:val="center"/>
      </w:pPr>
      <w:r>
        <w:rPr>
          <w:rFonts w:ascii="Arial" w:hAnsi="Arial" w:eastAsia="微软雅黑"/>
          <w:b/>
          <w:color w:val="666666"/>
          <w:sz w:val="19"/>
        </w:rPr>
        <w:t>式 12  级联影响范围</w:t>
      </w:r>
    </w:p>
    <w:p>
      <w:pPr>
        <w:keepLines/>
        <w:spacing w:before="0" w:after="120"/>
        <w:jc w:val="center"/>
      </w:pPr>
      <m:oMathPara>
        <m:oMathParaPr>
          <m:jc m:val="center"/>
        </m:oMathParaPr>
        <m:oMath>
          <m:sSub>
            <m:e>
              <m:r>
                <m:rPr>
                  <m:sty m:val="p"/>
                </m:rPr>
                <m:t>C</m:t>
              </m:r>
              <m:r>
                <m:rPr>
                  <m:sty m:val="p"/>
                </m:rPr>
                <m:t>S</m:t>
              </m:r>
            </m:e>
            <m:sub>
              <m:r>
                <m:t>i</m:t>
              </m:r>
            </m:sub>
          </m:sSub>
          <m:r>
            <m:rPr>
              <m:sty m:val="p"/>
            </m:rPr>
            <m:t>=</m:t>
          </m:r>
          <m:nary>
            <m:naryPr>
              <m:chr m:val="∑"/>
              <m:limLoc m:val="undOvr"/>
              <m:subHide m:val="0"/>
              <m:supHide m:val="1"/>
            </m:naryPr>
            <m:sub>
              <m:r>
                <m:t>j</m:t>
              </m:r>
              <m:r>
                <m:rPr>
                  <m:sty m:val="p"/>
                </m:rPr>
                <m:t>∈</m:t>
              </m:r>
              <m:sSubSup>
                <m:e>
                  <m:r>
                    <m:rPr>
                      <m:sty m:val="p"/>
                      <m:scr m:val="script"/>
                    </m:rPr>
                    <m:t>N</m:t>
                  </m:r>
                </m:e>
                <m:sub>
                  <m:r>
                    <m:t>i</m:t>
                  </m:r>
                </m:sub>
                <m:sup>
                  <m:r>
                    <m:rPr>
                      <m:sty m:val="p"/>
                    </m:rPr>
                    <m:t>o</m:t>
                  </m:r>
                  <m:r>
                    <m:rPr>
                      <m:sty m:val="p"/>
                    </m:rPr>
                    <m:t>u</m:t>
                  </m:r>
                  <m:r>
                    <m:rPr>
                      <m:sty m:val="p"/>
                    </m:rPr>
                    <m:t>t</m:t>
                  </m:r>
                </m:sup>
              </m:sSubSup>
            </m:sub>
            <m:sup>
              <m:r>
                <m:t>​</m:t>
              </m:r>
            </m:sup>
            <m:e>
              <m:r>
                <m:rPr>
                  <m:sty m:val="p"/>
                  <m:scr m:val="double-struck"/>
                </m:rPr>
                <m:t>I</m:t>
              </m:r>
            </m:e>
          </m:nary>
          <m:d>
            <m:dPr>
              <m:begChr m:val="("/>
              <m:endChr m:val=")"/>
              <m:grow/>
            </m:dPr>
            <m:e>
              <m:r>
                <m:t>L</m:t>
              </m:r>
              <m:sSubSup>
                <m:e>
                  <m:r>
                    <m:t>A</m:t>
                  </m:r>
                </m:e>
                <m:sub>
                  <m:r>
                    <m:t>j</m:t>
                  </m:r>
                  <m:r>
                    <m:rPr>
                      <m:sty m:val="p"/>
                    </m:rPr>
                    <m:t>∣</m:t>
                  </m:r>
                  <m:r>
                    <m:t>i</m:t>
                  </m:r>
                </m:sub>
                <m:sup>
                  <m:r>
                    <m:rPr>
                      <m:sty m:val="p"/>
                    </m:rPr>
                    <m:t>a</m:t>
                  </m:r>
                  <m:r>
                    <m:rPr>
                      <m:sty m:val="p"/>
                    </m:rPr>
                    <m:t>f</m:t>
                  </m:r>
                  <m:r>
                    <m:rPr>
                      <m:sty m:val="p"/>
                    </m:rPr>
                    <m:t>t</m:t>
                  </m:r>
                  <m:r>
                    <m:rPr>
                      <m:sty m:val="p"/>
                    </m:rPr>
                    <m:t>e</m:t>
                  </m:r>
                  <m:r>
                    <m:rPr>
                      <m:sty m:val="p"/>
                    </m:rPr>
                    <m:t>r</m:t>
                  </m:r>
                </m:sup>
              </m:sSubSup>
              <m:r>
                <m:rPr>
                  <m:sty m:val="p"/>
                </m:rPr>
                <m:t>&gt;</m:t>
              </m:r>
              <m:sSub>
                <m:e>
                  <m:r>
                    <m:t>θ</m:t>
                  </m:r>
                </m:e>
                <m:sub>
                  <m:r>
                    <m:t>L</m:t>
                  </m:r>
                </m:sub>
              </m:sSub>
            </m:e>
          </m:d>
        </m:oMath>
      </m:oMathPara>
    </w:p>
    <w:p>
      <w:pPr>
        <w:spacing w:before="0" w:after="104" w:line="307" w:lineRule="auto"/>
      </w:pPr>
      <w:r>
        <w:rPr>
          <w:rFonts w:ascii="Arial" w:hAnsi="Arial" w:eastAsia="宋体"/>
          <w:color w:val="000000"/>
          <w:sz w:val="21"/>
        </w:rPr>
        <w:t>当需要比较下游城市数量不同的上游城市时，再使用标准化形式。</w:t>
      </w:r>
    </w:p>
    <w:p>
      <w:pPr>
        <w:keepNext/>
        <w:spacing w:before="100" w:after="20"/>
        <w:jc w:val="center"/>
      </w:pPr>
      <w:r>
        <w:rPr>
          <w:rFonts w:ascii="Arial" w:hAnsi="Arial" w:eastAsia="微软雅黑"/>
          <w:b/>
          <w:color w:val="666666"/>
          <w:sz w:val="19"/>
        </w:rPr>
        <w:t>式 13  标准化级联影响范围</w:t>
      </w:r>
    </w:p>
    <w:p>
      <w:pPr>
        <w:keepLines/>
        <w:spacing w:before="0" w:after="120"/>
        <w:jc w:val="center"/>
      </w:pPr>
      <m:oMathPara>
        <m:oMathParaPr>
          <m:jc m:val="center"/>
        </m:oMathParaPr>
        <m:oMath>
          <m:sSubSup>
            <m:e>
              <m:r>
                <m:rPr>
                  <m:sty m:val="p"/>
                </m:rPr>
                <m:t>C</m:t>
              </m:r>
              <m:r>
                <m:rPr>
                  <m:sty m:val="p"/>
                </m:rPr>
                <m:t>S</m:t>
              </m:r>
            </m:e>
            <m:sub>
              <m:r>
                <m:t>i</m:t>
              </m:r>
            </m:sub>
            <m:sup>
              <m:r>
                <m:rPr>
                  <m:sty m:val="p"/>
                </m:rPr>
                <m:t>*</m:t>
              </m:r>
            </m:sup>
          </m:sSubSup>
          <m:r>
            <m:rPr>
              <m:sty m:val="p"/>
            </m:rPr>
            <m:t>=</m:t>
          </m:r>
          <m:f>
            <m:fPr>
              <m:type m:val="bar"/>
            </m:fPr>
            <m:num>
              <m:sSub>
                <m:e>
                  <m:r>
                    <m:rPr>
                      <m:sty m:val="p"/>
                    </m:rPr>
                    <m:t>C</m:t>
                  </m:r>
                  <m:r>
                    <m:rPr>
                      <m:sty m:val="p"/>
                    </m:rPr>
                    <m:t>S</m:t>
                  </m:r>
                </m:e>
                <m:sub>
                  <m:r>
                    <m:t>i</m:t>
                  </m:r>
                </m:sub>
              </m:sSub>
            </m:num>
            <m:den>
              <m:d>
                <m:dPr>
                  <m:begChr m:val="|"/>
                  <m:endChr m:val="|"/>
                  <m:grow/>
                </m:dPr>
                <m:e>
                  <m:sSubSup>
                    <m:e>
                      <m:r>
                        <m:rPr>
                          <m:sty m:val="p"/>
                          <m:scr m:val="script"/>
                        </m:rPr>
                        <m:t>N</m:t>
                      </m:r>
                    </m:e>
                    <m:sub>
                      <m:r>
                        <m:t>i</m:t>
                      </m:r>
                    </m:sub>
                    <m:sup>
                      <m:r>
                        <m:rPr>
                          <m:sty m:val="p"/>
                        </m:rPr>
                        <m:t>o</m:t>
                      </m:r>
                      <m:r>
                        <m:rPr>
                          <m:sty m:val="p"/>
                        </m:rPr>
                        <m:t>u</m:t>
                      </m:r>
                      <m:r>
                        <m:rPr>
                          <m:sty m:val="p"/>
                        </m:rPr>
                        <m:t>t</m:t>
                      </m:r>
                    </m:sup>
                  </m:sSubSup>
                </m:e>
              </m:d>
            </m:den>
          </m:f>
          <m:r>
            <m:rPr>
              <m:sty m:val="p"/>
            </m:rPr>
            <m:t>,</m:t>
          </m:r>
          <m:r>
            <m:t>  </m:t>
          </m:r>
          <m:d>
            <m:dPr>
              <m:begChr m:val="|"/>
              <m:endChr m:val="|"/>
              <m:grow/>
            </m:dPr>
            <m:e>
              <m:sSubSup>
                <m:e>
                  <m:r>
                    <m:rPr>
                      <m:sty m:val="p"/>
                      <m:scr m:val="script"/>
                    </m:rPr>
                    <m:t>N</m:t>
                  </m:r>
                </m:e>
                <m:sub>
                  <m:r>
                    <m:t>i</m:t>
                  </m:r>
                </m:sub>
                <m:sup>
                  <m:r>
                    <m:rPr>
                      <m:sty m:val="p"/>
                    </m:rPr>
                    <m:t>o</m:t>
                  </m:r>
                  <m:r>
                    <m:rPr>
                      <m:sty m:val="p"/>
                    </m:rPr>
                    <m:t>u</m:t>
                  </m:r>
                  <m:r>
                    <m:rPr>
                      <m:sty m:val="p"/>
                    </m:rPr>
                    <m:t>t</m:t>
                  </m:r>
                </m:sup>
              </m:sSubSup>
            </m:e>
          </m:d>
          <m:r>
            <m:rPr>
              <m:sty m:val="p"/>
            </m:rPr>
            <m:t>&gt;</m:t>
          </m:r>
          <m:r>
            <m:t>0</m:t>
          </m:r>
        </m:oMath>
      </m:oMathPara>
    </w:p>
    <w:p>
      <w:pPr>
        <w:spacing w:before="0" w:after="104" w:line="307" w:lineRule="auto"/>
      </w:pPr>
      <w:r>
        <w:rPr>
          <w:rFonts w:ascii="Arial" w:hAnsi="Arial" w:eastAsia="宋体"/>
          <w:color w:val="000000"/>
          <w:sz w:val="21"/>
        </w:rPr>
        <w:t>级联放大率将下游加权滞后与上游本地累计滞后面积比较。</w:t>
      </w:r>
    </w:p>
    <w:p>
      <w:pPr>
        <w:keepNext/>
        <w:spacing w:before="100" w:after="20"/>
        <w:jc w:val="center"/>
      </w:pPr>
      <w:r>
        <w:rPr>
          <w:rFonts w:ascii="Arial" w:hAnsi="Arial" w:eastAsia="微软雅黑"/>
          <w:b/>
          <w:color w:val="666666"/>
          <w:sz w:val="19"/>
        </w:rPr>
        <w:t>式 14  级联放大率</w:t>
      </w:r>
    </w:p>
    <w:p>
      <w:pPr>
        <w:keepLines/>
        <w:spacing w:before="0" w:after="120"/>
        <w:jc w:val="center"/>
      </w:pPr>
      <m:oMathPara>
        <m:oMathParaPr>
          <m:jc m:val="center"/>
        </m:oMathParaPr>
        <m:oMath>
          <m:sSub>
            <m:e>
              <m:r>
                <m:rPr>
                  <m:sty m:val="p"/>
                </m:rPr>
                <m:t>C</m:t>
              </m:r>
              <m:r>
                <m:rPr>
                  <m:sty m:val="p"/>
                </m:rPr>
                <m:t>A</m:t>
              </m:r>
            </m:e>
            <m:sub>
              <m:r>
                <m:t>i</m:t>
              </m:r>
            </m:sub>
          </m:sSub>
          <m:r>
            <m:rPr>
              <m:sty m:val="p"/>
            </m:rPr>
            <m:t>=</m:t>
          </m:r>
          <m:f>
            <m:fPr>
              <m:type m:val="bar"/>
            </m:fPr>
            <m:num>
              <m:sSub>
                <m:e>
                  <m:r>
                    <m:rPr>
                      <m:sty m:val="p"/>
                    </m:rPr>
                    <m:t>C</m:t>
                  </m:r>
                  <m:r>
                    <m:rPr>
                      <m:sty m:val="p"/>
                    </m:rPr>
                    <m:t>L</m:t>
                  </m:r>
                  <m:r>
                    <m:rPr>
                      <m:sty m:val="p"/>
                    </m:rPr>
                    <m:t>I</m:t>
                  </m:r>
                </m:e>
                <m:sub>
                  <m:r>
                    <m:t>i</m:t>
                  </m:r>
                </m:sub>
              </m:sSub>
            </m:num>
            <m:den>
              <m:r>
                <m:t>L</m:t>
              </m:r>
              <m:sSub>
                <m:e>
                  <m:r>
                    <m:t>A</m:t>
                  </m:r>
                </m:e>
                <m:sub>
                  <m:r>
                    <m:t>i</m:t>
                  </m:r>
                </m:sub>
              </m:sSub>
              <m:r>
                <m:rPr>
                  <m:sty m:val="p"/>
                </m:rPr>
                <m:t>+</m:t>
              </m:r>
              <m:r>
                <m:t>ε</m:t>
              </m:r>
            </m:den>
          </m:f>
          <m:r>
            <m:rPr>
              <m:sty m:val="p"/>
            </m:rPr>
            <m:t>,</m:t>
          </m:r>
          <m:r>
            <m:t>  </m:t>
          </m:r>
          <m:r>
            <m:t>ε</m:t>
          </m:r>
          <m:r>
            <m:rPr>
              <m:sty m:val="p"/>
            </m:rPr>
            <m:t>&gt;</m:t>
          </m:r>
          <m:r>
            <m:t>0</m:t>
          </m:r>
        </m:oMath>
      </m:oMathPara>
    </w:p>
    <w:p>
      <w:pPr>
        <w:spacing w:before="0" w:after="104" w:line="307" w:lineRule="auto"/>
        <w:ind w:firstLine="403"/>
      </w:pPr>
      <w:r>
        <w:rPr>
          <w:rFonts w:ascii="Arial" w:hAnsi="Arial" w:eastAsia="宋体"/>
          <w:color w:val="000000"/>
          <w:sz w:val="21"/>
        </w:rPr>
        <w:t>式12中的参数是下游滞后判定阈值，式14中的小常数用于防止分母为0。两者都应在正式分析前说明来源和单位。CLI、CS和CA是描述性指标，不能单独证明因果效应。</w:t>
      </w:r>
    </w:p>
    <w:p>
      <w:pPr>
        <w:pStyle w:val="Heading2"/>
        <w:keepNext/>
        <w:spacing w:before="200" w:after="100"/>
      </w:pPr>
      <w:r>
        <w:rPr>
          <w:rFonts w:ascii="Arial" w:hAnsi="Arial" w:eastAsia="微软雅黑"/>
          <w:b/>
          <w:color w:val="000000"/>
          <w:sz w:val="26"/>
        </w:rPr>
        <w:t>修改四 路径重构指标</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原研究方案3.4。</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当前PLAN明确暂不开展路径重构。继续把RDI、ETR和路径熵列为当前指标，会让后续代码和论文表述提前承担尚未确定的回流、同城边和基线边口径。</w:t>
      </w:r>
    </w:p>
    <w:p>
      <w:pPr>
        <w:pStyle w:val="Heading3"/>
        <w:keepNext/>
        <w:spacing w:before="140" w:after="80"/>
      </w:pPr>
      <w:r>
        <w:rPr>
          <w:rFonts w:ascii="Arial" w:hAnsi="Arial" w:eastAsia="微软雅黑"/>
          <w:b/>
          <w:color w:val="000000"/>
          <w:sz w:val="23"/>
        </w:rPr>
        <w:t>建议替换文本</w:t>
      </w:r>
    </w:p>
    <w:p>
      <w:pPr>
        <w:spacing w:before="0" w:after="104" w:line="307" w:lineRule="auto"/>
        <w:ind w:firstLine="403"/>
      </w:pPr>
      <w:r>
        <w:rPr>
          <w:rFonts w:ascii="Arial" w:hAnsi="Arial" w:eastAsia="宋体"/>
          <w:color w:val="000000"/>
          <w:sz w:val="21"/>
        </w:rPr>
        <w:t>建议将原3.4整体移到“后续扩展”或附录，当前正文只保留一句：路径重构分析将在回流定义、同城边处理、基线筛边规则和受扰年份比较范围确定后另行开展，本轮不计算RDI、ETR和路径熵。</w:t>
      </w:r>
    </w:p>
    <w:p>
      <w:pPr>
        <w:pStyle w:val="Heading2"/>
        <w:keepNext/>
        <w:spacing w:before="200" w:after="100"/>
      </w:pPr>
      <w:r>
        <w:rPr>
          <w:rFonts w:ascii="Arial" w:hAnsi="Arial" w:eastAsia="微软雅黑"/>
          <w:b/>
          <w:color w:val="000000"/>
          <w:sz w:val="26"/>
        </w:rPr>
        <w:t>修改五 基线链路构建方法</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原研究方案第四部分4.1至4.5。</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原文以“合理时间窗口内从i进入j”的相邻转移为核心，并推荐频繁路径、gravity或radiation先验等混合方案。当前实际数据已经采用所有前后访问位置的多级接续，且暂未设置时间阈值，因此需要按实际流程重写。</w:t>
      </w:r>
    </w:p>
    <w:p>
      <w:pPr>
        <w:pStyle w:val="Heading3"/>
        <w:keepNext/>
        <w:spacing w:before="140" w:after="80"/>
      </w:pPr>
      <w:r>
        <w:rPr>
          <w:rFonts w:ascii="Arial" w:hAnsi="Arial" w:eastAsia="微软雅黑"/>
          <w:b/>
          <w:color w:val="000000"/>
          <w:sz w:val="23"/>
        </w:rPr>
        <w:t>建议替换文本</w:t>
      </w:r>
    </w:p>
    <w:p>
      <w:pPr>
        <w:pStyle w:val="Heading3"/>
        <w:keepNext/>
        <w:spacing w:before="140" w:after="80"/>
      </w:pPr>
      <w:r>
        <w:rPr>
          <w:rFonts w:ascii="Arial" w:hAnsi="Arial" w:eastAsia="微软雅黑"/>
          <w:b/>
          <w:color w:val="000000"/>
          <w:sz w:val="23"/>
        </w:rPr>
        <w:t>4.1 正式输入和城市访问顺序</w:t>
      </w:r>
    </w:p>
    <w:p>
      <w:pPr>
        <w:spacing w:before="0" w:after="104" w:line="307" w:lineRule="auto"/>
        <w:ind w:firstLine="403"/>
      </w:pPr>
      <w:r>
        <w:rPr>
          <w:rFonts w:ascii="Arial" w:hAnsi="Arial" w:eastAsia="宋体"/>
          <w:color w:val="000000"/>
          <w:sz w:val="21"/>
        </w:rPr>
        <w:t>正式输入为已经清洗并筛选的田间作业段，不在本步骤重新进行GNSS点级去重、速度阈值识别或行政区匹配。2021年、2022年和2023年分开处理。按农机编号和时间排序后，删除5行城市为空的噪音记录，并另存删除明细；删除后，其余记录继续按时间排列。连续同城记录合并为一次访问，离开后再次返回同城则保留为新的访问。</w:t>
      </w:r>
    </w:p>
    <w:p>
      <w:pPr>
        <w:spacing w:before="0" w:after="104" w:line="307" w:lineRule="auto"/>
        <w:ind w:firstLine="403"/>
      </w:pPr>
      <w:r>
        <w:rPr>
          <w:rFonts w:ascii="Arial" w:hAnsi="Arial" w:eastAsia="宋体"/>
          <w:color w:val="000000"/>
          <w:sz w:val="21"/>
        </w:rPr>
        <w:t>城市访问顺序先保留全部有名称的轨迹城市，不在形成顺序前限制为81城。这样可以避免农机经过名单外城市时，把前后两个81城城市错误地变成相邻访问。</w:t>
      </w:r>
    </w:p>
    <w:p>
      <w:pPr>
        <w:pStyle w:val="Heading3"/>
        <w:keepNext/>
        <w:spacing w:before="140" w:after="80"/>
      </w:pPr>
      <w:r>
        <w:rPr>
          <w:rFonts w:ascii="Arial" w:hAnsi="Arial" w:eastAsia="微软雅黑"/>
          <w:b/>
          <w:color w:val="000000"/>
          <w:sz w:val="23"/>
        </w:rPr>
        <w:t>4.2 多级接续记录生成</w:t>
      </w:r>
    </w:p>
    <w:p>
      <w:pPr>
        <w:spacing w:before="0" w:after="104" w:line="307" w:lineRule="auto"/>
        <w:ind w:firstLine="403"/>
      </w:pPr>
      <w:r>
        <w:t>对同一台农机同一年度城市顺序中的任意p小于q生成一条候选接续记录，并按式2至式3计算边级、跨越访问数和衰减权重。当前不按时间间隔、时间冲突、回访、边级或同城端点删除记录。时间冲突指终点进入时间早于起点离开时间；同城端点指起点城市和终点城市相同。两者只作为检查字段保留。</w:t>
      </w:r>
    </w:p>
    <w:p>
      <w:pPr>
        <w:pStyle w:val="Heading3"/>
        <w:keepNext/>
        <w:spacing w:before="140" w:after="80"/>
      </w:pPr>
      <w:r>
        <w:rPr>
          <w:rFonts w:ascii="Arial" w:hAnsi="Arial" w:eastAsia="微软雅黑"/>
          <w:b/>
          <w:color w:val="000000"/>
          <w:sz w:val="23"/>
        </w:rPr>
        <w:t>4.3 固定81城有向链路汇总</w:t>
      </w:r>
    </w:p>
    <w:p>
      <w:pPr>
        <w:spacing w:before="0" w:after="104" w:line="307" w:lineRule="auto"/>
        <w:ind w:firstLine="403"/>
      </w:pPr>
      <w:r>
        <w:rPr>
          <w:rFonts w:ascii="Arial" w:hAnsi="Arial" w:eastAsia="宋体"/>
          <w:color w:val="000000"/>
          <w:sz w:val="21"/>
        </w:rPr>
        <w:t>多级接续生成完成后，只保留起点和终点都属于固定81城的记录。按年份、起点城市和终点城市汇总，方向相反的城市对分开计算。主版本按式5求衰减权重之和；备用版本按式6逐条计数。汇总表同时保留接续记录数、涉及农机数、一级记录数、二级及以上记录数、最小边级、最大边级、同城端点记录数和时间冲突记录数。</w:t>
      </w:r>
    </w:p>
    <w:p>
      <w:pPr>
        <w:pStyle w:val="Heading3"/>
        <w:keepNext/>
        <w:spacing w:before="140" w:after="80"/>
      </w:pPr>
      <w:r>
        <w:rPr>
          <w:rFonts w:ascii="Arial" w:hAnsi="Arial" w:eastAsia="微软雅黑"/>
          <w:b/>
          <w:color w:val="000000"/>
          <w:sz w:val="23"/>
        </w:rPr>
        <w:t>4.4 2021至2022经验基线</w:t>
      </w:r>
    </w:p>
    <w:p>
      <w:pPr>
        <w:spacing w:before="0" w:after="104" w:line="307" w:lineRule="auto"/>
        <w:ind w:firstLine="403"/>
      </w:pPr>
      <w:r>
        <w:rPr>
          <w:rFonts w:ascii="Arial" w:hAnsi="Arial" w:eastAsia="宋体"/>
          <w:color w:val="000000"/>
          <w:sz w:val="21"/>
        </w:rPr>
        <w:t>基线构建先使用2021年和2022年主版本链路。两年分别按式9归一化，再按式10计算平均基线概率。城市对的跨年支持度定义如下。</w:t>
      </w:r>
    </w:p>
    <w:p>
      <w:pPr>
        <w:keepNext/>
        <w:spacing w:before="100" w:after="20"/>
        <w:jc w:val="center"/>
      </w:pPr>
      <w:r>
        <w:rPr>
          <w:rFonts w:ascii="Arial" w:hAnsi="Arial" w:eastAsia="微软雅黑"/>
          <w:b/>
          <w:color w:val="666666"/>
          <w:sz w:val="19"/>
        </w:rPr>
        <w:t>式 15  城市对跨年支持度</w:t>
      </w:r>
    </w:p>
    <w:p>
      <w:pPr>
        <w:keepLines/>
        <w:spacing w:before="0" w:after="120"/>
        <w:jc w:val="center"/>
      </w:pPr>
      <m:oMathPara>
        <m:oMathParaPr>
          <m:jc m:val="center"/>
        </m:oMathParaPr>
        <m:oMath>
          <m:sSub>
            <m:e>
              <m:r>
                <m:t>S</m:t>
              </m:r>
            </m:e>
            <m:sub>
              <m:r>
                <m:t>i</m:t>
              </m:r>
              <m:r>
                <m:t>j</m:t>
              </m:r>
            </m:sub>
          </m:sSub>
          <m:r>
            <m:rPr>
              <m:sty m:val="p"/>
            </m:rPr>
            <m:t>=</m:t>
          </m:r>
          <m:nary>
            <m:naryPr>
              <m:chr m:val="∑"/>
              <m:limLoc m:val="undOvr"/>
              <m:subHide m:val="0"/>
              <m:supHide m:val="1"/>
            </m:naryPr>
            <m:sub>
              <m:r>
                <m:t>y</m:t>
              </m:r>
              <m:r>
                <m:rPr>
                  <m:sty m:val="p"/>
                </m:rPr>
                <m:t>∈</m:t>
              </m:r>
              <m:r>
                <m:rPr>
                  <m:sty m:val="p"/>
                </m:rPr>
                <m:t>{</m:t>
              </m:r>
              <m:r>
                <m:t>2021</m:t>
              </m:r>
              <m:r>
                <m:rPr>
                  <m:sty m:val="p"/>
                </m:rPr>
                <m:t>,</m:t>
              </m:r>
              <m:r>
                <m:t>2022</m:t>
              </m:r>
              <m:r>
                <m:rPr>
                  <m:sty m:val="p"/>
                </m:rPr>
                <m:t>}</m:t>
              </m:r>
            </m:sub>
            <m:sup>
              <m:r>
                <m:t>​</m:t>
              </m:r>
            </m:sup>
            <m:e>
              <m:r>
                <m:rPr>
                  <m:sty m:val="p"/>
                  <m:scr m:val="double-struck"/>
                </m:rPr>
                <m:t>I</m:t>
              </m:r>
            </m:e>
          </m:nary>
          <m:d>
            <m:dPr>
              <m:begChr m:val="("/>
              <m:endChr m:val=")"/>
              <m:grow/>
            </m:dPr>
            <m:e>
              <m:sSubSup>
                <m:e>
                  <m:r>
                    <m:t>W</m:t>
                  </m:r>
                </m:e>
                <m:sub>
                  <m:r>
                    <m:t>i</m:t>
                  </m:r>
                  <m:r>
                    <m:t>j</m:t>
                  </m:r>
                </m:sub>
                <m:sup>
                  <m:r>
                    <m:rPr>
                      <m:sty m:val="p"/>
                    </m:rPr>
                    <m:t>(</m:t>
                  </m:r>
                  <m:r>
                    <m:t>y</m:t>
                  </m:r>
                  <m:r>
                    <m:rPr>
                      <m:sty m:val="p"/>
                    </m:rPr>
                    <m:t>)</m:t>
                  </m:r>
                </m:sup>
              </m:sSubSup>
              <m:r>
                <m:rPr>
                  <m:sty m:val="p"/>
                </m:rPr>
                <m:t>&gt;</m:t>
              </m:r>
              <m:r>
                <m:t>0</m:t>
              </m:r>
            </m:e>
          </m:d>
          <m:r>
            <m:rPr>
              <m:sty m:val="p"/>
            </m:rPr>
            <m:t>,</m:t>
          </m:r>
          <m:r>
            <m:t>  </m:t>
          </m:r>
          <m:sSub>
            <m:e>
              <m:r>
                <m:t>S</m:t>
              </m:r>
            </m:e>
            <m:sub>
              <m:r>
                <m:t>i</m:t>
              </m:r>
              <m:r>
                <m:t>j</m:t>
              </m:r>
            </m:sub>
          </m:sSub>
          <m:r>
            <m:rPr>
              <m:sty m:val="p"/>
            </m:rPr>
            <m:t>∈</m:t>
          </m:r>
          <m:r>
            <m:rPr>
              <m:sty m:val="p"/>
            </m:rPr>
            <m:t>{</m:t>
          </m:r>
          <m:r>
            <m:t>0</m:t>
          </m:r>
          <m:r>
            <m:rPr>
              <m:sty m:val="p"/>
            </m:rPr>
            <m:t>,</m:t>
          </m:r>
          <m:r>
            <m:t>1</m:t>
          </m:r>
          <m:r>
            <m:rPr>
              <m:sty m:val="p"/>
            </m:rPr>
            <m:t>,</m:t>
          </m:r>
          <m:r>
            <m:t>2</m:t>
          </m:r>
          <m:r>
            <m:rPr>
              <m:sty m:val="p"/>
            </m:rPr>
            <m:t>}</m:t>
          </m:r>
        </m:oMath>
      </m:oMathPara>
    </w:p>
    <w:p>
      <w:pPr>
        <w:spacing w:before="0" w:after="104" w:line="307" w:lineRule="auto"/>
        <w:ind w:firstLine="403"/>
      </w:pPr>
      <w:r>
        <w:rPr>
          <w:rFonts w:ascii="Arial" w:hAnsi="Arial" w:eastAsia="宋体"/>
          <w:color w:val="000000"/>
          <w:sz w:val="21"/>
        </w:rPr>
        <w:t>若后续决定使用转移概率阈值和跨年支持度阈值，基线边集合可写为下式。阈值未确定前，式中只能保留符号，不能写入正式数值。</w:t>
      </w:r>
    </w:p>
    <w:p>
      <w:pPr>
        <w:keepNext/>
        <w:spacing w:before="100" w:after="20"/>
        <w:jc w:val="center"/>
      </w:pPr>
      <w:r>
        <w:rPr>
          <w:rFonts w:ascii="Arial" w:hAnsi="Arial" w:eastAsia="微软雅黑"/>
          <w:b/>
          <w:color w:val="666666"/>
          <w:sz w:val="19"/>
        </w:rPr>
        <w:t>式 16  候选基线边筛选形式</w:t>
      </w:r>
    </w:p>
    <w:p>
      <w:pPr>
        <w:keepLines/>
        <w:spacing w:before="0" w:after="120"/>
        <w:jc w:val="center"/>
      </w:pPr>
      <m:oMathPara>
        <m:oMathParaPr>
          <m:jc m:val="center"/>
        </m:oMathParaPr>
        <m:oMath>
          <m:sSub>
            <m:e>
              <m:r>
                <m:t>E</m:t>
              </m:r>
            </m:e>
            <m:sub>
              <m:r>
                <m:t>0</m:t>
              </m:r>
            </m:sub>
          </m:sSub>
          <m:r>
            <m:rPr>
              <m:sty m:val="p"/>
            </m:rPr>
            <m:t>(</m:t>
          </m:r>
          <m:sSub>
            <m:e>
              <m:r>
                <m:t>τ</m:t>
              </m:r>
            </m:e>
            <m:sub>
              <m:r>
                <m:t>P</m:t>
              </m:r>
            </m:sub>
          </m:sSub>
          <m:r>
            <m:rPr>
              <m:sty m:val="p"/>
            </m:rPr>
            <m:t>,</m:t>
          </m:r>
          <m:sSub>
            <m:e>
              <m:r>
                <m:t>τ</m:t>
              </m:r>
            </m:e>
            <m:sub>
              <m:r>
                <m:t>S</m:t>
              </m:r>
            </m:sub>
          </m:sSub>
          <m:r>
            <m:rPr>
              <m:sty m:val="p"/>
            </m:rPr>
            <m:t>)</m:t>
          </m:r>
          <m:r>
            <m:rPr>
              <m:sty m:val="p"/>
            </m:rPr>
            <m:t>=</m:t>
          </m:r>
          <m:d>
            <m:dPr>
              <m:begChr m:val="{"/>
              <m:endChr m:val="}"/>
              <m:grow/>
            </m:dPr>
            <m:e>
              <m:r>
                <m:rPr>
                  <m:sty m:val="p"/>
                </m:rPr>
                <m:t>(</m:t>
              </m:r>
              <m:r>
                <m:t>i</m:t>
              </m:r>
              <m:r>
                <m:rPr>
                  <m:sty m:val="p"/>
                </m:rPr>
                <m:t>,</m:t>
              </m:r>
              <m:r>
                <m:t>j</m:t>
              </m:r>
              <m:r>
                <m:rPr>
                  <m:sty m:val="p"/>
                </m:rPr>
                <m:t>)</m:t>
              </m:r>
              <m:r>
                <m:rPr>
                  <m:sty m:val="p"/>
                </m:rPr>
                <m:t>:</m:t>
              </m:r>
              <m:sSub>
                <m:e>
                  <m:acc>
                    <m:accPr>
                      <m:chr m:val="‾"/>
                    </m:accPr>
                    <m:e>
                      <m:r>
                        <m:t>P</m:t>
                      </m:r>
                    </m:e>
                  </m:acc>
                </m:e>
                <m:sub>
                  <m:r>
                    <m:t>i</m:t>
                  </m:r>
                  <m:r>
                    <m:t>j</m:t>
                  </m:r>
                </m:sub>
              </m:sSub>
              <m:r>
                <m:rPr>
                  <m:sty m:val="p"/>
                </m:rPr>
                <m:t>≥</m:t>
              </m:r>
              <m:sSub>
                <m:e>
                  <m:r>
                    <m:t>τ</m:t>
                  </m:r>
                </m:e>
                <m:sub>
                  <m:r>
                    <m:t>P</m:t>
                  </m:r>
                </m:sub>
              </m:sSub>
              <m:r>
                <m:rPr>
                  <m:sty m:val="p"/>
                </m:rPr>
                <m:t>,</m:t>
              </m:r>
              <m:r>
                <m:t> </m:t>
              </m:r>
              <m:sSub>
                <m:e>
                  <m:r>
                    <m:t>S</m:t>
                  </m:r>
                </m:e>
                <m:sub>
                  <m:r>
                    <m:t>i</m:t>
                  </m:r>
                  <m:r>
                    <m:t>j</m:t>
                  </m:r>
                </m:sub>
              </m:sSub>
              <m:r>
                <m:rPr>
                  <m:sty m:val="p"/>
                </m:rPr>
                <m:t>≥</m:t>
              </m:r>
              <m:sSub>
                <m:e>
                  <m:r>
                    <m:t>τ</m:t>
                  </m:r>
                </m:e>
                <m:sub>
                  <m:r>
                    <m:t>S</m:t>
                  </m:r>
                </m:sub>
              </m:sSub>
            </m:e>
          </m:d>
        </m:oMath>
      </m:oMathPara>
    </w:p>
    <w:p>
      <w:pPr>
        <w:spacing w:before="0" w:after="104" w:line="307" w:lineRule="auto"/>
        <w:ind w:firstLine="403"/>
      </w:pPr>
      <w:r>
        <w:rPr>
          <w:rFonts w:ascii="Arial" w:hAnsi="Arial" w:eastAsia="宋体"/>
          <w:color w:val="000000"/>
          <w:sz w:val="21"/>
        </w:rPr>
        <w:t>top-k、频繁路径、gravity、radiation和HMM暂不作为当前主方案。只有在经验基线暴露出明确的低样本或断链问题后，才讨论是否作为比较方案或补充方案。</w:t>
      </w:r>
    </w:p>
    <w:p>
      <w:pPr>
        <w:pStyle w:val="Heading3"/>
        <w:keepNext/>
        <w:spacing w:before="140" w:after="80"/>
      </w:pPr>
      <w:r>
        <w:rPr>
          <w:rFonts w:ascii="Arial" w:hAnsi="Arial" w:eastAsia="微软雅黑"/>
          <w:b/>
          <w:color w:val="000000"/>
          <w:sz w:val="23"/>
        </w:rPr>
        <w:t>4.5 基线链路检查</w:t>
      </w:r>
    </w:p>
    <w:p>
      <w:pPr>
        <w:pStyle w:val="ListBullet"/>
        <w:spacing w:after="70" w:line="293" w:lineRule="auto"/>
        <w:ind w:left="432" w:hanging="259"/>
      </w:pPr>
      <w:r>
        <w:rPr>
          <w:rFonts w:ascii="Arial" w:hAnsi="Arial" w:eastAsia="宋体"/>
          <w:color w:val="000000"/>
          <w:sz w:val="21"/>
        </w:rPr>
        <w:t>分别核对两年链路的城市范围、方向、记录数和权重合计。</w:t>
      </w:r>
    </w:p>
    <w:p>
      <w:pPr>
        <w:pStyle w:val="ListBullet"/>
        <w:spacing w:after="70" w:line="293" w:lineRule="auto"/>
        <w:ind w:left="432" w:hanging="259"/>
      </w:pPr>
      <w:r>
        <w:rPr>
          <w:rFonts w:ascii="Arial" w:hAnsi="Arial" w:eastAsia="宋体"/>
          <w:color w:val="000000"/>
          <w:sz w:val="21"/>
        </w:rPr>
        <w:t>比较衰减权重版本和逐条计数版本，说明结论是否依赖权重口径。</w:t>
      </w:r>
    </w:p>
    <w:p>
      <w:pPr>
        <w:pStyle w:val="ListBullet"/>
        <w:spacing w:after="70" w:line="293" w:lineRule="auto"/>
        <w:ind w:left="432" w:hanging="259"/>
      </w:pPr>
      <w:r>
        <w:rPr>
          <w:rFonts w:ascii="Arial" w:hAnsi="Arial" w:eastAsia="宋体"/>
          <w:color w:val="000000"/>
          <w:sz w:val="21"/>
        </w:rPr>
        <w:t>比较只保留一级关系与保留全部边级的结果，检查多级接续对基线结构的影响。</w:t>
      </w:r>
    </w:p>
    <w:p>
      <w:pPr>
        <w:pStyle w:val="ListBullet"/>
        <w:spacing w:after="70" w:line="293" w:lineRule="auto"/>
        <w:ind w:left="432" w:hanging="259"/>
      </w:pPr>
      <w:r>
        <w:rPr>
          <w:rFonts w:ascii="Arial" w:hAnsi="Arial" w:eastAsia="宋体"/>
          <w:color w:val="000000"/>
          <w:sz w:val="21"/>
        </w:rPr>
        <w:t>在最大时间间隔确定后，比较筛选前后记录数、城市对数和网络结构变化。</w:t>
      </w:r>
    </w:p>
    <w:p>
      <w:pPr>
        <w:pStyle w:val="ListBullet"/>
        <w:spacing w:after="70" w:line="293" w:lineRule="auto"/>
        <w:ind w:left="432" w:hanging="259"/>
      </w:pPr>
      <w:r>
        <w:rPr>
          <w:rFonts w:ascii="Arial" w:hAnsi="Arial" w:eastAsia="宋体"/>
          <w:color w:val="000000"/>
          <w:sz w:val="21"/>
        </w:rPr>
        <w:t>同城边若被排除，必须在归一化前排除，并报告排除数量。</w:t>
      </w:r>
    </w:p>
    <w:p>
      <w:pPr>
        <w:pStyle w:val="Heading2"/>
        <w:keepNext/>
        <w:spacing w:before="200" w:after="100"/>
      </w:pPr>
      <w:r>
        <w:rPr>
          <w:rFonts w:ascii="Arial" w:hAnsi="Arial" w:eastAsia="微软雅黑"/>
          <w:b/>
          <w:color w:val="000000"/>
          <w:sz w:val="26"/>
        </w:rPr>
        <w:t>修改六 算法实施步骤</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原研究方案5.1至5.3。</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原文仍从GNSS点级清洗和作业状态分类开始，与项目现有输入不符。当前正式输入已经是田间作业段，步骤应从输入检查、城市顺序、多级接续和81城汇总开始。</w:t>
      </w:r>
    </w:p>
    <w:p>
      <w:pPr>
        <w:pStyle w:val="Heading3"/>
        <w:keepNext/>
        <w:spacing w:before="140" w:after="80"/>
      </w:pPr>
      <w:r>
        <w:rPr>
          <w:rFonts w:ascii="Arial" w:hAnsi="Arial" w:eastAsia="微软雅黑"/>
          <w:b/>
          <w:color w:val="000000"/>
          <w:sz w:val="23"/>
        </w:rPr>
        <w:t>建议替换文本</w:t>
      </w:r>
    </w:p>
    <w:p>
      <w:pPr>
        <w:pStyle w:val="Heading3"/>
        <w:keepNext/>
        <w:spacing w:before="140" w:after="80"/>
      </w:pPr>
      <w:r>
        <w:rPr>
          <w:rFonts w:ascii="Arial" w:hAnsi="Arial" w:eastAsia="微软雅黑"/>
          <w:b/>
          <w:color w:val="000000"/>
          <w:sz w:val="23"/>
        </w:rPr>
        <w:t>5.1 Step 1 正式输入和质量检查</w:t>
      </w:r>
    </w:p>
    <w:p>
      <w:pPr>
        <w:spacing w:before="0" w:after="104" w:line="307" w:lineRule="auto"/>
        <w:ind w:firstLine="403"/>
      </w:pPr>
      <w:r>
        <w:rPr>
          <w:rFonts w:ascii="Arial" w:hAnsi="Arial" w:eastAsia="宋体"/>
          <w:color w:val="000000"/>
          <w:sz w:val="21"/>
        </w:rPr>
        <w:t>读取三份年度田间作业段。检查必要字段、年份范围、农机编号、日期、开始时间、结束时间和城市名称。农机编号或时间无法读取时停止运行。城市为空的5行按既定规则删除并保存明细，原始文件保持只读。</w:t>
      </w:r>
    </w:p>
    <w:p>
      <w:pPr>
        <w:pStyle w:val="Heading3"/>
        <w:keepNext/>
        <w:spacing w:before="140" w:after="80"/>
      </w:pPr>
      <w:r>
        <w:rPr>
          <w:rFonts w:ascii="Arial" w:hAnsi="Arial" w:eastAsia="微软雅黑"/>
          <w:b/>
          <w:color w:val="000000"/>
          <w:sz w:val="23"/>
        </w:rPr>
        <w:t>5.2 Step 2 城市访问顺序和多级接续</w:t>
      </w:r>
    </w:p>
    <w:p>
      <w:pPr>
        <w:spacing w:before="0" w:after="104" w:line="307" w:lineRule="auto"/>
        <w:ind w:firstLine="403"/>
      </w:pPr>
      <w:r>
        <w:rPr>
          <w:rFonts w:ascii="Arial" w:hAnsi="Arial" w:eastAsia="宋体"/>
          <w:color w:val="000000"/>
          <w:sz w:val="21"/>
        </w:rPr>
        <w:t>按农机和时间排序，合并连续同城记录，保留离开后的再次访问。根据式1至式3生成全部前后位置组合，计算边级、跨越访问数和衰减权重，同时保留时间间隔、回访、直接回流、同城端点和时间冲突标记。</w:t>
      </w:r>
    </w:p>
    <w:p>
      <w:pPr>
        <w:pStyle w:val="Heading3"/>
        <w:keepNext/>
        <w:spacing w:before="140" w:after="80"/>
      </w:pPr>
      <w:r>
        <w:rPr>
          <w:rFonts w:ascii="Arial" w:hAnsi="Arial" w:eastAsia="微软雅黑"/>
          <w:b/>
          <w:color w:val="000000"/>
          <w:sz w:val="23"/>
        </w:rPr>
        <w:t>5.3 Step 3 81城链路汇总和基线准备</w:t>
      </w:r>
    </w:p>
    <w:p>
      <w:pPr>
        <w:spacing w:before="0" w:after="104" w:line="307" w:lineRule="auto"/>
        <w:ind w:firstLine="403"/>
      </w:pPr>
      <w:r>
        <w:rPr>
          <w:rFonts w:ascii="Arial" w:hAnsi="Arial" w:eastAsia="宋体"/>
          <w:color w:val="000000"/>
          <w:sz w:val="21"/>
        </w:rPr>
        <w:t>只保留两端都在固定81城的接续记录，按有方向的城市对分年汇总。主版本生成衰减链路，备用版本生成计数链路。2021年和2022年用于下一步经验基线构建，2023年用于与基线比较和级联滞后分析。</w:t>
      </w:r>
    </w:p>
    <w:p>
      <w:pPr>
        <w:pStyle w:val="Heading2"/>
        <w:keepNext/>
        <w:spacing w:before="200" w:after="100"/>
      </w:pPr>
      <w:r>
        <w:rPr>
          <w:rFonts w:ascii="Arial" w:hAnsi="Arial" w:eastAsia="微软雅黑"/>
          <w:b/>
          <w:color w:val="000000"/>
          <w:sz w:val="26"/>
        </w:rPr>
        <w:t>修改七 受扰事件和时间窗口</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原研究方案5.5和5.6。</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PLAN已经明确使用2023年三日累计降雨和进度偏离识别受扰城市日；原文仍列出多种降雨口径，并把级联窗口初步写成5天。当前不应提前固定5天。</w:t>
      </w:r>
    </w:p>
    <w:p>
      <w:pPr>
        <w:pStyle w:val="Heading3"/>
        <w:keepNext/>
        <w:spacing w:before="140" w:after="80"/>
      </w:pPr>
      <w:r>
        <w:rPr>
          <w:rFonts w:ascii="Arial" w:hAnsi="Arial" w:eastAsia="微软雅黑"/>
          <w:b/>
          <w:color w:val="000000"/>
          <w:sz w:val="23"/>
        </w:rPr>
        <w:t>建议替换文本</w:t>
      </w:r>
    </w:p>
    <w:p>
      <w:pPr>
        <w:pStyle w:val="Heading3"/>
        <w:keepNext/>
        <w:spacing w:before="140" w:after="80"/>
      </w:pPr>
      <w:r>
        <w:rPr>
          <w:rFonts w:ascii="Arial" w:hAnsi="Arial" w:eastAsia="微软雅黑"/>
          <w:b/>
          <w:color w:val="000000"/>
          <w:sz w:val="23"/>
        </w:rPr>
        <w:t>5.5 Step 5 受扰城市日识别</w:t>
      </w:r>
    </w:p>
    <w:p>
      <w:pPr>
        <w:spacing w:before="0" w:after="104" w:line="307" w:lineRule="auto"/>
        <w:ind w:firstLine="403"/>
      </w:pPr>
      <w:r>
        <w:rPr>
          <w:rFonts w:ascii="Arial" w:hAnsi="Arial" w:eastAsia="宋体"/>
          <w:color w:val="000000"/>
          <w:sz w:val="21"/>
        </w:rPr>
        <w:t>2023年城市i在日期t的三日累计降雨定义如下。式17右侧的R表示逐日降雨量，下标i和t分别表示城市和日期，时间单位为日。</w:t>
      </w:r>
    </w:p>
    <w:p>
      <w:pPr>
        <w:keepNext/>
        <w:spacing w:before="100" w:after="20"/>
        <w:jc w:val="center"/>
      </w:pPr>
      <w:r>
        <w:rPr>
          <w:rFonts w:ascii="Arial" w:hAnsi="Arial" w:eastAsia="微软雅黑"/>
          <w:b/>
          <w:color w:val="666666"/>
          <w:sz w:val="19"/>
        </w:rPr>
        <w:t>式 17  三日累计降雨</w:t>
      </w:r>
    </w:p>
    <w:p>
      <w:pPr>
        <w:keepLines/>
        <w:spacing w:before="0" w:after="120"/>
        <w:jc w:val="center"/>
      </w:pPr>
      <m:oMathPara>
        <m:oMathParaPr>
          <m:jc m:val="center"/>
        </m:oMathParaPr>
        <m:oMath>
          <m:sSubSup>
            <m:e>
              <m:r>
                <m:t>R</m:t>
              </m:r>
            </m:e>
            <m:sub>
              <m:r>
                <m:t>i</m:t>
              </m:r>
              <m:r>
                <m:t>t</m:t>
              </m:r>
            </m:sub>
            <m:sup>
              <m:r>
                <m:rPr>
                  <m:sty m:val="p"/>
                </m:rPr>
                <m:t>(</m:t>
              </m:r>
              <m:r>
                <m:t>3</m:t>
              </m:r>
              <m:r>
                <m:rPr>
                  <m:sty m:val="p"/>
                </m:rPr>
                <m:t>)</m:t>
              </m:r>
            </m:sup>
          </m:sSubSup>
          <m:r>
            <m:rPr>
              <m:sty m:val="p"/>
            </m:rPr>
            <m:t>=</m:t>
          </m:r>
          <m:nary>
            <m:naryPr>
              <m:chr m:val="∑"/>
              <m:limLoc m:val="undOvr"/>
              <m:subHide m:val="0"/>
              <m:supHide m:val="0"/>
            </m:naryPr>
            <m:sub>
              <m:r>
                <m:t>h</m:t>
              </m:r>
              <m:r>
                <m:rPr>
                  <m:sty m:val="p"/>
                </m:rPr>
                <m:t>=</m:t>
              </m:r>
              <m:r>
                <m:t>0</m:t>
              </m:r>
            </m:sub>
            <m:sup>
              <m:r>
                <m:t>2</m:t>
              </m:r>
            </m:sup>
            <m:e>
              <m:sSub>
                <m:e>
                  <m:r>
                    <m:t>R</m:t>
                  </m:r>
                </m:e>
                <m:sub>
                  <m:r>
                    <m:t>i</m:t>
                  </m:r>
                  <m:r>
                    <m:rPr>
                      <m:sty m:val="p"/>
                    </m:rPr>
                    <m:t>,</m:t>
                  </m:r>
                  <m:r>
                    <m:t>t</m:t>
                  </m:r>
                  <m:r>
                    <m:rPr>
                      <m:sty m:val="p"/>
                    </m:rPr>
                    <m:t>−</m:t>
                  </m:r>
                  <m:r>
                    <m:t>h</m:t>
                  </m:r>
                </m:sub>
              </m:sSub>
            </m:e>
          </m:nary>
        </m:oMath>
      </m:oMathPara>
    </w:p>
    <w:p>
      <w:pPr>
        <w:spacing w:before="0" w:after="104" w:line="307" w:lineRule="auto"/>
        <w:ind w:firstLine="403"/>
      </w:pPr>
      <w:r>
        <w:rPr>
          <w:rFonts w:ascii="Arial" w:hAnsi="Arial" w:eastAsia="宋体"/>
          <w:color w:val="000000"/>
          <w:sz w:val="21"/>
        </w:rPr>
        <w:t>沿用“进度偏离等于实际累计进度减去理想累计进度”的定义。进度偏离越小表示实际进度越落后。受扰城市日采用“严重进度落后且三日累计降雨较高”的联合条件。</w:t>
      </w:r>
    </w:p>
    <w:p>
      <w:pPr>
        <w:keepNext/>
        <w:spacing w:before="100" w:after="20"/>
        <w:jc w:val="center"/>
      </w:pPr>
      <w:r>
        <w:rPr>
          <w:rFonts w:ascii="Arial" w:hAnsi="Arial" w:eastAsia="微软雅黑"/>
          <w:b/>
          <w:color w:val="666666"/>
          <w:sz w:val="19"/>
        </w:rPr>
        <w:t>式 18  受扰城市日集合</w:t>
      </w:r>
    </w:p>
    <w:p>
      <w:pPr>
        <w:keepLines/>
        <w:spacing w:before="0" w:after="120"/>
        <w:jc w:val="center"/>
      </w:pPr>
      <m:oMathPara>
        <m:oMathParaPr>
          <m:jc m:val="center"/>
        </m:oMathParaPr>
        <m:oMath>
          <m:r>
            <m:rPr>
              <m:sty m:val="p"/>
              <m:scr m:val="script"/>
            </m:rPr>
            <m:t>A</m:t>
          </m:r>
          <m:r>
            <m:rPr>
              <m:sty m:val="p"/>
            </m:rPr>
            <m:t>=</m:t>
          </m:r>
          <m:d>
            <m:dPr>
              <m:begChr m:val="{"/>
              <m:endChr m:val="}"/>
              <m:grow/>
            </m:dPr>
            <m:e>
              <m:r>
                <m:rPr>
                  <m:sty m:val="p"/>
                </m:rPr>
                <m:t>(</m:t>
              </m:r>
              <m:r>
                <m:t>i</m:t>
              </m:r>
              <m:r>
                <m:rPr>
                  <m:sty m:val="p"/>
                </m:rPr>
                <m:t>,</m:t>
              </m:r>
              <m:r>
                <m:t>t</m:t>
              </m:r>
              <m:r>
                <m:rPr>
                  <m:sty m:val="p"/>
                </m:rPr>
                <m:t>)</m:t>
              </m:r>
              <m:r>
                <m:rPr>
                  <m:sty m:val="p"/>
                </m:rPr>
                <m:t>:</m:t>
              </m:r>
              <m:sSub>
                <m:e>
                  <m:r>
                    <m:t>D</m:t>
                  </m:r>
                </m:e>
                <m:sub>
                  <m:r>
                    <m:t>i</m:t>
                  </m:r>
                  <m:r>
                    <m:t>t</m:t>
                  </m:r>
                </m:sub>
              </m:sSub>
              <m:r>
                <m:rPr>
                  <m:sty m:val="p"/>
                </m:rPr>
                <m:t>≤</m:t>
              </m:r>
              <m:r>
                <m:rPr>
                  <m:sty m:val="p"/>
                </m:rPr>
                <m:t>−</m:t>
              </m:r>
              <m:sSub>
                <m:e>
                  <m:r>
                    <m:t>τ</m:t>
                  </m:r>
                </m:e>
                <m:sub>
                  <m:r>
                    <m:t>D</m:t>
                  </m:r>
                </m:sub>
              </m:sSub>
              <m:r>
                <m:rPr>
                  <m:sty m:val="p"/>
                </m:rPr>
                <m:t>,</m:t>
              </m:r>
              <m:r>
                <m:t> </m:t>
              </m:r>
              <m:sSubSup>
                <m:e>
                  <m:r>
                    <m:t>R</m:t>
                  </m:r>
                </m:e>
                <m:sub>
                  <m:r>
                    <m:t>i</m:t>
                  </m:r>
                  <m:r>
                    <m:t>t</m:t>
                  </m:r>
                </m:sub>
                <m:sup>
                  <m:r>
                    <m:rPr>
                      <m:sty m:val="p"/>
                    </m:rPr>
                    <m:t>(</m:t>
                  </m:r>
                  <m:r>
                    <m:t>3</m:t>
                  </m:r>
                  <m:r>
                    <m:rPr>
                      <m:sty m:val="p"/>
                    </m:rPr>
                    <m:t>)</m:t>
                  </m:r>
                </m:sup>
              </m:sSubSup>
              <m:r>
                <m:rPr>
                  <m:sty m:val="p"/>
                </m:rPr>
                <m:t>≥</m:t>
              </m:r>
              <m:sSub>
                <m:e>
                  <m:r>
                    <m:t>τ</m:t>
                  </m:r>
                </m:e>
                <m:sub>
                  <m:r>
                    <m:t>R</m:t>
                  </m:r>
                </m:sub>
              </m:sSub>
            </m:e>
          </m:d>
          <m:r>
            <m:rPr>
              <m:sty m:val="p"/>
            </m:rPr>
            <m:t>,</m:t>
          </m:r>
          <m:r>
            <m:t>  </m:t>
          </m:r>
          <m:sSub>
            <m:e>
              <m:r>
                <m:t>τ</m:t>
              </m:r>
            </m:e>
            <m:sub>
              <m:r>
                <m:t>D</m:t>
              </m:r>
            </m:sub>
          </m:sSub>
          <m:r>
            <m:rPr>
              <m:sty m:val="p"/>
            </m:rPr>
            <m:t>&gt;</m:t>
          </m:r>
          <m:r>
            <m:t>0</m:t>
          </m:r>
        </m:oMath>
      </m:oMathPara>
    </w:p>
    <w:p>
      <w:pPr>
        <w:spacing w:before="0" w:after="104" w:line="307" w:lineRule="auto"/>
        <w:ind w:firstLine="403"/>
      </w:pPr>
      <w:r>
        <w:rPr>
          <w:rFonts w:ascii="Arial" w:hAnsi="Arial" w:eastAsia="宋体"/>
          <w:color w:val="000000"/>
          <w:sz w:val="21"/>
        </w:rPr>
        <w:t>式18中的两个阈值分别对应进度落后程度和三日累计降雨量。两者必须使用与正式分析一致的完整相关样本确定，并报告筛选前后数量。</w:t>
      </w:r>
    </w:p>
    <w:p>
      <w:pPr>
        <w:pStyle w:val="Heading3"/>
        <w:keepNext/>
        <w:spacing w:before="140" w:after="80"/>
      </w:pPr>
      <w:r>
        <w:rPr>
          <w:rFonts w:ascii="Arial" w:hAnsi="Arial" w:eastAsia="微软雅黑"/>
          <w:b/>
          <w:color w:val="000000"/>
          <w:sz w:val="23"/>
        </w:rPr>
        <w:t>5.6 Step 6 级联滞后识别</w:t>
      </w:r>
    </w:p>
    <w:p>
      <w:pPr>
        <w:spacing w:before="0" w:after="104" w:line="307" w:lineRule="auto"/>
        <w:ind w:firstLine="403"/>
      </w:pPr>
      <w:r>
        <w:rPr>
          <w:rFonts w:ascii="Arial" w:hAnsi="Arial" w:eastAsia="宋体"/>
          <w:color w:val="000000"/>
          <w:sz w:val="21"/>
        </w:rPr>
        <w:t>下游城市只在基线网络中与受扰上游城市存在有向联系时进入检查。下游观察窗口写为下式，式19中的k为待确定的窗口天数。研究方案中删除“初步设为5天”的表述。</w:t>
      </w:r>
    </w:p>
    <w:p>
      <w:pPr>
        <w:keepNext/>
        <w:spacing w:before="100" w:after="20"/>
        <w:jc w:val="center"/>
      </w:pPr>
      <w:r>
        <w:rPr>
          <w:rFonts w:ascii="Arial" w:hAnsi="Arial" w:eastAsia="微软雅黑"/>
          <w:b/>
          <w:color w:val="666666"/>
          <w:sz w:val="19"/>
        </w:rPr>
        <w:t>式 19  下游接续观察窗口</w:t>
      </w:r>
    </w:p>
    <w:p>
      <w:pPr>
        <w:keepLines/>
        <w:spacing w:before="0" w:after="120"/>
        <w:jc w:val="center"/>
      </w:pPr>
      <m:oMathPara>
        <m:oMathParaPr>
          <m:jc m:val="center"/>
        </m:oMathParaPr>
        <m:oMath>
          <m:sSub>
            <m:e>
              <m:r>
                <m:t>t</m:t>
              </m:r>
            </m:e>
            <m:sub>
              <m:r>
                <m:t>j</m:t>
              </m:r>
            </m:sub>
          </m:sSub>
          <m:r>
            <m:rPr>
              <m:sty m:val="p"/>
            </m:rPr>
            <m:t>∈</m:t>
          </m:r>
          <m:r>
            <m:rPr>
              <m:sty m:val="p"/>
            </m:rPr>
            <m:t>[</m:t>
          </m:r>
          <m:sSub>
            <m:e>
              <m:r>
                <m:t>t</m:t>
              </m:r>
            </m:e>
            <m:sub>
              <m:r>
                <m:t>i</m:t>
              </m:r>
            </m:sub>
          </m:sSub>
          <m:r>
            <m:rPr>
              <m:sty m:val="p"/>
            </m:rPr>
            <m:t>+</m:t>
          </m:r>
          <m:r>
            <m:t>1</m:t>
          </m:r>
          <m:r>
            <m:rPr>
              <m:sty m:val="p"/>
            </m:rPr>
            <m:t>,</m:t>
          </m:r>
          <m:r>
            <m:t> </m:t>
          </m:r>
          <m:sSub>
            <m:e>
              <m:r>
                <m:t>t</m:t>
              </m:r>
            </m:e>
            <m:sub>
              <m:r>
                <m:t>i</m:t>
              </m:r>
            </m:sub>
          </m:sSub>
          <m:r>
            <m:rPr>
              <m:sty m:val="p"/>
            </m:rPr>
            <m:t>+</m:t>
          </m:r>
          <m:r>
            <m:t>k</m:t>
          </m:r>
          <m:r>
            <m:rPr>
              <m:sty m:val="p"/>
            </m:rPr>
            <m:t>]</m:t>
          </m:r>
        </m:oMath>
      </m:oMathPara>
    </w:p>
    <w:p>
      <w:pPr>
        <w:spacing w:before="0" w:after="104" w:line="307" w:lineRule="auto"/>
        <w:ind w:firstLine="403"/>
      </w:pPr>
      <w:r>
        <w:rPr>
          <w:rFonts w:ascii="Arial" w:hAnsi="Arial" w:eastAsia="宋体"/>
          <w:color w:val="000000"/>
          <w:sz w:val="21"/>
        </w:rPr>
        <w:t>下游滞后还需要检查其自身降雨。当前结果只能描述上游受扰、网络联系和下游滞后在时间上的共同出现，除非后续模型满足更强的识别条件，否则不能写成因果效应。</w:t>
      </w:r>
    </w:p>
    <w:p>
      <w:pPr>
        <w:pStyle w:val="Heading2"/>
        <w:keepNext/>
        <w:spacing w:before="200" w:after="100"/>
      </w:pPr>
      <w:r>
        <w:rPr>
          <w:rFonts w:ascii="Arial" w:hAnsi="Arial" w:eastAsia="微软雅黑"/>
          <w:b/>
          <w:color w:val="000000"/>
          <w:sz w:val="26"/>
        </w:rPr>
        <w:t>修改八 路径重构和稳健性检验</w:t>
      </w:r>
    </w:p>
    <w:p>
      <w:pPr>
        <w:pStyle w:val="Heading3"/>
        <w:keepNext/>
        <w:spacing w:before="140" w:after="80"/>
      </w:pPr>
      <w:r>
        <w:rPr>
          <w:rFonts w:ascii="Arial" w:hAnsi="Arial" w:eastAsia="微软雅黑"/>
          <w:b/>
          <w:color w:val="000000"/>
          <w:sz w:val="23"/>
        </w:rPr>
        <w:t>原文位置</w:t>
      </w:r>
    </w:p>
    <w:p>
      <w:pPr>
        <w:spacing w:before="0" w:after="104" w:line="307" w:lineRule="auto"/>
      </w:pPr>
      <w:r>
        <w:rPr>
          <w:rFonts w:ascii="Arial" w:hAnsi="Arial" w:eastAsia="宋体"/>
          <w:color w:val="000000"/>
          <w:sz w:val="21"/>
        </w:rPr>
        <w:t>原研究方案5.7和5.8。</w:t>
      </w:r>
    </w:p>
    <w:p>
      <w:pPr>
        <w:pStyle w:val="Heading3"/>
        <w:keepNext/>
        <w:spacing w:before="140" w:after="80"/>
      </w:pPr>
      <w:r>
        <w:rPr>
          <w:rFonts w:ascii="Arial" w:hAnsi="Arial" w:eastAsia="微软雅黑"/>
          <w:b/>
          <w:color w:val="000000"/>
          <w:sz w:val="23"/>
        </w:rPr>
        <w:t>修改原因</w:t>
      </w:r>
    </w:p>
    <w:p>
      <w:pPr>
        <w:spacing w:before="0" w:after="104" w:line="307" w:lineRule="auto"/>
      </w:pPr>
      <w:r>
        <w:rPr>
          <w:rFonts w:ascii="Arial" w:hAnsi="Arial" w:eastAsia="宋体"/>
          <w:color w:val="000000"/>
          <w:sz w:val="21"/>
        </w:rPr>
        <w:t>路径重构暂不开展，因此当前步骤不应再要求RDI、ETR和路径熵的阈值稳定性。稳健性检验应先围绕当前实际使用的多级接续、两套权重和待定时间窗口展开。</w:t>
      </w:r>
    </w:p>
    <w:p>
      <w:pPr>
        <w:pStyle w:val="Heading3"/>
        <w:keepNext/>
        <w:spacing w:before="140" w:after="80"/>
      </w:pPr>
      <w:r>
        <w:rPr>
          <w:rFonts w:ascii="Arial" w:hAnsi="Arial" w:eastAsia="微软雅黑"/>
          <w:b/>
          <w:color w:val="000000"/>
          <w:sz w:val="23"/>
        </w:rPr>
        <w:t>建议替换文本</w:t>
      </w:r>
    </w:p>
    <w:p>
      <w:pPr>
        <w:pStyle w:val="Heading3"/>
        <w:keepNext/>
        <w:spacing w:before="140" w:after="80"/>
      </w:pPr>
      <w:r>
        <w:rPr>
          <w:rFonts w:ascii="Arial" w:hAnsi="Arial" w:eastAsia="微软雅黑"/>
          <w:b/>
          <w:color w:val="000000"/>
          <w:sz w:val="23"/>
        </w:rPr>
        <w:t>5.7 Step 7 后续扩展</w:t>
      </w:r>
    </w:p>
    <w:p>
      <w:pPr>
        <w:spacing w:before="0" w:after="104" w:line="307" w:lineRule="auto"/>
        <w:ind w:firstLine="403"/>
      </w:pPr>
      <w:r>
        <w:rPr>
          <w:rFonts w:ascii="Arial" w:hAnsi="Arial" w:eastAsia="宋体"/>
          <w:color w:val="000000"/>
          <w:sz w:val="21"/>
        </w:rPr>
        <w:t>路径重构分析暂缓。该部分保留为后续扩展，不进入当前代码、数据输出和论文主结果。重新启动前，需要先确定最终回流定义、同城边是否进入网络、基线边筛选方法以及正常年份和受扰年份的可比范围。</w:t>
      </w:r>
    </w:p>
    <w:p>
      <w:pPr>
        <w:pStyle w:val="Heading3"/>
        <w:keepNext/>
        <w:spacing w:before="140" w:after="80"/>
      </w:pPr>
      <w:r>
        <w:rPr>
          <w:rFonts w:ascii="Arial" w:hAnsi="Arial" w:eastAsia="微软雅黑"/>
          <w:b/>
          <w:color w:val="000000"/>
          <w:sz w:val="23"/>
        </w:rPr>
        <w:t>5.8 Step 8 模型验证和稳健性检验</w:t>
      </w:r>
    </w:p>
    <w:p>
      <w:pPr>
        <w:pStyle w:val="ListBullet"/>
        <w:spacing w:after="70" w:line="293" w:lineRule="auto"/>
        <w:ind w:left="432" w:hanging="259"/>
      </w:pPr>
      <w:r>
        <w:rPr>
          <w:rFonts w:ascii="Arial" w:hAnsi="Arial" w:eastAsia="宋体"/>
          <w:color w:val="000000"/>
          <w:sz w:val="21"/>
        </w:rPr>
        <w:t>比较衰减权重主版本和逐条计数备用版本。</w:t>
      </w:r>
    </w:p>
    <w:p>
      <w:pPr>
        <w:pStyle w:val="ListBullet"/>
        <w:spacing w:after="70" w:line="293" w:lineRule="auto"/>
        <w:ind w:left="432" w:hanging="259"/>
      </w:pPr>
      <w:r>
        <w:rPr>
          <w:rFonts w:ascii="Arial" w:hAnsi="Arial" w:eastAsia="宋体"/>
          <w:color w:val="000000"/>
          <w:sz w:val="21"/>
        </w:rPr>
        <w:t>比较只使用一级关系与使用全部边级关系。</w:t>
      </w:r>
    </w:p>
    <w:p>
      <w:pPr>
        <w:pStyle w:val="ListBullet"/>
        <w:spacing w:after="70" w:line="293" w:lineRule="auto"/>
        <w:ind w:left="432" w:hanging="259"/>
      </w:pPr>
      <w:r>
        <w:rPr>
          <w:rFonts w:ascii="Arial" w:hAnsi="Arial" w:eastAsia="宋体"/>
          <w:color w:val="000000"/>
          <w:sz w:val="21"/>
        </w:rPr>
        <w:t>在时间阈值确定后，比较不同最大接续间隔。</w:t>
      </w:r>
    </w:p>
    <w:p>
      <w:pPr>
        <w:pStyle w:val="ListBullet"/>
        <w:spacing w:after="70" w:line="293" w:lineRule="auto"/>
        <w:ind w:left="432" w:hanging="259"/>
      </w:pPr>
      <w:r>
        <w:rPr>
          <w:rFonts w:ascii="Arial" w:hAnsi="Arial" w:eastAsia="宋体"/>
          <w:color w:val="000000"/>
          <w:sz w:val="21"/>
        </w:rPr>
        <w:t>比较不同基线概率阈值和跨年支持度阈值，但只测试有明确研究用途的候选值。</w:t>
      </w:r>
    </w:p>
    <w:p>
      <w:pPr>
        <w:pStyle w:val="ListBullet"/>
        <w:spacing w:after="70" w:line="293" w:lineRule="auto"/>
        <w:ind w:left="432" w:hanging="259"/>
      </w:pPr>
      <w:r>
        <w:rPr>
          <w:rFonts w:ascii="Arial" w:hAnsi="Arial" w:eastAsia="宋体"/>
          <w:color w:val="000000"/>
          <w:sz w:val="21"/>
        </w:rPr>
        <w:t>使用正常年份做安慰剂检验，检查是否会错误识别级联滞后。</w:t>
      </w:r>
    </w:p>
    <w:p>
      <w:pPr>
        <w:pStyle w:val="ListBullet"/>
        <w:spacing w:after="70" w:line="293" w:lineRule="auto"/>
        <w:ind w:left="432" w:hanging="259"/>
      </w:pPr>
      <w:r>
        <w:rPr>
          <w:rFonts w:ascii="Arial" w:hAnsi="Arial" w:eastAsia="宋体"/>
          <w:color w:val="000000"/>
          <w:sz w:val="21"/>
        </w:rPr>
        <w:t>用典型城市和农机路线核对结果是否符合实际作业顺序。</w:t>
      </w:r>
    </w:p>
    <w:p>
      <w:pPr>
        <w:pStyle w:val="Heading1"/>
        <w:keepNext/>
        <w:spacing w:before="280" w:after="140"/>
      </w:pPr>
      <w:r>
        <w:rPr>
          <w:rFonts w:ascii="Arial" w:hAnsi="Arial" w:eastAsia="微软雅黑"/>
          <w:b/>
          <w:color w:val="000000"/>
          <w:sz w:val="31"/>
        </w:rPr>
        <w:t>四 公式检查结果</w:t>
      </w:r>
    </w:p>
    <w:p>
      <w:pPr>
        <w:spacing w:before="0" w:after="104" w:line="307" w:lineRule="auto"/>
      </w:pPr>
      <w:r>
        <w:rPr>
          <w:rFonts w:ascii="Arial" w:hAnsi="Arial" w:eastAsia="宋体"/>
          <w:color w:val="000000"/>
          <w:sz w:val="21"/>
        </w:rPr>
        <w:t>本次修改统一了边级、权重、概率和滞后指标的符号。每个符号只承担一种含义，求和范围、分母非零条件和阈值方向均已写明。公式中的城市对均为有序对，因此i到j与j到i不合并。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cantSplit/>
        </w:trPr>
        <w:tc>
          <w:tcPr>
            <w:tcW w:type="dxa" w:w="1512"/>
            <w:vAlign w:val="center"/>
            <w:tcMar>
              <w:top w:w="90" w:type="dxa"/>
              <w:start w:w="110" w:type="dxa"/>
              <w:bottom w:w="90" w:type="dxa"/>
              <w:end w:w="110" w:type="dxa"/>
            </w:tcMar>
            <w:shd w:fill="1F4E78"/>
          </w:tcPr>
          <w:p>
            <w:pPr>
              <w:spacing w:before="0" w:after="0" w:line="276" w:lineRule="auto"/>
              <w:jc w:val="center"/>
            </w:pPr>
            <w:r>
              <w:rPr>
                <w:rFonts w:ascii="Arial" w:hAnsi="Arial" w:eastAsia="微软雅黑"/>
                <w:b/>
                <w:color w:val="FFFFFF"/>
                <w:sz w:val="18"/>
              </w:rPr>
              <w:t>公式范围</w:t>
            </w:r>
          </w:p>
        </w:tc>
        <w:tc>
          <w:tcPr>
            <w:tcW w:type="dxa" w:w="2189"/>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用途</w:t>
            </w:r>
          </w:p>
        </w:tc>
        <w:tc>
          <w:tcPr>
            <w:tcW w:type="dxa" w:w="5213"/>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核对内容</w:t>
            </w:r>
          </w:p>
        </w:tc>
        <w:tc>
          <w:tcPr>
            <w:tcW w:type="dxa" w:w="1037"/>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结果</w:t>
            </w:r>
          </w:p>
        </w:tc>
      </w:tr>
      <w:tr>
        <w:trPr>
          <w:cantSplit/>
        </w:trPr>
        <w:tc>
          <w:tcPr>
            <w:tcW w:type="dxa" w:w="151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式1至式3</w:t>
            </w:r>
          </w:p>
        </w:tc>
        <w:tc>
          <w:tcPr>
            <w:tcW w:type="dxa" w:w="218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城市顺序 多级关系 权重</w:t>
            </w:r>
          </w:p>
        </w:tc>
        <w:tc>
          <w:tcPr>
            <w:tcW w:type="dxa" w:w="5213"/>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p小于q；边级等于q减p；一级权重为1</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r>
        <w:trPr>
          <w:cantSplit/>
        </w:trPr>
        <w:tc>
          <w:tcPr>
            <w:tcW w:type="dxa" w:w="1512"/>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式4至式8</w:t>
            </w:r>
          </w:p>
        </w:tc>
        <w:tc>
          <w:tcPr>
            <w:tcW w:type="dxa" w:w="218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记录集合 两套权重 年度网络</w:t>
            </w:r>
          </w:p>
        </w:tc>
        <w:tc>
          <w:tcPr>
            <w:tcW w:type="dxa" w:w="5213"/>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主权重和计数权重分开；一级与多级数量可还原总记录数</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r>
        <w:trPr>
          <w:cantSplit/>
        </w:trPr>
        <w:tc>
          <w:tcPr>
            <w:tcW w:type="dxa" w:w="151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式9至式10</w:t>
            </w:r>
          </w:p>
        </w:tc>
        <w:tc>
          <w:tcPr>
            <w:tcW w:type="dxa" w:w="218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年度概率和两年基线</w:t>
            </w:r>
          </w:p>
        </w:tc>
        <w:tc>
          <w:tcPr>
            <w:tcW w:type="dxa" w:w="5213"/>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先分年归一化再平均；分母必须大于0</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r>
        <w:trPr>
          <w:cantSplit/>
        </w:trPr>
        <w:tc>
          <w:tcPr>
            <w:tcW w:type="dxa" w:w="1512"/>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式11至式14</w:t>
            </w:r>
          </w:p>
        </w:tc>
        <w:tc>
          <w:tcPr>
            <w:tcW w:type="dxa" w:w="218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CLI CS 标准化CS CA</w:t>
            </w:r>
          </w:p>
        </w:tc>
        <w:tc>
          <w:tcPr>
            <w:tcW w:type="dxa" w:w="5213"/>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下游滞后带有上游事件下标；标准化CS写成明确分式</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r>
        <w:trPr>
          <w:cantSplit/>
        </w:trPr>
        <w:tc>
          <w:tcPr>
            <w:tcW w:type="dxa" w:w="1512"/>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式15至式16</w:t>
            </w:r>
          </w:p>
        </w:tc>
        <w:tc>
          <w:tcPr>
            <w:tcW w:type="dxa" w:w="2189"/>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跨年支持和基线筛边</w:t>
            </w:r>
          </w:p>
        </w:tc>
        <w:tc>
          <w:tcPr>
            <w:tcW w:type="dxa" w:w="5213"/>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阈值使用大于等于；未写入未经确认的数值</w:t>
            </w:r>
          </w:p>
        </w:tc>
        <w:tc>
          <w:tcPr>
            <w:tcW w:type="dxa" w:w="1037"/>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r>
        <w:trPr>
          <w:cantSplit/>
        </w:trPr>
        <w:tc>
          <w:tcPr>
            <w:tcW w:type="dxa" w:w="1512"/>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t>式17至式19</w:t>
            </w:r>
          </w:p>
        </w:tc>
        <w:tc>
          <w:tcPr>
            <w:tcW w:type="dxa" w:w="2189"/>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三日降雨 受扰事件 时间窗口</w:t>
            </w:r>
          </w:p>
        </w:tc>
        <w:tc>
          <w:tcPr>
            <w:tcW w:type="dxa" w:w="5213"/>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三日窗口含当天和前两天；进度落后方向与Dit定义一致</w:t>
            </w:r>
          </w:p>
        </w:tc>
        <w:tc>
          <w:tcPr>
            <w:tcW w:type="dxa" w:w="1037"/>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通过</w:t>
            </w:r>
          </w:p>
        </w:tc>
      </w:tr>
    </w:tbl>
    <w:p>
      <w:pPr>
        <w:spacing w:after="20"/>
      </w:pPr>
    </w:p>
    <w:p>
      <w:pPr>
        <w:pStyle w:val="Heading2"/>
        <w:keepNext/>
        <w:spacing w:before="200" w:after="100"/>
      </w:pPr>
      <w:r>
        <w:rPr>
          <w:rFonts w:ascii="Arial" w:hAnsi="Arial" w:eastAsia="微软雅黑"/>
          <w:b/>
          <w:color w:val="000000"/>
          <w:sz w:val="26"/>
        </w:rPr>
        <w:t>符号表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tblHeader w:val="true"/>
          <w:cantSplit/>
        </w:trPr>
        <w:tc>
          <w:tcPr>
            <w:tcW w:type="dxa" w:w="2664"/>
            <w:vAlign w:val="center"/>
            <w:tcMar>
              <w:top w:w="90" w:type="dxa"/>
              <w:start w:w="110" w:type="dxa"/>
              <w:bottom w:w="90" w:type="dxa"/>
              <w:end w:w="110" w:type="dxa"/>
            </w:tcMar>
            <w:shd w:fill="1F4E78"/>
          </w:tcPr>
          <w:p>
            <w:pPr>
              <w:spacing w:before="0" w:after="0" w:line="276" w:lineRule="auto"/>
              <w:jc w:val="center"/>
            </w:pPr>
            <w:r>
              <w:rPr>
                <w:rFonts w:ascii="Arial" w:hAnsi="Arial" w:eastAsia="微软雅黑"/>
                <w:b/>
                <w:color w:val="FFFFFF"/>
                <w:sz w:val="18"/>
              </w:rPr>
              <w:t>符号</w:t>
            </w:r>
          </w:p>
        </w:tc>
        <w:tc>
          <w:tcPr>
            <w:tcW w:type="dxa" w:w="6912"/>
            <w:vAlign w:val="center"/>
            <w:tcMar>
              <w:top w:w="90" w:type="dxa"/>
              <w:start w:w="110" w:type="dxa"/>
              <w:bottom w:w="90" w:type="dxa"/>
              <w:end w:w="110" w:type="dxa"/>
            </w:tcMar>
            <w:shd w:fill="1F4E78"/>
          </w:tcPr>
          <w:p>
            <w:pPr>
              <w:spacing w:before="0" w:after="0" w:line="276" w:lineRule="auto"/>
              <w:jc w:val="left"/>
            </w:pPr>
            <w:r>
              <w:rPr>
                <w:rFonts w:ascii="Arial" w:hAnsi="Arial" w:eastAsia="微软雅黑"/>
                <w:b/>
                <w:color w:val="FFFFFF"/>
                <w:sz w:val="18"/>
              </w:rPr>
              <w:t>直白解释</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r>
                <m:t>m</m:t>
              </m:r>
              <m:r>
                <m:rPr>
                  <m:sty m:val="p"/>
                </m:rPr>
                <m:t>,</m:t>
              </m:r>
              <m:r>
                <m:t> </m:t>
              </m:r>
              <m:r>
                <m:t>y</m:t>
              </m:r>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农机和年份</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r>
                <m:t>p</m:t>
              </m:r>
              <m:r>
                <m:rPr>
                  <m:sty m:val="p"/>
                </m:rPr>
                <m:t>,</m:t>
              </m:r>
              <m:r>
                <m:t> </m:t>
              </m:r>
              <m:r>
                <m:t>q</m:t>
              </m:r>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同一台农机年度城市访问顺序中的位置</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r>
                    <m:rPr>
                      <m:sty m:val="p"/>
                    </m:rPr>
                    <m:t>ℓ</m:t>
                  </m:r>
                </m:e>
                <m:sub>
                  <m:r>
                    <m:t>r</m:t>
                  </m:r>
                </m:sub>
              </m:sSub>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接续记录r的边级</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r>
                    <m:t>s</m:t>
                  </m:r>
                </m:e>
                <m:sub>
                  <m:r>
                    <m:t>r</m:t>
                  </m:r>
                </m:sub>
              </m:sSub>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接续记录r跨过的中间访问位置数</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r>
                    <m:t>ω</m:t>
                  </m:r>
                </m:e>
                <m:sub>
                  <m:r>
                    <m:t>r</m:t>
                  </m:r>
                </m:sub>
              </m:sSub>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接续记录r的衰减权重</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Sup>
                <m:e>
                  <m:r>
                    <m:t>W</m:t>
                  </m:r>
                </m:e>
                <m:sub>
                  <m:r>
                    <m:t>i</m:t>
                  </m:r>
                  <m:r>
                    <m:t>j</m:t>
                  </m:r>
                  <m:r>
                    <m:rPr>
                      <m:sty m:val="p"/>
                    </m:rPr>
                    <m:t>,</m:t>
                  </m:r>
                  <m:r>
                    <m:t>y</m:t>
                  </m:r>
                </m:sub>
                <m:sup>
                  <m:r>
                    <m:rPr>
                      <m:sty m:val="p"/>
                    </m:rPr>
                    <m:t>d</m:t>
                  </m:r>
                  <m:r>
                    <m:rPr>
                      <m:sty m:val="p"/>
                    </m:rPr>
                    <m:t>e</m:t>
                  </m:r>
                  <m:r>
                    <m:rPr>
                      <m:sty m:val="p"/>
                    </m:rPr>
                    <m:t>c</m:t>
                  </m:r>
                  <m:r>
                    <m:rPr>
                      <m:sty m:val="p"/>
                    </m:rPr>
                    <m:t>a</m:t>
                  </m:r>
                  <m:r>
                    <m:rPr>
                      <m:sty m:val="p"/>
                    </m:rPr>
                    <m:t>y</m:t>
                  </m:r>
                </m:sup>
              </m:sSubSup>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年份y中城市i到j的衰减链路权重</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Sup>
                <m:e>
                  <m:r>
                    <m:t>W</m:t>
                  </m:r>
                </m:e>
                <m:sub>
                  <m:r>
                    <m:t>i</m:t>
                  </m:r>
                  <m:r>
                    <m:t>j</m:t>
                  </m:r>
                  <m:r>
                    <m:rPr>
                      <m:sty m:val="p"/>
                    </m:rPr>
                    <m:t>,</m:t>
                  </m:r>
                  <m:r>
                    <m:t>y</m:t>
                  </m:r>
                </m:sub>
                <m:sup>
                  <m:r>
                    <m:rPr>
                      <m:sty m:val="p"/>
                    </m:rPr>
                    <m:t>c</m:t>
                  </m:r>
                  <m:r>
                    <m:rPr>
                      <m:sty m:val="p"/>
                    </m:rPr>
                    <m:t>o</m:t>
                  </m:r>
                  <m:r>
                    <m:rPr>
                      <m:sty m:val="p"/>
                    </m:rPr>
                    <m:t>u</m:t>
                  </m:r>
                  <m:r>
                    <m:rPr>
                      <m:sty m:val="p"/>
                    </m:rPr>
                    <m:t>n</m:t>
                  </m:r>
                  <m:r>
                    <m:rPr>
                      <m:sty m:val="p"/>
                    </m:rPr>
                    <m:t>t</m:t>
                  </m:r>
                </m:sup>
              </m:sSubSup>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年份y中城市i到j的接续记录数</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Sup>
                <m:e>
                  <m:r>
                    <m:t>P</m:t>
                  </m:r>
                </m:e>
                <m:sub>
                  <m:r>
                    <m:t>i</m:t>
                  </m:r>
                  <m:r>
                    <m:t>j</m:t>
                  </m:r>
                </m:sub>
                <m:sup>
                  <m:r>
                    <m:rPr>
                      <m:sty m:val="p"/>
                    </m:rPr>
                    <m:t>(</m:t>
                  </m:r>
                  <m:r>
                    <m:t>y</m:t>
                  </m:r>
                  <m:r>
                    <m:rPr>
                      <m:sty m:val="p"/>
                    </m:rPr>
                    <m:t>)</m:t>
                  </m:r>
                </m:sup>
              </m:sSubSup>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按起点城市归一化后的年度转移概率</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acc>
                    <m:accPr>
                      <m:chr m:val="‾"/>
                    </m:accPr>
                    <m:e>
                      <m:r>
                        <m:t>P</m:t>
                      </m:r>
                    </m:e>
                  </m:acc>
                </m:e>
                <m:sub>
                  <m:r>
                    <m:t>i</m:t>
                  </m:r>
                  <m:r>
                    <m:t>j</m:t>
                  </m:r>
                </m:sub>
              </m:sSub>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2021年和2022年的平均基线概率</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r>
                    <m:t>S</m:t>
                  </m:r>
                </m:e>
                <m:sub>
                  <m:r>
                    <m:t>i</m:t>
                  </m:r>
                  <m:r>
                    <m:t>j</m:t>
                  </m:r>
                </m:sub>
              </m:sSub>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城市对在2021年和2022年出现的年份数</w:t>
            </w:r>
          </w:p>
        </w:tc>
      </w:tr>
      <w:tr>
        <w:trPr>
          <w:cantSplit/>
        </w:trPr>
        <w:tc>
          <w:tcPr>
            <w:tcW w:type="dxa" w:w="2664"/>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r>
                <m:t>L</m:t>
              </m:r>
              <m:sSubSup>
                <m:e>
                  <m:r>
                    <m:t>A</m:t>
                  </m:r>
                </m:e>
                <m:sub>
                  <m:r>
                    <m:t>j</m:t>
                  </m:r>
                  <m:r>
                    <m:rPr>
                      <m:sty m:val="p"/>
                    </m:rPr>
                    <m:t>∣</m:t>
                  </m:r>
                  <m:r>
                    <m:t>i</m:t>
                  </m:r>
                </m:sub>
                <m:sup>
                  <m:r>
                    <m:rPr>
                      <m:sty m:val="p"/>
                    </m:rPr>
                    <m:t>a</m:t>
                  </m:r>
                  <m:r>
                    <m:rPr>
                      <m:sty m:val="p"/>
                    </m:rPr>
                    <m:t>f</m:t>
                  </m:r>
                  <m:r>
                    <m:rPr>
                      <m:sty m:val="p"/>
                    </m:rPr>
                    <m:t>t</m:t>
                  </m:r>
                  <m:r>
                    <m:rPr>
                      <m:sty m:val="p"/>
                    </m:rPr>
                    <m:t>e</m:t>
                  </m:r>
                  <m:r>
                    <m:rPr>
                      <m:sty m:val="p"/>
                    </m:rPr>
                    <m:t>r</m:t>
                  </m:r>
                </m:sup>
              </m:sSubSup>
            </m:oMath>
          </w:p>
        </w:tc>
        <w:tc>
          <w:tcPr>
            <w:tcW w:type="dxa" w:w="6912"/>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上游城市i受扰后，下游城市j在窗口内的额外滞后面积</w:t>
            </w:r>
          </w:p>
        </w:tc>
      </w:tr>
      <w:tr>
        <w:trPr>
          <w:cantSplit/>
        </w:trPr>
        <w:tc>
          <w:tcPr>
            <w:tcW w:type="dxa" w:w="2664"/>
            <w:shd w:fill="EAF2F8"/>
            <w:vAlign w:val="center"/>
            <w:tcMar>
              <w:top w:w="90" w:type="dxa"/>
              <w:start w:w="110" w:type="dxa"/>
              <w:bottom w:w="90" w:type="dxa"/>
              <w:end w:w="110" w:type="dxa"/>
            </w:tcMar>
          </w:tcPr>
          <w:p>
            <w:pPr>
              <w:spacing w:before="0" w:after="0" w:line="276" w:lineRule="auto"/>
              <w:jc w:val="center"/>
            </w:pPr>
            <w:r>
              <w:rPr>
                <w:rFonts w:ascii="Arial" w:hAnsi="Arial" w:eastAsia="宋体"/>
                <w:b w:val="0"/>
                <w:color w:val="000000"/>
                <w:sz w:val="18"/>
              </w:rPr>
            </w:r>
            <m:oMath>
              <m:sSub>
                <m:e>
                  <m:r>
                    <m:t>τ</m:t>
                  </m:r>
                </m:e>
                <m:sub>
                  <m:r>
                    <m:t>P</m:t>
                  </m:r>
                </m:sub>
              </m:sSub>
              <m:r>
                <m:rPr>
                  <m:sty m:val="p"/>
                </m:rPr>
                <m:t>,</m:t>
              </m:r>
              <m:r>
                <m:t> </m:t>
              </m:r>
              <m:sSub>
                <m:e>
                  <m:r>
                    <m:t>τ</m:t>
                  </m:r>
                </m:e>
                <m:sub>
                  <m:r>
                    <m:t>S</m:t>
                  </m:r>
                </m:sub>
              </m:sSub>
              <m:r>
                <m:rPr>
                  <m:sty m:val="p"/>
                </m:rPr>
                <m:t>,</m:t>
              </m:r>
              <m:r>
                <m:t> </m:t>
              </m:r>
              <m:sSub>
                <m:e>
                  <m:r>
                    <m:t>τ</m:t>
                  </m:r>
                </m:e>
                <m:sub>
                  <m:r>
                    <m:t>D</m:t>
                  </m:r>
                </m:sub>
              </m:sSub>
              <m:r>
                <m:rPr>
                  <m:sty m:val="p"/>
                </m:rPr>
                <m:t>,</m:t>
              </m:r>
              <m:r>
                <m:t> </m:t>
              </m:r>
              <m:sSub>
                <m:e>
                  <m:r>
                    <m:t>τ</m:t>
                  </m:r>
                </m:e>
                <m:sub>
                  <m:r>
                    <m:t>R</m:t>
                  </m:r>
                </m:sub>
              </m:sSub>
              <m:r>
                <m:rPr>
                  <m:sty m:val="p"/>
                </m:rPr>
                <m:t>,</m:t>
              </m:r>
              <m:r>
                <m:t> </m:t>
              </m:r>
              <m:sSub>
                <m:e>
                  <m:r>
                    <m:t>θ</m:t>
                  </m:r>
                </m:e>
                <m:sub>
                  <m:r>
                    <m:t>L</m:t>
                  </m:r>
                </m:sub>
              </m:sSub>
              <m:r>
                <m:rPr>
                  <m:sty m:val="p"/>
                </m:rPr>
                <m:t>,</m:t>
              </m:r>
              <m:r>
                <m:t> </m:t>
              </m:r>
              <m:r>
                <m:t>k</m:t>
              </m:r>
            </m:oMath>
          </w:p>
        </w:tc>
        <w:tc>
          <w:tcPr>
            <w:tcW w:type="dxa" w:w="6912"/>
            <w:shd w:fill="EAF2F8"/>
            <w:vAlign w:val="center"/>
            <w:tcMar>
              <w:top w:w="90" w:type="dxa"/>
              <w:start w:w="110" w:type="dxa"/>
              <w:bottom w:w="90" w:type="dxa"/>
              <w:end w:w="110" w:type="dxa"/>
            </w:tcMar>
          </w:tcPr>
          <w:p>
            <w:pPr>
              <w:spacing w:before="0" w:after="0" w:line="276" w:lineRule="auto"/>
              <w:jc w:val="left"/>
            </w:pPr>
            <w:r>
              <w:rPr>
                <w:rFonts w:ascii="Arial" w:hAnsi="Arial" w:eastAsia="宋体"/>
                <w:b w:val="0"/>
                <w:color w:val="000000"/>
                <w:sz w:val="18"/>
              </w:rPr>
              <w:t>尚需按正式样本确定的阈值或窗口参数</w:t>
            </w:r>
          </w:p>
        </w:tc>
      </w:tr>
    </w:tbl>
    <w:p>
      <w:pPr>
        <w:spacing w:after="20"/>
      </w:pPr>
    </w:p>
    <w:p>
      <w:pPr>
        <w:pStyle w:val="Heading1"/>
        <w:keepNext/>
        <w:spacing w:before="280" w:after="140"/>
      </w:pPr>
      <w:r>
        <w:rPr>
          <w:rFonts w:ascii="Arial" w:hAnsi="Arial" w:eastAsia="微软雅黑"/>
          <w:b/>
          <w:color w:val="000000"/>
          <w:sz w:val="31"/>
        </w:rPr>
        <w:t>五 修改研究方案时的最后检查</w:t>
      </w:r>
    </w:p>
    <w:p>
      <w:pPr>
        <w:spacing w:after="80" w:line="293" w:lineRule="auto"/>
        <w:ind w:left="461" w:hanging="317"/>
      </w:pPr>
      <w:r>
        <w:rPr>
          <w:rFonts w:ascii="Arial" w:hAnsi="Arial" w:eastAsia="宋体"/>
          <w:color w:val="000000"/>
          <w:sz w:val="21"/>
        </w:rPr>
        <w:t>1.  第三部分开头由“四部分”改为“三部分”，不要继续把路径重构列入当前指标体系。</w:t>
      </w:r>
    </w:p>
    <w:p>
      <w:pPr>
        <w:spacing w:after="80" w:line="293" w:lineRule="auto"/>
        <w:ind w:left="461" w:hanging="317"/>
      </w:pPr>
      <w:r>
        <w:rPr>
          <w:rFonts w:ascii="Arial" w:hAnsi="Arial" w:eastAsia="宋体"/>
          <w:color w:val="000000"/>
          <w:sz w:val="21"/>
        </w:rPr>
        <w:t>2.  凡出现“农机从i直接转移到j”的表述，只能用于一级关系；二级及以上统一写为多级接续关系。</w:t>
      </w:r>
    </w:p>
    <w:p>
      <w:pPr>
        <w:spacing w:after="80" w:line="293" w:lineRule="auto"/>
        <w:ind w:left="461" w:hanging="317"/>
      </w:pPr>
      <w:r>
        <w:rPr>
          <w:rFonts w:ascii="Arial" w:hAnsi="Arial" w:eastAsia="宋体"/>
          <w:color w:val="000000"/>
          <w:sz w:val="21"/>
        </w:rPr>
        <w:t>3.  链路权重必须注明是衰减权重之和还是逐条计数，主文不要混用。</w:t>
      </w:r>
    </w:p>
    <w:p>
      <w:pPr>
        <w:spacing w:after="80" w:line="293" w:lineRule="auto"/>
        <w:ind w:left="461" w:hanging="317"/>
      </w:pPr>
      <w:r>
        <w:rPr>
          <w:rFonts w:ascii="Arial" w:hAnsi="Arial" w:eastAsia="宋体"/>
          <w:color w:val="000000"/>
          <w:sz w:val="21"/>
        </w:rPr>
        <w:t>4.  2021年和2022年分别归一化后再平均，不能先把两年原始权重相加再直接解释为概率。</w:t>
      </w:r>
    </w:p>
    <w:p>
      <w:pPr>
        <w:spacing w:after="80" w:line="293" w:lineRule="auto"/>
        <w:ind w:left="461" w:hanging="317"/>
      </w:pPr>
      <w:r>
        <w:rPr>
          <w:rFonts w:ascii="Arial" w:hAnsi="Arial" w:eastAsia="宋体"/>
          <w:color w:val="000000"/>
          <w:sz w:val="21"/>
        </w:rPr>
        <w:t>5.  删除5天窗口的预设值；在k确定前只保留符号和待确定说明。</w:t>
      </w:r>
    </w:p>
    <w:p>
      <w:pPr>
        <w:spacing w:after="80" w:line="293" w:lineRule="auto"/>
        <w:ind w:left="461" w:hanging="317"/>
      </w:pPr>
      <w:r>
        <w:rPr>
          <w:rFonts w:ascii="Arial" w:hAnsi="Arial" w:eastAsia="宋体"/>
          <w:color w:val="000000"/>
          <w:sz w:val="21"/>
        </w:rPr>
        <w:t>6.  保留同城端点和回流相关字段不等于允许它们自动进入基线网络，正式纳入前需要单独决定。</w:t>
      </w:r>
    </w:p>
    <w:p>
      <w:pPr>
        <w:spacing w:after="80" w:line="293" w:lineRule="auto"/>
        <w:ind w:left="461" w:hanging="317"/>
      </w:pPr>
      <w:r>
        <w:rPr>
          <w:rFonts w:ascii="Arial" w:hAnsi="Arial" w:eastAsia="宋体"/>
          <w:color w:val="000000"/>
          <w:sz w:val="21"/>
        </w:rPr>
        <w:t>7.  路径重构内容移到后续扩展后，正文、算法步骤和稳健性检验中的RDI、ETR和路径熵引用要同时移除。</w:t>
      </w:r>
    </w:p>
    <w:p>
      <w:pPr>
        <w:spacing w:before="0" w:after="0" w:line="307" w:lineRule="auto"/>
      </w:pPr>
      <w:r>
        <w:rPr>
          <w:rFonts w:ascii="Arial" w:hAnsi="Arial" w:eastAsia="宋体"/>
          <w:color w:val="000000"/>
          <w:sz w:val="21"/>
        </w:rPr>
        <w:t>以上修改完成后，研究方案将与当前PLAN、已完成的城市接续数据和81城链路数据保持一致。后续进入基线链路构建时，只需补充经确认的时间间隔、同城边处理、转移概率阈值和跨年支持度阈值。</w:t>
      </w:r>
    </w:p>
    <w:sectPr w:rsidR="00FC693F" w:rsidRPr="0006063C" w:rsidSect="00034616">
      <w:footerReference w:type="default" r:id="rId9"/>
      <w:pgSz w:w="12240" w:h="15840"/>
      <w:pgMar w:top="1080" w:right="1267" w:bottom="1037" w:left="126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微软雅黑"/>
        <w:color w:val="666666"/>
        <w:sz w:val="17"/>
      </w:rPr>
      <w:t xml:space="preserve">研究方案修改对照  </w:t>
    </w:r>
    <w:r>
      <w:rPr>
        <w:rFonts w:ascii="Arial" w:hAnsi="Arial" w:eastAsia="微软雅黑"/>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研究模型与算法方案修改对照</dc:title>
  <dc:subject>研究方案逐节修改建议和公式检查</dc:subject>
  <dc:creator>python-docx</dc:creator>
  <cp:keywords/>
  <dc:description>依据当前PLAN和已完成的城市接续与链路数据步骤整理</dc:description>
  <cp:lastModifiedBy/>
  <cp:revision>1</cp:revision>
  <dcterms:created xsi:type="dcterms:W3CDTF">2013-12-23T23:15:00Z</dcterms:created>
  <dcterms:modified xsi:type="dcterms:W3CDTF">2026-10-19T03:28:39Z</dcterms:modified>
  <cp:category/>
</cp:coreProperties>
</file>