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0"/>
        <w:jc w:val="center"/>
      </w:pPr>
      <w:r>
        <w:rPr>
          <w:rFonts w:ascii="Noto Sans SC" w:hAnsi="Noto Sans SC" w:eastAsia="Noto Sans SC" w:cs="Noto Sans SC"/>
          <w:b/>
          <w:color w:val="2E74B5"/>
          <w:sz w:val="22"/>
        </w:rPr>
        <w:t>论文精读与完整中文翻译</w:t>
      </w:r>
    </w:p>
    <w:p>
      <w:pPr>
        <w:spacing w:after="240"/>
        <w:jc w:val="center"/>
      </w:pPr>
      <w:r>
        <w:rPr>
          <w:rFonts w:ascii="Noto Sans SC" w:hAnsi="Noto Sans SC" w:eastAsia="Noto Sans SC" w:cs="Noto Sans SC"/>
          <w:b/>
          <w:color w:val="192A3E"/>
          <w:sz w:val="54"/>
        </w:rPr>
        <w:t>你会即兴发挥吗？通过音频控制实现富有表现力的人形机器人运动</w:t>
      </w:r>
    </w:p>
    <w:p>
      <w:pPr>
        <w:spacing w:after="640"/>
        <w:jc w:val="center"/>
      </w:pPr>
      <w:r>
        <w:rPr>
          <w:rFonts w:ascii="Noto Sans SC" w:hAnsi="Noto Sans SC" w:eastAsia="Noto Sans SC" w:cs="Noto Sans SC"/>
          <w:color w:val="1F4D78"/>
          <w:sz w:val="28"/>
        </w:rPr>
        <w:t>方法与框架详解 + 全文中文翻译</w:t>
      </w:r>
    </w:p>
    <w:p>
      <w:pPr>
        <w:spacing w:after="120"/>
        <w:jc w:val="center"/>
      </w:pPr>
      <w:r>
        <w:rPr>
          <w:rFonts w:ascii="Noto Sans SC" w:hAnsi="Noto Sans SC" w:eastAsia="Noto Sans SC" w:cs="Noto Sans SC"/>
          <w:b w:val="0"/>
          <w:i w:val="0"/>
          <w:color w:val="5E6976"/>
          <w:sz w:val="21"/>
        </w:rPr>
        <w:t>原文：</w:t>
      </w:r>
      <w:r>
        <w:rPr>
          <w:rFonts w:ascii="Noto Sans SC" w:hAnsi="Noto Sans SC" w:eastAsia="Noto Sans SC" w:cs="Noto Sans SC"/>
          <w:b w:val="0"/>
          <w:i/>
          <w:color w:val="5E6976"/>
          <w:sz w:val="21"/>
        </w:rPr>
        <w:t>Do You Have Freestyle? Expressive Humanoid Locomotion via Audio Control</w:t>
      </w:r>
    </w:p>
    <w:p>
      <w:pPr>
        <w:spacing w:after="120"/>
        <w:jc w:val="center"/>
      </w:pPr>
      <w:r>
        <w:rPr>
          <w:rFonts w:ascii="Noto Sans SC" w:hAnsi="Noto Sans SC" w:eastAsia="Noto Sans SC" w:cs="Noto Sans SC"/>
          <w:b w:val="0"/>
          <w:i w:val="0"/>
          <w:color w:val="5E6976"/>
          <w:sz w:val="21"/>
        </w:rPr>
        <w:t>方法名称：RoboPerform</w:t>
      </w:r>
    </w:p>
    <w:p>
      <w:pPr>
        <w:spacing w:after="120"/>
        <w:jc w:val="center"/>
      </w:pPr>
      <w:r>
        <w:rPr>
          <w:rFonts w:ascii="Noto Sans SC" w:hAnsi="Noto Sans SC" w:eastAsia="Noto Sans SC" w:cs="Noto Sans SC"/>
          <w:b w:val="0"/>
          <w:i w:val="0"/>
          <w:color w:val="5E6976"/>
          <w:sz w:val="21"/>
        </w:rPr>
        <w:t>作者：Zhe Li, Cheng Chi, Yangyang Wei, Boan Zhu, Tao Huang, Zhenguo Sun, Yibo Peng, Pengwei Wang, Zhongyuan Wang, Fangzhou Liu, Chang Xu, Shanghang Zhang</w:t>
      </w:r>
    </w:p>
    <w:p>
      <w:pPr>
        <w:spacing w:after="120"/>
        <w:jc w:val="center"/>
      </w:pPr>
      <w:r>
        <w:rPr>
          <w:rFonts w:ascii="Noto Sans SC" w:hAnsi="Noto Sans SC" w:eastAsia="Noto Sans SC" w:cs="Noto Sans SC"/>
          <w:b w:val="0"/>
          <w:i w:val="0"/>
          <w:color w:val="5E6976"/>
          <w:sz w:val="21"/>
        </w:rPr>
        <w:t>机构：北京智源人工智能研究院、悉尼大学、哈尔滨工业大学、香港科技大学、上海交通大学、北京大学</w:t>
      </w:r>
    </w:p>
    <w:p>
      <w:pPr>
        <w:spacing w:after="120"/>
        <w:jc w:val="center"/>
      </w:pPr>
      <w:r>
        <w:rPr>
          <w:rFonts w:ascii="Noto Sans SC" w:hAnsi="Noto Sans SC" w:eastAsia="Noto Sans SC" w:cs="Noto Sans SC"/>
          <w:b w:val="0"/>
          <w:i w:val="0"/>
          <w:color w:val="5E6976"/>
          <w:sz w:val="21"/>
        </w:rPr>
        <w:t>版本：arXiv:2512.23650v2，2026-01-04</w:t>
      </w:r>
    </w:p>
    <w:p>
      <w:pPr>
        <w:spacing w:after="360"/>
      </w:pPr>
    </w:p>
    <w:p>
      <w:pPr>
        <w:spacing w:before="320" w:after="0"/>
        <w:jc w:val="center"/>
      </w:pPr>
      <w:r>
        <w:rPr>
          <w:rFonts w:ascii="Noto Sans SC" w:hAnsi="Noto Sans SC" w:eastAsia="Noto Sans SC" w:cs="Noto Sans SC"/>
          <w:color w:val="5E6976"/>
          <w:sz w:val="19"/>
        </w:rPr>
        <w:t>技术术语、公式编号、图表编号与原文保持对应</w:t>
      </w:r>
    </w:p>
    <w:p>
      <w:pPr>
        <w:pStyle w:val="Heading1"/>
        <w:pageBreakBefore/>
      </w:pPr>
      <w:r>
        <w:rPr>
          <w:rFonts w:ascii="Noto Sans SC" w:hAnsi="Noto Sans SC" w:eastAsia="Noto Sans SC" w:cs="Noto Sans SC"/>
          <w:b w:val="0"/>
          <w:i w:val="0"/>
          <w:sz w:val="32"/>
        </w:rPr>
        <w:t>第一部分 方法与框架详解</w:t>
      </w:r>
    </w:p>
    <w:p>
      <w:pPr>
        <w:pStyle w:val="Heading2"/>
      </w:pPr>
      <w:r>
        <w:rPr>
          <w:rFonts w:ascii="Noto Sans SC" w:hAnsi="Noto Sans SC" w:eastAsia="Noto Sans SC" w:cs="Noto Sans SC"/>
          <w:b w:val="0"/>
          <w:i w:val="0"/>
          <w:sz w:val="26"/>
        </w:rPr>
        <w:t>1. 论文要解决什么问题</w:t>
      </w:r>
    </w:p>
    <w:p>
      <w:r>
        <w:rPr>
          <w:rFonts w:ascii="Noto Sans SC" w:hAnsi="Noto Sans SC" w:eastAsia="Noto Sans SC" w:cs="Noto Sans SC"/>
          <w:b w:val="0"/>
          <w:i w:val="0"/>
          <w:sz w:val="22"/>
        </w:rPr>
        <w:t>论文希望让人形机器人直接根据音乐或语音产生可执行动作：音乐驱动舞蹈，语音驱动共语手势。传统系统一般采用“音频到人体动作生成—人体到机器人重定向—低层跟踪控制”的串联系统。作者认为这条路线存在三个问题：</w:t>
      </w:r>
    </w:p>
    <w:p>
      <w:pPr>
        <w:pStyle w:val="ListNumber"/>
        <w:numPr>
          <w:ilvl w:val="0"/>
          <w:numId w:val="10"/>
        </w:numPr>
      </w:pPr>
      <w:r>
        <w:rPr>
          <w:rFonts w:ascii="Noto Sans SC" w:hAnsi="Noto Sans SC" w:eastAsia="Noto Sans SC" w:cs="Noto Sans SC"/>
          <w:b w:val="0"/>
          <w:i w:val="0"/>
          <w:sz w:val="22"/>
        </w:rPr>
        <w:t>动作解码、重定向和跟踪逐级累积误差，最后既损害表现力，也损害物理一致性；</w:t>
      </w:r>
    </w:p>
    <w:p>
      <w:pPr>
        <w:pStyle w:val="ListNumber"/>
        <w:numPr>
          <w:ilvl w:val="0"/>
          <w:numId w:val="10"/>
        </w:numPr>
      </w:pPr>
      <w:r>
        <w:rPr>
          <w:rFonts w:ascii="Noto Sans SC" w:hAnsi="Noto Sans SC" w:eastAsia="Noto Sans SC" w:cs="Noto Sans SC"/>
          <w:b w:val="0"/>
          <w:i w:val="0"/>
          <w:sz w:val="22"/>
        </w:rPr>
        <w:t>多阶段顺序推理增加延迟，不利于实时部署；</w:t>
      </w:r>
    </w:p>
    <w:p>
      <w:pPr>
        <w:pStyle w:val="ListNumber"/>
        <w:numPr>
          <w:ilvl w:val="0"/>
          <w:numId w:val="10"/>
        </w:numPr>
      </w:pPr>
      <w:r>
        <w:rPr>
          <w:rFonts w:ascii="Noto Sans SC" w:hAnsi="Noto Sans SC" w:eastAsia="Noto Sans SC" w:cs="Noto Sans SC"/>
          <w:b w:val="0"/>
          <w:i w:val="0"/>
          <w:sz w:val="22"/>
        </w:rPr>
        <w:t>高层声学线索和低层关节驱动由不同模块独立优化，音乐节拍、语音韵律、力度和动作风格容易在中间表示中丢失。</w:t>
      </w:r>
    </w:p>
    <w:p>
      <w:r>
        <w:rPr>
          <w:rFonts w:ascii="Noto Sans SC" w:hAnsi="Noto Sans SC" w:eastAsia="Noto Sans SC" w:cs="Noto Sans SC"/>
          <w:b w:val="0"/>
          <w:i w:val="0"/>
          <w:sz w:val="22"/>
        </w:rPr>
        <w:t>RoboPerform 因此不在部署时显式重建完整人体动作，也不在线运行重定向器。它把音频潜变量直接作为策略的风格控制信号，由学生策略输出 G1 的目标关节位置。</w:t>
      </w:r>
    </w:p>
    <w:p>
      <w:r>
        <w:rPr>
          <w:rFonts w:ascii="Noto Sans SC" w:hAnsi="Noto Sans SC" w:eastAsia="Noto Sans SC" w:cs="Noto Sans SC"/>
          <w:b w:val="0"/>
          <w:i w:val="0"/>
          <w:sz w:val="22"/>
        </w:rPr>
        <w:t>需要准确理解“无重定向”的范围：教师策略训练仍需要参考机器人动作，补充材料明确比较了 PHC 和 GMR 重定向，并最终选择 PHC 构造/处理教师参考。所谓 retargeting-free 指推理链路和学生策略控制阶段不再先生成显式人体姿态并实时重定向，而不是训练数据从未经过重定向。</w:t>
      </w:r>
    </w:p>
    <w:p>
      <w:pPr>
        <w:pStyle w:val="Heading2"/>
      </w:pPr>
      <w:r>
        <w:rPr>
          <w:rFonts w:ascii="Noto Sans SC" w:hAnsi="Noto Sans SC" w:eastAsia="Noto Sans SC" w:cs="Noto Sans SC"/>
          <w:b w:val="0"/>
          <w:i w:val="0"/>
          <w:sz w:val="26"/>
        </w:rPr>
        <w:t>2. 核心思想：motion = content + style</w:t>
      </w:r>
    </w:p>
    <w:p>
      <w:r>
        <w:rPr>
          <w:rFonts w:ascii="Noto Sans SC" w:hAnsi="Noto Sans SC" w:eastAsia="Noto Sans SC" w:cs="Noto Sans SC"/>
          <w:b w:val="0"/>
          <w:i w:val="0"/>
          <w:sz w:val="22"/>
        </w:rPr>
        <w:t>论文把动作拆成“内容”和“风格”。</w:t>
      </w:r>
    </w:p>
    <w:p>
      <w:pPr>
        <w:pStyle w:val="ListBullet"/>
      </w:pPr>
      <w:r>
        <w:rPr>
          <w:rFonts w:ascii="Noto Sans SC" w:hAnsi="Noto Sans SC" w:eastAsia="Noto Sans SC" w:cs="Noto Sans SC"/>
          <w:b w:val="0"/>
          <w:i w:val="0"/>
          <w:sz w:val="22"/>
        </w:rPr>
        <w:t>内容：动作属于什么高层任务，例如“一个人在随音乐跳舞”或“一个人在演讲”。内容由预训练文本到动作生成模型 LaMP-T2M 编码为固定的 64 维动作潜变量。</w:t>
      </w:r>
    </w:p>
    <w:p>
      <w:pPr>
        <w:pStyle w:val="ListBullet"/>
      </w:pPr>
      <w:r>
        <w:rPr>
          <w:rFonts w:ascii="Noto Sans SC" w:hAnsi="Noto Sans SC" w:eastAsia="Noto Sans SC" w:cs="Noto Sans SC"/>
          <w:b w:val="0"/>
          <w:i w:val="0"/>
          <w:sz w:val="22"/>
        </w:rPr>
        <w:t>风格：任务怎样被执行，例如音乐的节拍、节奏、流派、能量变化，或语音的重音、韵律和话语节奏。风格来自音频，并经适配器映射到带运动学先验的 256 维音频潜变量。</w:t>
      </w:r>
    </w:p>
    <w:p>
      <w:r>
        <w:rPr>
          <w:rFonts w:ascii="Noto Sans SC" w:hAnsi="Noto Sans SC" w:eastAsia="Noto Sans SC" w:cs="Noto Sans SC"/>
          <w:b w:val="0"/>
          <w:i w:val="0"/>
          <w:sz w:val="22"/>
        </w:rPr>
        <w:t>在同一个任务内，内容潜变量可以固定，具体音频则持续调制动作风格。学生扩散策略同时接收内容潜变量、音频风格潜变量和机器人历史本体状态，直接去噪得到 23 维目标关节位置。</w:t>
      </w:r>
    </w:p>
    <w:p>
      <w:pPr>
        <w:pStyle w:val="Heading2"/>
      </w:pPr>
      <w:r>
        <w:rPr>
          <w:rFonts w:ascii="Noto Sans SC" w:hAnsi="Noto Sans SC" w:eastAsia="Noto Sans SC" w:cs="Noto Sans SC"/>
          <w:b w:val="0"/>
          <w:i w:val="0"/>
          <w:sz w:val="26"/>
        </w:rPr>
        <w:t>3. 总体框架</w:t>
      </w:r>
    </w:p>
    <w:p>
      <w:r>
        <w:rPr>
          <w:rFonts w:ascii="Noto Sans SC" w:hAnsi="Noto Sans SC" w:eastAsia="Noto Sans SC" w:cs="Noto Sans SC"/>
          <w:b w:val="0"/>
          <w:i w:val="0"/>
          <w:sz w:val="22"/>
        </w:rPr>
        <w:t>RoboPerform 包含三个关键模块：</w:t>
      </w:r>
    </w:p>
    <w:p>
      <w:pPr>
        <w:pStyle w:val="ListNumber"/>
        <w:numPr>
          <w:ilvl w:val="0"/>
          <w:numId w:val="11"/>
        </w:numPr>
      </w:pPr>
      <w:r>
        <w:rPr>
          <w:rFonts w:ascii="Noto Sans SC" w:hAnsi="Noto Sans SC" w:eastAsia="Noto Sans SC" w:cs="Noto Sans SC"/>
          <w:b w:val="0"/>
          <w:i w:val="0"/>
          <w:sz w:val="22"/>
        </w:rPr>
        <w:t>音频—动作对齐模块：6 层 Transformer 适配器和时序注意力把原始音频特征映射到动作潜空间，用 InfoNCE 进行对比学习；</w:t>
      </w:r>
    </w:p>
    <w:p>
      <w:pPr>
        <w:pStyle w:val="ListNumber"/>
        <w:numPr>
          <w:ilvl w:val="0"/>
          <w:numId w:val="11"/>
        </w:numPr>
      </w:pPr>
      <w:r>
        <w:rPr>
          <w:rFonts w:ascii="Noto Sans SC" w:hAnsi="Noto Sans SC" w:eastAsia="Noto Sans SC" w:cs="Noto Sans SC"/>
          <w:b w:val="0"/>
          <w:i w:val="0"/>
          <w:sz w:val="22"/>
        </w:rPr>
        <w:t>ΔMoE 教师策略：以参考动作、机器人本体状态和特权信息为条件，用 PPO 在仿真中学习高质量、可执行的跟踪动作；</w:t>
      </w:r>
    </w:p>
    <w:p>
      <w:pPr>
        <w:pStyle w:val="ListNumber"/>
        <w:numPr>
          <w:ilvl w:val="0"/>
          <w:numId w:val="11"/>
        </w:numPr>
      </w:pPr>
      <w:r>
        <w:rPr>
          <w:rFonts w:ascii="Noto Sans SC" w:hAnsi="Noto Sans SC" w:eastAsia="Noto Sans SC" w:cs="Noto Sans SC"/>
          <w:b w:val="0"/>
          <w:i w:val="0"/>
          <w:sz w:val="22"/>
        </w:rPr>
        <w:t>内容—风格解耦的扩散学生策略：用 DAgger 访问教师最优动作，把内容作为主条件，把音频作为多层风格调制，学习从当前状态与音频直接生成动作。</w:t>
      </w:r>
    </w:p>
    <w:p>
      <w:pPr>
        <w:keepNext/>
        <w:jc w:val="center"/>
      </w:pPr>
      <w:r>
        <w:drawing>
          <wp:inline xmlns:a="http://schemas.openxmlformats.org/drawingml/2006/main" xmlns:pic="http://schemas.openxmlformats.org/drawingml/2006/picture">
            <wp:extent cx="5669280" cy="3906272"/>
            <wp:docPr id="1" name="Picture 1" descr="RoboPerform 原文总体框架" title="RoboPerform 原文总体框架"/>
            <wp:cNvGraphicFramePr>
              <a:graphicFrameLocks noChangeAspect="1"/>
            </wp:cNvGraphicFramePr>
            <a:graphic>
              <a:graphicData uri="http://schemas.openxmlformats.org/drawingml/2006/picture">
                <pic:pic>
                  <pic:nvPicPr>
                    <pic:cNvPr id="0" name="roboperform_framework.png"/>
                    <pic:cNvPicPr/>
                  </pic:nvPicPr>
                  <pic:blipFill>
                    <a:blip r:embed="rId11"/>
                    <a:stretch>
                      <a:fillRect/>
                    </a:stretch>
                  </pic:blipFill>
                  <pic:spPr>
                    <a:xfrm>
                      <a:off x="0" y="0"/>
                      <a:ext cx="5669280" cy="3906272"/>
                    </a:xfrm>
                    <a:prstGeom prst="rect"/>
                  </pic:spPr>
                </pic:pic>
              </a:graphicData>
            </a:graphic>
          </wp:inline>
        </w:drawing>
      </w:r>
    </w:p>
    <w:p>
      <w:pPr>
        <w:spacing w:after="200"/>
        <w:jc w:val="center"/>
      </w:pPr>
      <w:r>
        <w:rPr>
          <w:rFonts w:ascii="Noto Sans SC" w:hAnsi="Noto Sans SC" w:eastAsia="Noto Sans SC" w:cs="Noto Sans SC"/>
          <w:i/>
          <w:color w:val="5E6976"/>
          <w:sz w:val="18"/>
        </w:rPr>
        <w:t>RoboPerform 原文总体框架</w:t>
      </w:r>
    </w:p>
    <w:p>
      <w:r>
        <w:rPr>
          <w:rFonts w:ascii="Noto Sans SC" w:hAnsi="Noto Sans SC" w:eastAsia="Noto Sans SC" w:cs="Noto Sans SC"/>
          <w:b w:val="0"/>
          <w:i w:val="0"/>
          <w:sz w:val="22"/>
        </w:rPr>
        <w:t>训练可分成两条主线。首先，动作编码器把参考动作编码为潜变量，音频适配器通过对比学习让配对音频靠近对应动作潜变量。其次，在教师—学生蒸馏中，教师获得参考动作和特权信息；学生看不到显式参考动作与特权信息，只得到较长的机器人历史、固定内容潜变量和对齐音频潜变量。学生在访问到的状态上查询教师动作，训练扩散策略。</w:t>
      </w:r>
    </w:p>
    <w:p>
      <w:pPr>
        <w:pStyle w:val="Heading2"/>
      </w:pPr>
      <w:r>
        <w:rPr>
          <w:rFonts w:ascii="Noto Sans SC" w:hAnsi="Noto Sans SC" w:eastAsia="Noto Sans SC" w:cs="Noto Sans SC"/>
          <w:b w:val="0"/>
          <w:i w:val="0"/>
          <w:sz w:val="26"/>
        </w:rPr>
        <w:t>4. ΔMoE 教师策略</w:t>
      </w:r>
    </w:p>
    <w:p>
      <w:pPr>
        <w:pStyle w:val="Heading3"/>
      </w:pPr>
      <w:r>
        <w:rPr>
          <w:rFonts w:ascii="Noto Sans SC" w:hAnsi="Noto Sans SC" w:eastAsia="Noto Sans SC" w:cs="Noto Sans SC"/>
          <w:b w:val="0"/>
          <w:i w:val="0"/>
          <w:sz w:val="24"/>
        </w:rPr>
        <w:t>4.1 条件的嵌套划分</w:t>
      </w:r>
    </w:p>
    <w:p>
      <w:r>
        <w:rPr>
          <w:rFonts w:ascii="Noto Sans SC" w:hAnsi="Noto Sans SC" w:eastAsia="Noto Sans SC" w:cs="Noto Sans SC"/>
          <w:b w:val="0"/>
          <w:i w:val="0"/>
          <w:sz w:val="22"/>
        </w:rPr>
        <w:t>作者把条件形式化为三维块向量 c=[c_1,c_2,c_3]^，并构造嵌套子空间：</w:t>
      </w:r>
    </w:p>
    <w:p>
      <w:pPr>
        <w:spacing w:before="100" w:after="160"/>
        <w:jc w:val="center"/>
      </w:pPr>
      <w:r>
        <w:rPr>
          <w:rFonts w:ascii="DejaVu Math TeX Gyre" w:hAnsi="DejaVu Math TeX Gyre" w:eastAsia="DejaVu Math TeX Gyre" w:cs="DejaVu Math TeX Gyre"/>
          <w:sz w:val="21"/>
        </w:rPr>
        <w:t>0=S_1⊂ S_2⊂ S_3⊂ S_4=ℝ^3.</w:t>
      </w:r>
    </w:p>
    <w:p>
      <w:r>
        <w:rPr>
          <w:rFonts w:ascii="Noto Sans SC" w:hAnsi="Noto Sans SC" w:eastAsia="Noto Sans SC" w:cs="Noto Sans SC"/>
          <w:b w:val="0"/>
          <w:i w:val="0"/>
          <w:sz w:val="22"/>
        </w:rPr>
        <w:t>四个专家分别接收逐步增加的完整条件块：</w:t>
      </w:r>
    </w:p>
    <w:p>
      <w:pPr>
        <w:pStyle w:val="ListBullet"/>
      </w:pPr>
      <w:r>
        <w:rPr>
          <w:rFonts w:ascii="Noto Sans SC" w:hAnsi="Noto Sans SC" w:eastAsia="Noto Sans SC" w:cs="Noto Sans SC"/>
          <w:b w:val="0"/>
          <w:i w:val="0"/>
          <w:sz w:val="22"/>
        </w:rPr>
        <w:t>专家 1：S_1=0，建模无条件动作先验；</w:t>
      </w:r>
    </w:p>
    <w:p>
      <w:pPr>
        <w:pStyle w:val="ListBullet"/>
      </w:pPr>
      <w:r>
        <w:rPr>
          <w:rFonts w:ascii="Noto Sans SC" w:hAnsi="Noto Sans SC" w:eastAsia="Noto Sans SC" w:cs="Noto Sans SC"/>
          <w:b w:val="0"/>
          <w:i w:val="0"/>
          <w:sz w:val="22"/>
        </w:rPr>
        <w:t>专家 2：S_2=c_1,0,0；</w:t>
      </w:r>
    </w:p>
    <w:p>
      <w:pPr>
        <w:pStyle w:val="ListBullet"/>
      </w:pPr>
      <w:r>
        <w:rPr>
          <w:rFonts w:ascii="Noto Sans SC" w:hAnsi="Noto Sans SC" w:eastAsia="Noto Sans SC" w:cs="Noto Sans SC"/>
          <w:b w:val="0"/>
          <w:i w:val="0"/>
          <w:sz w:val="22"/>
        </w:rPr>
        <w:t>专家 3：S_3=c_1,c_2,0；</w:t>
      </w:r>
    </w:p>
    <w:p>
      <w:pPr>
        <w:pStyle w:val="ListBullet"/>
      </w:pPr>
      <w:r>
        <w:rPr>
          <w:rFonts w:ascii="Noto Sans SC" w:hAnsi="Noto Sans SC" w:eastAsia="Noto Sans SC" w:cs="Noto Sans SC"/>
          <w:b w:val="0"/>
          <w:i w:val="0"/>
          <w:sz w:val="22"/>
        </w:rPr>
        <w:t>专家 4：S_4=c_1,c_2,c_3，使用完整条件。</w:t>
      </w:r>
    </w:p>
    <w:p>
      <w:r>
        <w:rPr>
          <w:rFonts w:ascii="Noto Sans SC" w:hAnsi="Noto Sans SC" w:eastAsia="Noto Sans SC" w:cs="Noto Sans SC"/>
          <w:b w:val="0"/>
          <w:i w:val="0"/>
          <w:sz w:val="22"/>
        </w:rPr>
        <w:t>在具体实现中，条件按零输入、本体状态、历史/特权信息和参考动作逐层加入。每个专家是 MLP，门控网络也是 MLP。</w:t>
      </w:r>
    </w:p>
    <w:p>
      <w:pPr>
        <w:pStyle w:val="Heading3"/>
      </w:pPr>
      <w:r>
        <w:rPr>
          <w:rFonts w:ascii="Noto Sans SC" w:hAnsi="Noto Sans SC" w:eastAsia="Noto Sans SC" w:cs="Noto Sans SC"/>
          <w:b w:val="0"/>
          <w:i w:val="0"/>
          <w:sz w:val="24"/>
        </w:rPr>
        <w:t>4.2 残差式专家融合</w:t>
      </w:r>
    </w:p>
    <w:p>
      <w:r>
        <w:rPr>
          <w:rFonts w:ascii="Noto Sans SC" w:hAnsi="Noto Sans SC" w:eastAsia="Noto Sans SC" w:cs="Noto Sans SC"/>
          <w:b w:val="0"/>
          <w:i w:val="0"/>
          <w:sz w:val="22"/>
        </w:rPr>
        <w:t>普通 MoE 直接对专家输出加权，多个专家容易重复学习相同信息。ΔMoE 不直接融合 a_i，而是融合相邻条件层级带来的增量：</w:t>
      </w:r>
    </w:p>
    <w:p>
      <w:pPr>
        <w:spacing w:before="100" w:after="160"/>
        <w:jc w:val="center"/>
      </w:pPr>
      <w:r>
        <w:rPr>
          <w:rFonts w:ascii="DejaVu Math TeX Gyre" w:hAnsi="DejaVu Math TeX Gyre" w:eastAsia="DejaVu Math TeX Gyre" w:cs="DejaVu Math TeX Gyre"/>
          <w:sz w:val="21"/>
        </w:rPr>
        <w:t>a=w_1a_1+Σ_i=2^4w_i(a_i-a_i-1)=Σ_i=1^4w_iΔ a_i,</w:t>
      </w:r>
    </w:p>
    <w:p>
      <w:r>
        <w:rPr>
          <w:rFonts w:ascii="Noto Sans SC" w:hAnsi="Noto Sans SC" w:eastAsia="Noto Sans SC" w:cs="Noto Sans SC"/>
          <w:b w:val="0"/>
          <w:i w:val="0"/>
          <w:sz w:val="22"/>
        </w:rPr>
        <w:t>其中</w:t>
      </w:r>
    </w:p>
    <w:p>
      <w:pPr>
        <w:spacing w:before="100" w:after="160"/>
        <w:jc w:val="center"/>
      </w:pPr>
      <w:r>
        <w:rPr>
          <w:rFonts w:ascii="DejaVu Math TeX Gyre" w:hAnsi="DejaVu Math TeX Gyre" w:eastAsia="DejaVu Math TeX Gyre" w:cs="DejaVu Math TeX Gyre"/>
          <w:sz w:val="21"/>
        </w:rPr>
        <w:t>Δ a_i=E[a| c_S_i]-E[a| c_S_i-1].</w:t>
      </w:r>
    </w:p>
    <w:p>
      <w:r>
        <w:rPr>
          <w:rFonts w:ascii="Noto Sans SC" w:hAnsi="Noto Sans SC" w:eastAsia="Noto Sans SC" w:cs="Noto Sans SC"/>
          <w:b w:val="0"/>
          <w:i w:val="0"/>
          <w:sz w:val="22"/>
        </w:rPr>
        <w:t>Δ a_i 表示加入第 i 个条件块后新增的信息。作者把它类比为无分类器引导（CFG）中条件分布相对无条件分布的残差引导项。这样每个专家不必竞争同一信号，而是学习互不重叠的条件增量。门控网络输出归一化权重 w_i，决定当前状态下各增量的贡献。</w:t>
      </w:r>
    </w:p>
    <w:p>
      <w:r>
        <w:rPr>
          <w:rFonts w:ascii="Noto Sans SC" w:hAnsi="Noto Sans SC" w:eastAsia="Noto Sans SC" w:cs="Noto Sans SC"/>
          <w:b w:val="0"/>
          <w:i w:val="0"/>
          <w:sz w:val="22"/>
        </w:rPr>
        <w:t>教师策略以 PPO 训练，输入机器人本体状态、参考跟踪目标和特权信息，输出 23 维目标关节位置。价值网络同时使用本体与特权信息。</w:t>
      </w:r>
    </w:p>
    <w:p>
      <w:pPr>
        <w:pStyle w:val="Heading2"/>
      </w:pPr>
      <w:r>
        <w:rPr>
          <w:rFonts w:ascii="Noto Sans SC" w:hAnsi="Noto Sans SC" w:eastAsia="Noto Sans SC" w:cs="Noto Sans SC"/>
          <w:b w:val="0"/>
          <w:i w:val="0"/>
          <w:sz w:val="26"/>
        </w:rPr>
        <w:t>5. 音频—动作对齐</w:t>
      </w:r>
    </w:p>
    <w:p>
      <w:r>
        <w:rPr>
          <w:rFonts w:ascii="Noto Sans SC" w:hAnsi="Noto Sans SC" w:eastAsia="Noto Sans SC" w:cs="Noto Sans SC"/>
          <w:b w:val="0"/>
          <w:i w:val="0"/>
          <w:sz w:val="22"/>
        </w:rPr>
        <w:t>直接把音频特征拼入策略并不能保证其包含可控制机器人的运动学信息。论文训练一个 6 层、4 头 Transformer 适配器，加入时序注意力以建模节拍和韵律。动作潜变量来自一个 9 层、4 头 Transformer VAE。</w:t>
      </w:r>
    </w:p>
    <w:p>
      <w:r>
        <w:rPr>
          <w:rFonts w:ascii="Noto Sans SC" w:hAnsi="Noto Sans SC" w:eastAsia="Noto Sans SC" w:cs="Noto Sans SC"/>
          <w:b w:val="0"/>
          <w:i w:val="0"/>
          <w:sz w:val="22"/>
        </w:rPr>
        <w:t>给定一批 N 对音频—动作潜变量 (l_audio^(i),l_motion^(i))_i=1^N，配对 (i,i) 为正样本，其他 (i,j) 为负样本。对归一化潜变量使用带温度 τ 的缩放余弦相似度：</w:t>
      </w:r>
    </w:p>
    <w:p>
      <w:pPr>
        <w:spacing w:before="100" w:after="160"/>
        <w:jc w:val="center"/>
      </w:pPr>
      <w:r>
        <w:rPr>
          <w:rFonts w:ascii="DejaVu Math TeX Gyre" w:hAnsi="DejaVu Math TeX Gyre" w:eastAsia="DejaVu Math TeX Gyre" w:cs="DejaVu Math TeX Gyre"/>
          <w:sz w:val="21"/>
        </w:rPr>
        <w:t>sim(u,v)=u^ v/τ.</w:t>
      </w:r>
    </w:p>
    <w:p>
      <w:r>
        <w:rPr>
          <w:rFonts w:ascii="Noto Sans SC" w:hAnsi="Noto Sans SC" w:eastAsia="Noto Sans SC" w:cs="Noto Sans SC"/>
          <w:b w:val="0"/>
          <w:i w:val="0"/>
          <w:sz w:val="22"/>
        </w:rPr>
        <w:t>InfoNCE 损失为</w:t>
      </w:r>
    </w:p>
    <w:p>
      <w:pPr>
        <w:spacing w:before="100" w:after="160"/>
        <w:jc w:val="center"/>
      </w:pPr>
      <w:r>
        <w:rPr>
          <w:rFonts w:ascii="DejaVu Math TeX Gyre" w:hAnsi="DejaVu Math TeX Gyre" w:eastAsia="DejaVu Math TeX Gyre" w:cs="DejaVu Math TeX Gyre"/>
          <w:sz w:val="21"/>
        </w:rPr>
        <w:t>L_InfoNCE=-1NΣ_i=1^Nlogexp(sim(l_audio^(i),l_motion^(i)))Σ_j=1^Nexp(sim(l_audio^(i),l_motion^(j))). 式1</w:t>
      </w:r>
    </w:p>
    <w:p>
      <w:r>
        <w:rPr>
          <w:rFonts w:ascii="Noto Sans SC" w:hAnsi="Noto Sans SC" w:eastAsia="Noto Sans SC" w:cs="Noto Sans SC"/>
          <w:b w:val="0"/>
          <w:i w:val="0"/>
          <w:sz w:val="22"/>
        </w:rPr>
        <w:t>它把音频潜变量拉近对应动作潜变量、推离无关动作，从而把运动学先验注入音频表示。FineDance 已提供音乐特征，论文不训练音乐编码器；BEAT2 语音则使用 EMAGE 的时序卷积网络提取特征。</w:t>
      </w:r>
    </w:p>
    <w:p>
      <w:pPr>
        <w:pStyle w:val="Heading2"/>
      </w:pPr>
      <w:r>
        <w:rPr>
          <w:rFonts w:ascii="Noto Sans SC" w:hAnsi="Noto Sans SC" w:eastAsia="Noto Sans SC" w:cs="Noto Sans SC"/>
          <w:b w:val="0"/>
          <w:i w:val="0"/>
          <w:sz w:val="26"/>
        </w:rPr>
        <w:t>6. 音频条件扩散学生策略</w:t>
      </w:r>
    </w:p>
    <w:p>
      <w:r>
        <w:rPr>
          <w:rFonts w:ascii="Noto Sans SC" w:hAnsi="Noto Sans SC" w:eastAsia="Noto Sans SC" w:cs="Noto Sans SC"/>
          <w:b w:val="0"/>
          <w:i w:val="0"/>
          <w:sz w:val="22"/>
        </w:rPr>
        <w:t>学生看不到显式参考动作和特权信息。其输入包括：</w:t>
      </w:r>
    </w:p>
    <w:p>
      <w:pPr>
        <w:pStyle w:val="ListBullet"/>
      </w:pPr>
      <w:r>
        <w:rPr>
          <w:rFonts w:ascii="Noto Sans SC" w:hAnsi="Noto Sans SC" w:eastAsia="Noto Sans SC" w:cs="Noto Sans SC"/>
          <w:b w:val="0"/>
          <w:i w:val="0"/>
          <w:sz w:val="22"/>
        </w:rPr>
        <w:t>25 帧历史加当前帧的本体状态，共 75×26 维；</w:t>
      </w:r>
    </w:p>
    <w:p>
      <w:pPr>
        <w:pStyle w:val="ListBullet"/>
      </w:pPr>
      <w:r>
        <w:rPr>
          <w:rFonts w:ascii="Noto Sans SC" w:hAnsi="Noto Sans SC" w:eastAsia="Noto Sans SC" w:cs="Noto Sans SC"/>
          <w:b w:val="0"/>
          <w:i w:val="0"/>
          <w:sz w:val="22"/>
        </w:rPr>
        <w:t>64 维内容动作潜变量；</w:t>
      </w:r>
    </w:p>
    <w:p>
      <w:pPr>
        <w:pStyle w:val="ListBullet"/>
      </w:pPr>
      <w:r>
        <w:rPr>
          <w:rFonts w:ascii="Noto Sans SC" w:hAnsi="Noto Sans SC" w:eastAsia="Noto Sans SC" w:cs="Noto Sans SC"/>
          <w:b w:val="0"/>
          <w:i w:val="0"/>
          <w:sz w:val="22"/>
        </w:rPr>
        <w:t>256 维经适配器对齐的音频潜变量。</w:t>
      </w:r>
    </w:p>
    <w:p>
      <w:r>
        <w:rPr>
          <w:rFonts w:ascii="Noto Sans SC" w:hAnsi="Noto Sans SC" w:eastAsia="Noto Sans SC" w:cs="Noto Sans SC"/>
          <w:b w:val="0"/>
          <w:i w:val="0"/>
          <w:sz w:val="22"/>
        </w:rPr>
        <w:t>总输入维度为 2,270。扩散骨干是 4 层 MLP，条件通过 AdaLN 注入，末层投影到 23 维动作空间。</w:t>
      </w:r>
    </w:p>
    <w:p>
      <w:r>
        <w:rPr>
          <w:rFonts w:ascii="Noto Sans SC" w:hAnsi="Noto Sans SC" w:eastAsia="Noto Sans SC" w:cs="Noto Sans SC"/>
          <w:b w:val="0"/>
          <w:i w:val="0"/>
          <w:sz w:val="22"/>
        </w:rPr>
        <w:t>内容潜变量作为主去噪条件，音频风格潜变量在多个扩散层逐步注入：</w:t>
      </w:r>
    </w:p>
    <w:p>
      <w:pPr>
        <w:spacing w:before="100" w:after="160"/>
        <w:jc w:val="center"/>
      </w:pPr>
      <w:r>
        <w:rPr>
          <w:rFonts w:ascii="DejaVu Math TeX Gyre" w:hAnsi="DejaVu Math TeX Gyre" w:eastAsia="DejaVu Math TeX Gyre" w:cs="DejaVu Math TeX Gyre"/>
          <w:sz w:val="21"/>
        </w:rPr>
        <w:t>o_i=Layer_i(o_i-1,l_motion+α l_audio). 式2</w:t>
      </w:r>
    </w:p>
    <w:p>
      <w:r>
        <w:rPr>
          <w:rFonts w:ascii="Noto Sans SC" w:hAnsi="Noto Sans SC" w:eastAsia="Noto Sans SC" w:cs="Noto Sans SC"/>
          <w:b w:val="0"/>
          <w:i w:val="0"/>
          <w:sz w:val="22"/>
        </w:rPr>
        <w:t>作者使用类似 DAgger 的训练：让学生在仿真中滚动，在学生访问到的状态上查询教师最优动作 a。前向扩散在 T 个时间步给动作加入高斯噪声：</w:t>
      </w:r>
    </w:p>
    <w:p>
      <w:pPr>
        <w:spacing w:before="100" w:after="160"/>
        <w:jc w:val="center"/>
      </w:pPr>
      <w:r>
        <w:rPr>
          <w:rFonts w:ascii="DejaVu Math TeX Gyre" w:hAnsi="DejaVu Math TeX Gyre" w:eastAsia="DejaVu Math TeX Gyre" w:cs="DejaVu Math TeX Gyre"/>
          <w:sz w:val="21"/>
        </w:rPr>
        <w:t>x_t=√(α_t)a+√(1-α_t)ε.</w:t>
      </w:r>
    </w:p>
    <w:p>
      <w:r>
        <w:rPr>
          <w:rFonts w:ascii="Noto Sans SC" w:hAnsi="Noto Sans SC" w:eastAsia="Noto Sans SC" w:cs="Noto Sans SC"/>
          <w:b w:val="0"/>
          <w:i w:val="0"/>
          <w:sz w:val="22"/>
        </w:rPr>
        <w:t>采用 x_0 预测而不是噪声预测。由网络恢复动作</w:t>
      </w:r>
    </w:p>
    <w:p>
      <w:pPr>
        <w:spacing w:before="100" w:after="160"/>
        <w:jc w:val="center"/>
      </w:pPr>
      <w:r>
        <w:rPr>
          <w:rFonts w:ascii="DejaVu Math TeX Gyre" w:hAnsi="DejaVu Math TeX Gyre" w:eastAsia="DejaVu Math TeX Gyre" w:cs="DejaVu Math TeX Gyre"/>
          <w:sz w:val="21"/>
        </w:rPr>
        <w:t>a_t=x_t-√(1-α_t)ε_θ(x_t,t)√(α_t),</w:t>
      </w:r>
    </w:p>
    <w:p>
      <w:r>
        <w:rPr>
          <w:rFonts w:ascii="Noto Sans SC" w:hAnsi="Noto Sans SC" w:eastAsia="Noto Sans SC" w:cs="Noto Sans SC"/>
          <w:b w:val="0"/>
          <w:i w:val="0"/>
          <w:sz w:val="22"/>
        </w:rPr>
        <w:t>并最小化 |a- a_t|_2^2。部署时使用两步确定性 DDIM，实现约 5.3 ms 的单动作推理时间。</w:t>
      </w:r>
    </w:p>
    <w:p>
      <w:pPr>
        <w:pStyle w:val="Heading2"/>
      </w:pPr>
      <w:r>
        <w:rPr>
          <w:rFonts w:ascii="Noto Sans SC" w:hAnsi="Noto Sans SC" w:eastAsia="Noto Sans SC" w:cs="Noto Sans SC"/>
          <w:b w:val="0"/>
          <w:i w:val="0"/>
          <w:sz w:val="26"/>
        </w:rPr>
        <w:t>7. 教师训练与物理约束</w:t>
      </w:r>
    </w:p>
    <w:p>
      <w:r>
        <w:rPr>
          <w:rFonts w:ascii="Noto Sans SC" w:hAnsi="Noto Sans SC" w:eastAsia="Noto Sans SC" w:cs="Noto Sans SC"/>
          <w:b w:val="0"/>
          <w:i w:val="0"/>
          <w:sz w:val="22"/>
        </w:rPr>
        <w:t>教师采用 IsaacGym 大规模 PPO 训练，并通过 PHC 重定向后的参考动作执行全身跟踪。参考状态初始化 RSI 在 [0,1] 内均匀采样动作相位，使策略能并行学习复杂序列的不同片段。</w:t>
      </w:r>
    </w:p>
    <w:p>
      <w:r>
        <w:rPr>
          <w:rFonts w:ascii="Noto Sans SC" w:hAnsi="Noto Sans SC" w:eastAsia="Noto Sans SC" w:cs="Noto Sans SC"/>
          <w:b w:val="0"/>
          <w:i w:val="0"/>
          <w:sz w:val="22"/>
        </w:rPr>
        <w:t>奖励包含关节位置/速度、身体位置/旋转/速度/角速度、三个 VR 身体点、足部位置、最大关节误差与接触掩码等跟踪项；正则项包括软关节位置/速度/力矩限制、脚滑、足端力、腾空时间、绊倒、力矩、动作变化率、碰撞和终止惩罚。</w:t>
      </w:r>
    </w:p>
    <w:p>
      <w:r>
        <w:rPr>
          <w:rFonts w:ascii="Noto Sans SC" w:hAnsi="Noto Sans SC" w:eastAsia="Noto Sans SC" w:cs="Noto Sans SC"/>
          <w:b w:val="0"/>
          <w:i w:val="0"/>
          <w:sz w:val="22"/>
        </w:rPr>
        <w:t>系统使用两种课程：终止阈值由宽到严递减；惩罚缩放由 0.1 逐步增至 1.0。跟踪奖励采用带自适应 σ 的有界指数形式 exp(-x^2/σ^2)，增强训练稳定性。</w:t>
      </w:r>
    </w:p>
    <w:p>
      <w:r>
        <w:rPr>
          <w:rFonts w:ascii="Noto Sans SC" w:hAnsi="Noto Sans SC" w:eastAsia="Noto Sans SC" w:cs="Noto Sans SC"/>
          <w:b w:val="0"/>
          <w:i w:val="0"/>
          <w:sz w:val="22"/>
        </w:rPr>
        <w:t>域随机化覆盖摩擦、PD 增益、连杆质量、踝关节惯量、基座质心偏移、外力、控制延迟，并加入随机推力。训练后零样本迁移到 MuJoCo，再部署到 Unitree G1。</w:t>
      </w:r>
    </w:p>
    <w:p>
      <w:pPr>
        <w:pStyle w:val="Heading2"/>
      </w:pPr>
      <w:r>
        <w:rPr>
          <w:rFonts w:ascii="Noto Sans SC" w:hAnsi="Noto Sans SC" w:eastAsia="Noto Sans SC" w:cs="Noto Sans SC"/>
          <w:b w:val="0"/>
          <w:i w:val="0"/>
          <w:sz w:val="26"/>
        </w:rPr>
        <w:t>8. 实验设计与结论</w:t>
      </w:r>
    </w:p>
    <w:p>
      <w:r>
        <w:rPr>
          <w:rFonts w:ascii="Noto Sans SC" w:hAnsi="Noto Sans SC" w:eastAsia="Noto Sans SC" w:cs="Noto Sans SC"/>
          <w:b w:val="0"/>
          <w:i w:val="0"/>
          <w:sz w:val="22"/>
        </w:rPr>
        <w:t>训练数据包括 7.7 小时 FineDance 舞蹈数据与 76 小时、30 位说话者的 BEAT2 共语手势数据。动作统一为 30 FPS，音频和动作切分为 10 秒片段。</w:t>
      </w:r>
    </w:p>
    <w:p>
      <w:r>
        <w:rPr>
          <w:rFonts w:ascii="Noto Sans SC" w:hAnsi="Noto Sans SC" w:eastAsia="Noto Sans SC" w:cs="Noto Sans SC"/>
          <w:b w:val="0"/>
          <w:i w:val="0"/>
          <w:sz w:val="22"/>
        </w:rPr>
        <w:t>评价分两类：音频—动作检索用 R@1/R@2/R@3 和 MM-Dist；控制用成功率、关节旋转误差 E_MPJPE 和关键身体位置误差 E_MPKPE，并使用节拍对齐分数 BAS。</w:t>
      </w:r>
    </w:p>
    <w:p>
      <w:r>
        <w:rPr>
          <w:rFonts w:ascii="Noto Sans SC" w:hAnsi="Noto Sans SC" w:eastAsia="Noto Sans SC" w:cs="Noto Sans SC"/>
          <w:b w:val="0"/>
          <w:i w:val="0"/>
          <w:sz w:val="22"/>
        </w:rPr>
        <w:t>主要发现：</w:t>
      </w:r>
    </w:p>
    <w:p>
      <w:pPr>
        <w:pStyle w:val="ListBullet"/>
      </w:pPr>
      <w:r>
        <w:rPr>
          <w:rFonts w:ascii="Noto Sans SC" w:hAnsi="Noto Sans SC" w:eastAsia="Noto Sans SC" w:cs="Noto Sans SC"/>
          <w:b w:val="0"/>
          <w:i w:val="0"/>
          <w:sz w:val="22"/>
        </w:rPr>
        <w:t>音频适配器在音乐—动作检索上达到 R@1/2/3=66.7/78.8/83.5，在语音—动作上达到 64.6/76.5/82.1；</w:t>
      </w:r>
    </w:p>
    <w:p>
      <w:pPr>
        <w:pStyle w:val="ListBullet"/>
      </w:pPr>
      <w:r>
        <w:rPr>
          <w:rFonts w:ascii="Noto Sans SC" w:hAnsi="Noto Sans SC" w:eastAsia="Noto Sans SC" w:cs="Noto Sans SC"/>
          <w:b w:val="0"/>
          <w:i w:val="0"/>
          <w:sz w:val="22"/>
        </w:rPr>
        <w:t>音频直控相对“先生成动作、再 PBHC 重定向、再 MLP 跟踪”的基线具有更低延迟和更小误差；</w:t>
      </w:r>
    </w:p>
    <w:p>
      <w:pPr>
        <w:pStyle w:val="ListBullet"/>
      </w:pPr>
      <w:r>
        <w:rPr>
          <w:rFonts w:ascii="Noto Sans SC" w:hAnsi="Noto Sans SC" w:eastAsia="Noto Sans SC" w:cs="Noto Sans SC"/>
          <w:b w:val="0"/>
          <w:i w:val="0"/>
          <w:sz w:val="22"/>
        </w:rPr>
        <w:t>ΔMoE 比普通 MoE 在 IsaacGym 与 MuJoCo 上一致提高成功率并降低误差；</w:t>
      </w:r>
    </w:p>
    <w:p>
      <w:pPr>
        <w:pStyle w:val="ListBullet"/>
      </w:pPr>
      <w:r>
        <w:rPr>
          <w:rFonts w:ascii="Noto Sans SC" w:hAnsi="Noto Sans SC" w:eastAsia="Noto Sans SC" w:cs="Noto Sans SC"/>
          <w:b w:val="0"/>
          <w:i w:val="0"/>
          <w:sz w:val="22"/>
        </w:rPr>
        <w:t>内容潜变量不可省略，音频主要作为风格调制而非完整动作内容；</w:t>
      </w:r>
    </w:p>
    <w:p>
      <w:pPr>
        <w:pStyle w:val="ListBullet"/>
      </w:pPr>
      <w:r>
        <w:rPr>
          <w:rFonts w:ascii="Noto Sans SC" w:hAnsi="Noto Sans SC" w:eastAsia="Noto Sans SC" w:cs="Noto Sans SC"/>
          <w:b w:val="0"/>
          <w:i w:val="0"/>
          <w:sz w:val="22"/>
        </w:rPr>
        <w:t>音频适配器显著提高成功率、跟踪精度和节拍对齐；</w:t>
      </w:r>
    </w:p>
    <w:p>
      <w:pPr>
        <w:pStyle w:val="ListBullet"/>
      </w:pPr>
      <w:r>
        <w:rPr>
          <w:rFonts w:ascii="Noto Sans SC" w:hAnsi="Noto Sans SC" w:eastAsia="Noto Sans SC" w:cs="Noto Sans SC"/>
          <w:b w:val="0"/>
          <w:i w:val="0"/>
          <w:sz w:val="22"/>
        </w:rPr>
        <w:t>四专家、两步确定性 DDIM、β_max=0.20、x_0 预测是最佳配置；</w:t>
      </w:r>
    </w:p>
    <w:p>
      <w:pPr>
        <w:pStyle w:val="ListBullet"/>
      </w:pPr>
      <w:r>
        <w:rPr>
          <w:rFonts w:ascii="Noto Sans SC" w:hAnsi="Noto Sans SC" w:eastAsia="Noto Sans SC" w:cs="Noto Sans SC"/>
          <w:b w:val="0"/>
          <w:i w:val="0"/>
          <w:sz w:val="22"/>
        </w:rPr>
        <w:t>学生策略可从 IsaacGym 零样本迁移到 MuJoCo，并在 Unitree G1 上以 50 Hz 高层控制、500 Hz 低层控制运行。</w:t>
      </w:r>
    </w:p>
    <w:p>
      <w:pPr>
        <w:pStyle w:val="Heading2"/>
      </w:pPr>
      <w:r>
        <w:rPr>
          <w:rFonts w:ascii="Noto Sans SC" w:hAnsi="Noto Sans SC" w:eastAsia="Noto Sans SC" w:cs="Noto Sans SC"/>
          <w:b w:val="0"/>
          <w:i w:val="0"/>
          <w:sz w:val="26"/>
        </w:rPr>
        <w:t>9. 方法边界</w:t>
      </w:r>
    </w:p>
    <w:p>
      <w:r>
        <w:rPr>
          <w:rFonts w:ascii="Noto Sans SC" w:hAnsi="Noto Sans SC" w:eastAsia="Noto Sans SC" w:cs="Noto Sans SC"/>
          <w:b w:val="0"/>
          <w:i w:val="0"/>
          <w:sz w:val="22"/>
        </w:rPr>
        <w:t>论文实现的是“固定任务内容 + 音频风格调制”。舞蹈内容文本固定为“一个人在随音乐跳舞”，演讲内容固定为“一个人在演讲”。因此，它主要证明不同音乐/语音可以驱动节奏、韵律和风格变化，并没有证明任意音频能够决定任意复杂动作语义。</w:t>
      </w:r>
    </w:p>
    <w:p>
      <w:r>
        <w:rPr>
          <w:rFonts w:ascii="Noto Sans SC" w:hAnsi="Noto Sans SC" w:eastAsia="Noto Sans SC" w:cs="Noto Sans SC"/>
          <w:b w:val="0"/>
          <w:i w:val="0"/>
          <w:sz w:val="22"/>
        </w:rPr>
        <w:t>此外，学生推理链路无显式重定向，但教师参考仍依赖动作数据处理和 PHC 重定向；物理合理性主要由教师跟踪器、奖励设计、仿真训练和蒸馏获得。论文给出了真实机器人定性演示，但大部分定量评估仍在 IsaacGym/MuJoCo 中。</w:t>
      </w:r>
    </w:p>
    <w:p>
      <w:pPr>
        <w:pStyle w:val="Heading1"/>
        <w:pageBreakBefore/>
      </w:pPr>
      <w:r>
        <w:rPr>
          <w:rFonts w:ascii="Noto Sans SC" w:hAnsi="Noto Sans SC" w:eastAsia="Noto Sans SC" w:cs="Noto Sans SC"/>
          <w:b w:val="0"/>
          <w:i w:val="0"/>
          <w:sz w:val="32"/>
        </w:rPr>
        <w:t>第二部分 全文中文翻译</w:t>
      </w:r>
    </w:p>
    <w:p>
      <w:pPr>
        <w:pStyle w:val="Heading2"/>
      </w:pPr>
      <w:r>
        <w:rPr>
          <w:rFonts w:ascii="Noto Sans SC" w:hAnsi="Noto Sans SC" w:eastAsia="Noto Sans SC" w:cs="Noto Sans SC"/>
          <w:b w:val="0"/>
          <w:i w:val="0"/>
          <w:sz w:val="26"/>
        </w:rPr>
        <w:t>摘要</w:t>
      </w:r>
    </w:p>
    <w:p>
      <w:r>
        <w:rPr>
          <w:rFonts w:ascii="Noto Sans SC" w:hAnsi="Noto Sans SC" w:eastAsia="Noto Sans SC" w:cs="Noto Sans SC"/>
          <w:b w:val="0"/>
          <w:i w:val="0"/>
          <w:sz w:val="22"/>
        </w:rPr>
        <w:t>人类会本能地随声音运动，但当前人形机器人缺乏富有表现力的即兴能力，往往局限于预定义动作或稀疏命令。先由音频生成人体动作，再将其重定向到机器人，需要显式重建动作，容易带来级联误差、高延迟以及声学信息与驱动信号之间的割裂映射。本文提出 RoboPerform，据作者所知，这是首个统一的音频到运动框架，能够直接从音频生成音乐驱动舞蹈与语音驱动共语手势。</w:t>
      </w:r>
    </w:p>
    <w:p>
      <w:r>
        <w:rPr>
          <w:rFonts w:ascii="Noto Sans SC" w:hAnsi="Noto Sans SC" w:eastAsia="Noto Sans SC" w:cs="Noto Sans SC"/>
          <w:b w:val="0"/>
          <w:i w:val="0"/>
          <w:sz w:val="22"/>
        </w:rPr>
        <w:t>在“动作 = 内容 + 风格”的核心原则指导下，框架把音频视为隐式风格信号，消除部署时显式动作重建的需要。RoboPerform 结合了用于适配不同动作模式的 ResMoE/ΔMoE 教师策略，以及用于音频风格注入的扩散学生策略。该无重定向推理设计保证低延迟与高保真。实验表明，RoboPerform 在物理合理性和音频对齐方面取得良好结果，能够把机器人转变为对声音做出反应的表演者。</w:t>
      </w:r>
    </w:p>
    <w:p>
      <w:r>
        <w:rPr>
          <w:rFonts w:ascii="Noto Sans SC" w:hAnsi="Noto Sans SC" w:eastAsia="Noto Sans SC" w:cs="Noto Sans SC"/>
          <w:b/>
          <w:i w:val="0"/>
          <w:sz w:val="22"/>
        </w:rPr>
        <w:t>图1 RoboPerform 使人形机器人成为舞者和演讲者。</w:t>
      </w:r>
      <w:r>
        <w:rPr>
          <w:rFonts w:ascii="Noto Sans SC" w:hAnsi="Noto Sans SC" w:eastAsia="Noto Sans SC" w:cs="Noto Sans SC"/>
          <w:b w:val="0"/>
          <w:i w:val="0"/>
          <w:sz w:val="22"/>
        </w:rPr>
        <w:t xml:space="preserve"> 系统以音频控制机器人运动，策略根据语音或音乐生成节奏对齐的共语手势和舞蹈动作。</w:t>
      </w:r>
    </w:p>
    <w:p>
      <w:pPr>
        <w:pStyle w:val="Heading2"/>
      </w:pPr>
      <w:r>
        <w:rPr>
          <w:rFonts w:ascii="Noto Sans SC" w:hAnsi="Noto Sans SC" w:eastAsia="Noto Sans SC" w:cs="Noto Sans SC"/>
          <w:b w:val="0"/>
          <w:i w:val="0"/>
          <w:sz w:val="26"/>
        </w:rPr>
        <w:t>1 引言</w:t>
      </w:r>
    </w:p>
    <w:p>
      <w:r>
        <w:rPr>
          <w:rFonts w:ascii="Noto Sans SC" w:hAnsi="Noto Sans SC" w:eastAsia="Noto Sans SC" w:cs="Noto Sans SC"/>
          <w:b w:val="0"/>
          <w:i w:val="0"/>
          <w:sz w:val="22"/>
        </w:rPr>
        <w:t>人会随声音运动。鼓点会引出迈步，上升旋律会促使跳跃，讲话中的重音会自然带出手势。这些反应并非单纯的运动学模仿，而来自对节奏、乐句和意图的内在理解，是感知先于模仿的过程。相比之下，当前大多数人形机器人运动系统要么被限制为模仿预定义动作片段，要么只能服从稀疏语言指令。它们适合简单脚本，却缺乏富有表现力、依赖语境的控制能力，也绕开了表演型机器人的关键问题：你会即兴发挥吗？</w:t>
      </w:r>
    </w:p>
    <w:p>
      <w:r>
        <w:rPr>
          <w:rFonts w:ascii="Noto Sans SC" w:hAnsi="Noto Sans SC" w:eastAsia="Noto Sans SC" w:cs="Noto Sans SC"/>
          <w:b w:val="0"/>
          <w:i w:val="0"/>
          <w:sz w:val="22"/>
        </w:rPr>
        <w:t>我们认为，人形机器人运动从根本上是一个生成问题：给定条件信号，合成物理上合理、风格一致且语义有依据的动作。这一视角允许使用文本和动捕之外更丰富的模态，尤其是具有密集时间结构、传输却很紧凑的音频。音乐中的节拍、速度和音色塑造动作风格；语音中的韵律、重音和话语节奏提示共语手势。把音频作为一等控制信号，可使机器人从复现者变成表演者：从机械重放舞姿转为随配乐即兴；从照本宣科转为带有身体手势的表达。</w:t>
      </w:r>
    </w:p>
    <w:p>
      <w:r>
        <w:rPr>
          <w:rFonts w:ascii="Noto Sans SC" w:hAnsi="Noto Sans SC" w:eastAsia="Noto Sans SC" w:cs="Noto Sans SC"/>
          <w:b w:val="0"/>
          <w:i w:val="0"/>
          <w:sz w:val="22"/>
        </w:rPr>
        <w:t>然而，主流流水线并不适合音频条件控制。先用音频动作生成器显式生成人体动作，再由控制器重定向并跟踪到机器人，会固有地产生三个系统问题。第一，解码、重定向和跟踪间的级联误差损害表现保真度与物理一致性。第二，多阶段顺序处理带来显著推理延迟，阻碍实际部署和快速迭代。第三，高层声学线索与低层关节驱动松散耦合，各模块独立优化，难以保留风格、时间和动力学等细粒度表现。</w:t>
      </w:r>
    </w:p>
    <w:p>
      <w:r>
        <w:rPr>
          <w:rFonts w:ascii="Noto Sans SC" w:hAnsi="Noto Sans SC" w:eastAsia="Noto Sans SC" w:cs="Noto Sans SC"/>
          <w:b w:val="0"/>
          <w:i w:val="0"/>
          <w:sz w:val="22"/>
        </w:rPr>
        <w:t>由此产生更直接的思路：绕过显式动作重建，直接编码原始音频，把节拍、韵律和能量包络等风格元素作为隐式控制信号，调制并细化人形机器人运动。</w:t>
      </w:r>
    </w:p>
    <w:p>
      <w:r>
        <w:rPr>
          <w:rFonts w:ascii="Noto Sans SC" w:hAnsi="Noto Sans SC" w:eastAsia="Noto Sans SC" w:cs="Noto Sans SC"/>
          <w:b w:val="0"/>
          <w:i w:val="0"/>
          <w:sz w:val="22"/>
        </w:rPr>
        <w:t>核心洞见是“动作 = 内容 + 风格”。基于潜在动作表示，我们把内容定义为由文本到动作模型从文本命令编码的高层动作潜变量，用来指定核心任务，例如“一个人在跳舞”；把风格定义为音频信号，例如音乐节拍或语音韵律，它决定任务怎样执行。</w:t>
      </w:r>
    </w:p>
    <w:p>
      <w:r>
        <w:rPr>
          <w:rFonts w:ascii="Noto Sans SC" w:hAnsi="Noto Sans SC" w:eastAsia="Noto Sans SC" w:cs="Noto Sans SC"/>
          <w:b w:val="0"/>
          <w:i w:val="0"/>
          <w:sz w:val="22"/>
        </w:rPr>
        <w:t>RoboPerform 是实现这种分解的教师—学生框架。教师策略使用 ΔMoE 残差专家混合架构，不同专家专门处理不同动作模式并相互补充；随后把知识蒸馏到扩散生成器形式的学生策略。学生明确分解生成过程：以内容潜变量为条件保持核心任务，同时注入音频驱动的风格潜变量。这样，机器人既能执行核心任务，又能使动作精确对齐声学细节，例如步伐同步节拍、细微手势对齐语音韵律。</w:t>
      </w:r>
    </w:p>
    <w:p>
      <w:r>
        <w:rPr>
          <w:rFonts w:ascii="Noto Sans SC" w:hAnsi="Noto Sans SC" w:eastAsia="Noto Sans SC" w:cs="Noto Sans SC"/>
          <w:b w:val="0"/>
          <w:i w:val="0"/>
          <w:sz w:val="22"/>
        </w:rPr>
        <w:t>具体而言，RoboPerform 用两类潜变量引导扩散策略：定义核心任务的高层内容潜变量，以及编码运动学和韵律细节的时间对齐风格潜变量。两者作为表现锚点，引导学生策略去噪得到人形机器人可执行动作。该潜变量驱动、无重定向推理设计提高整体推理效率与动作保真度，并借助动作潜空间保证细粒度时间对齐。系统可扩展到由节奏和流派控制的即兴舞蹈，以及改善表达清晰度和参与感的主持人式共语手势。</w:t>
      </w:r>
    </w:p>
    <w:p>
      <w:r>
        <w:rPr>
          <w:rFonts w:ascii="Noto Sans SC" w:hAnsi="Noto Sans SC" w:eastAsia="Noto Sans SC" w:cs="Noto Sans SC"/>
          <w:b w:val="0"/>
          <w:i w:val="0"/>
          <w:sz w:val="22"/>
        </w:rPr>
        <w:t>大量实验在音乐到舞蹈和语音到手势任务上验证了有效性与实用性。RoboPerform 生成时间对齐、物理合理的动作，实现更平滑的风格控制，并比重定向流水线具有显著更高的推理效率。简言之，它以音频重新组织人形机器人控制，使系统从动作重放走向响应式表演。</w:t>
      </w:r>
    </w:p>
    <w:p>
      <w:r>
        <w:rPr>
          <w:rFonts w:ascii="Noto Sans SC" w:hAnsi="Noto Sans SC" w:eastAsia="Noto Sans SC" w:cs="Noto Sans SC"/>
          <w:b w:val="0"/>
          <w:i w:val="0"/>
          <w:sz w:val="22"/>
        </w:rPr>
        <w:t>本文贡献如下：</w:t>
      </w:r>
    </w:p>
    <w:p>
      <w:pPr>
        <w:pStyle w:val="ListNumber"/>
        <w:numPr>
          <w:ilvl w:val="0"/>
          <w:numId w:val="12"/>
        </w:numPr>
      </w:pPr>
      <w:r>
        <w:rPr>
          <w:rFonts w:ascii="Noto Sans SC" w:hAnsi="Noto Sans SC" w:eastAsia="Noto Sans SC" w:cs="Noto Sans SC"/>
          <w:b w:val="0"/>
          <w:i w:val="0"/>
          <w:sz w:val="22"/>
        </w:rPr>
        <w:t>据作者所知，RoboPerform 首次把音频作为隐式控制模态，用于统一的人形机器人运动和手势表达，把听到的声音与机器人如何运动连接起来。</w:t>
      </w:r>
    </w:p>
    <w:p>
      <w:pPr>
        <w:pStyle w:val="ListNumber"/>
        <w:numPr>
          <w:ilvl w:val="0"/>
          <w:numId w:val="12"/>
        </w:numPr>
      </w:pPr>
      <w:r>
        <w:rPr>
          <w:rFonts w:ascii="Noto Sans SC" w:hAnsi="Noto Sans SC" w:eastAsia="Noto Sans SC" w:cs="Noto Sans SC"/>
          <w:b w:val="0"/>
          <w:i w:val="0"/>
          <w:sz w:val="22"/>
        </w:rPr>
        <w:t>教师中的 ΔMoE 通过专家混合适配多样动作模式；学生把动作拆为内容和风格，把音频风格信号注入扩散生成器，保持时间保真并降低端到端延迟。</w:t>
      </w:r>
    </w:p>
    <w:p>
      <w:pPr>
        <w:pStyle w:val="ListNumber"/>
        <w:numPr>
          <w:ilvl w:val="0"/>
          <w:numId w:val="12"/>
        </w:numPr>
      </w:pPr>
      <w:r>
        <w:rPr>
          <w:rFonts w:ascii="Noto Sans SC" w:hAnsi="Noto Sans SC" w:eastAsia="Noto Sans SC" w:cs="Noto Sans SC"/>
          <w:b w:val="0"/>
          <w:i w:val="0"/>
          <w:sz w:val="22"/>
        </w:rPr>
        <w:t>在音乐到舞蹈和语音到手势任务上的实验表明，系统可以生成物理合理、风格对齐、实时同步的动作，实现即兴表演和具身语音手势。</w:t>
      </w:r>
    </w:p>
    <w:p>
      <w:pPr>
        <w:pStyle w:val="Heading2"/>
      </w:pPr>
      <w:r>
        <w:rPr>
          <w:rFonts w:ascii="Noto Sans SC" w:hAnsi="Noto Sans SC" w:eastAsia="Noto Sans SC" w:cs="Noto Sans SC"/>
          <w:b w:val="0"/>
          <w:i w:val="0"/>
          <w:sz w:val="26"/>
        </w:rPr>
        <w:t>2 相关工作</w:t>
      </w:r>
    </w:p>
    <w:p>
      <w:pPr>
        <w:pStyle w:val="Heading3"/>
      </w:pPr>
      <w:r>
        <w:rPr>
          <w:rFonts w:ascii="Noto Sans SC" w:hAnsi="Noto Sans SC" w:eastAsia="Noto Sans SC" w:cs="Noto Sans SC"/>
          <w:b w:val="0"/>
          <w:i w:val="0"/>
          <w:sz w:val="24"/>
        </w:rPr>
        <w:t>2.1 人形机器人全身控制</w:t>
      </w:r>
    </w:p>
    <w:p>
      <w:r>
        <w:rPr>
          <w:rFonts w:ascii="Noto Sans SC" w:hAnsi="Noto Sans SC" w:eastAsia="Noto Sans SC" w:cs="Noto Sans SC"/>
          <w:b w:val="0"/>
          <w:i w:val="0"/>
          <w:sz w:val="22"/>
        </w:rPr>
        <w:t>传统基于模型的全身控制依靠精确动力学模型完成任务，但建模复杂，且对跨技能或未建模动力学的泛化有限。学习方法依赖人工设计任务奖励，已用于运动、跳跃和跌倒恢复，但需要繁复奖励工程，也难以生成类人动作。一些工作把控制分解为独立策略，损害身体各部分协调；另一些采用层级框架处理乒乓球等任务。</w:t>
      </w:r>
    </w:p>
    <w:p>
      <w:r>
        <w:rPr>
          <w:rFonts w:ascii="Noto Sans SC" w:hAnsi="Noto Sans SC" w:eastAsia="Noto Sans SC" w:cs="Noto Sans SC"/>
          <w:b w:val="0"/>
          <w:i w:val="0"/>
          <w:sz w:val="22"/>
        </w:rPr>
        <w:t>全身动作跟踪带来范式变化：以人体动作为参考，构造统一控制目标，免去任务专用奖励，并在多种技能中自然促进类人协调。</w:t>
      </w:r>
    </w:p>
    <w:p>
      <w:pPr>
        <w:pStyle w:val="Heading3"/>
      </w:pPr>
      <w:r>
        <w:rPr>
          <w:rFonts w:ascii="Noto Sans SC" w:hAnsi="Noto Sans SC" w:eastAsia="Noto Sans SC" w:cs="Noto Sans SC"/>
          <w:b w:val="0"/>
          <w:i w:val="0"/>
          <w:sz w:val="24"/>
        </w:rPr>
        <w:t>2.2 人形机器人动作跟踪</w:t>
      </w:r>
    </w:p>
    <w:p>
      <w:r>
        <w:rPr>
          <w:rFonts w:ascii="Noto Sans SC" w:hAnsi="Noto Sans SC" w:eastAsia="Noto Sans SC" w:cs="Noto Sans SC"/>
          <w:b w:val="0"/>
          <w:i w:val="0"/>
          <w:sz w:val="22"/>
        </w:rPr>
        <w:t>动作跟踪从人体数据学习逼真行为。DeepMimic 为单动作模仿提出基于相位、随机初始化和提前终止的框架；ASAP 用多阶段流程和增量动作模型缩小动态技能的仿真到真实差距；HuB 和 KungfuBot 通过精细处理准确模仿高动态单动作。</w:t>
      </w:r>
    </w:p>
    <w:p>
      <w:r>
        <w:rPr>
          <w:rFonts w:ascii="Noto Sans SC" w:hAnsi="Noto Sans SC" w:eastAsia="Noto Sans SC" w:cs="Noto Sans SC"/>
          <w:b w:val="0"/>
          <w:i w:val="0"/>
          <w:sz w:val="22"/>
        </w:rPr>
        <w:t>统一多动作策略方面，OmniH2O 提出通用控制器；ExBody2 通过目标分解和筛选提高表现力；TWIST 和 CLONE 实现高质量跟踪，但主要面向遥操作和低动态动作；BumbleBee 使用动作聚类、专家训练和蒸馏；GMT 优先根速度和姿态而非全局位置，实现稳健动态跟踪；UniTracker 支持动态跟踪，但因依赖全局目标而在长序列上稳定性不足；BeyondMimic 通过专门目标与系统辨识实现高保真单动作跟踪，并用蒸馏扩散策略进行任务控制；KungfuBot2 为通用动作跟踪提出正交 MoE。本文在这些工作上发展音频驱动的通用人形动作生成策略，使机器人具备表演能力。</w:t>
      </w:r>
    </w:p>
    <w:p>
      <w:pPr>
        <w:pStyle w:val="Heading3"/>
      </w:pPr>
      <w:r>
        <w:rPr>
          <w:rFonts w:ascii="Noto Sans SC" w:hAnsi="Noto Sans SC" w:eastAsia="Noto Sans SC" w:cs="Noto Sans SC"/>
          <w:b w:val="0"/>
          <w:i w:val="0"/>
          <w:sz w:val="24"/>
        </w:rPr>
        <w:t>2.3 模态驱动的人形机器人运动</w:t>
      </w:r>
    </w:p>
    <w:p>
      <w:r>
        <w:rPr>
          <w:rFonts w:ascii="Noto Sans SC" w:hAnsi="Noto Sans SC" w:eastAsia="Noto Sans SC" w:cs="Noto Sans SC"/>
          <w:b w:val="0"/>
          <w:i w:val="0"/>
          <w:sz w:val="22"/>
        </w:rPr>
        <w:t>LangWBC 训练紧凑辅助网络进行在线动作生成，但难扩展到复杂分布和未见指令。RLPF 用跟踪策略提供的物理可行性反馈微调大语言模型，使语义与运动学对齐，但聚焦解码器的梯度更新可能造成灾难性遗忘。RoboGhost 提出潜变量驱动的无重定向框架，减少误差累积和延迟，把运动视为生成任务，但输入仅为语言。本文首次把音频作为人形机器人运动条件，实现“动作与声音同步”。</w:t>
      </w:r>
    </w:p>
    <w:p>
      <w:pPr>
        <w:pStyle w:val="Heading2"/>
      </w:pPr>
      <w:r>
        <w:rPr>
          <w:rFonts w:ascii="Noto Sans SC" w:hAnsi="Noto Sans SC" w:eastAsia="Noto Sans SC" w:cs="Noto Sans SC"/>
          <w:b w:val="0"/>
          <w:i w:val="0"/>
          <w:sz w:val="26"/>
        </w:rPr>
        <w:t>3 方法</w:t>
      </w:r>
    </w:p>
    <w:p>
      <w:pPr>
        <w:pStyle w:val="Heading3"/>
      </w:pPr>
      <w:r>
        <w:rPr>
          <w:rFonts w:ascii="Noto Sans SC" w:hAnsi="Noto Sans SC" w:eastAsia="Noto Sans SC" w:cs="Noto Sans SC"/>
          <w:b w:val="0"/>
          <w:i w:val="0"/>
          <w:sz w:val="24"/>
        </w:rPr>
        <w:t>3.1 概览</w:t>
      </w:r>
    </w:p>
    <w:p>
      <w:r>
        <w:rPr>
          <w:rFonts w:ascii="Noto Sans SC" w:hAnsi="Noto Sans SC" w:eastAsia="Noto Sans SC" w:cs="Noto Sans SC"/>
          <w:b w:val="0"/>
          <w:i w:val="0"/>
          <w:sz w:val="22"/>
        </w:rPr>
        <w:t>本文提出音频驱动的人形机器人动作生成框架，消除容易出错的在线重定向，通过融合音频语义和动作控制，产生风格一致、物理合理的动作。框架由三个部分组成：ΔMoE 教师策略、经 InfoNCE 优化的音频—动作对齐模块，以及内容—风格解耦的扩散学生策略。其目标是在不使用在线动作模板或姿态估计的情况下，直接从音频生成舞蹈和手势。</w:t>
      </w:r>
    </w:p>
    <w:p>
      <w:r>
        <w:rPr>
          <w:rFonts w:ascii="Noto Sans SC" w:hAnsi="Noto Sans SC" w:eastAsia="Noto Sans SC" w:cs="Noto Sans SC"/>
          <w:b w:val="0"/>
          <w:i w:val="0"/>
          <w:sz w:val="22"/>
        </w:rPr>
        <w:t>首先进行音频—动作对齐：带时序注意力的适配器处理原始音频潜变量 l_audio，通过 InfoNCE 与动作潜变量 l_motion 对齐。这样把运动学先验嵌入音频潜变量，不再需要专门的音频到动作生成器，并保证音频与动作节奏一致。</w:t>
      </w:r>
    </w:p>
    <w:p>
      <w:r>
        <w:rPr>
          <w:rFonts w:ascii="Noto Sans SC" w:hAnsi="Noto Sans SC" w:eastAsia="Noto Sans SC" w:cs="Noto Sans SC"/>
          <w:b w:val="0"/>
          <w:i w:val="0"/>
          <w:sz w:val="22"/>
        </w:rPr>
        <w:t>为稳健训练教师，ΔMoE 把三类条件输入划分为四个嵌套子空间，四个专家通过残差融合动态加权，减少冗余、增强互补。随后，根据“动作 = 内容 + 风格”把教师蒸馏到扩散学生：预训练动作生成器的动作潜变量引导去噪，对齐的音频潜变量在多个扩散层注入以调制节奏表现。</w:t>
      </w:r>
    </w:p>
    <w:p>
      <w:r>
        <w:rPr>
          <w:rFonts w:ascii="Noto Sans SC" w:hAnsi="Noto Sans SC" w:eastAsia="Noto Sans SC" w:cs="Noto Sans SC"/>
          <w:b w:val="0"/>
          <w:i w:val="0"/>
          <w:sz w:val="22"/>
        </w:rPr>
        <w:t>该框架结合对齐、专业化教师和解耦扩散控制，实现低延迟、强泛化的直接音频到动作映射，可支持音频驱动即兴舞蹈和语音伴随手势。</w:t>
      </w:r>
    </w:p>
    <w:p>
      <w:r>
        <w:rPr>
          <w:rFonts w:ascii="Noto Sans SC" w:hAnsi="Noto Sans SC" w:eastAsia="Noto Sans SC" w:cs="Noto Sans SC"/>
          <w:b/>
          <w:i w:val="0"/>
          <w:sz w:val="22"/>
        </w:rPr>
        <w:t>图2 RoboPerform 总览。</w:t>
      </w:r>
      <w:r>
        <w:rPr>
          <w:rFonts w:ascii="Noto Sans SC" w:hAnsi="Noto Sans SC" w:eastAsia="Noto Sans SC" w:cs="Noto Sans SC"/>
          <w:b w:val="0"/>
          <w:i w:val="0"/>
          <w:sz w:val="22"/>
        </w:rPr>
        <w:t xml:space="preserve"> 方法分两阶段：训练适配器把运动学信息注入音频；用强化学习训练 ΔMoE 教师，再训练扩散学生在音频潜变量条件下去噪动作。由于动作被视为内容与风格之和，动作潜变量固定为内容条件，不同音频作为风格调制信号，使动作适应不同节奏。</w:t>
      </w:r>
    </w:p>
    <w:p>
      <w:pPr>
        <w:pStyle w:val="Heading3"/>
      </w:pPr>
      <w:r>
        <w:rPr>
          <w:rFonts w:ascii="Noto Sans SC" w:hAnsi="Noto Sans SC" w:eastAsia="Noto Sans SC" w:cs="Noto Sans SC"/>
          <w:b w:val="0"/>
          <w:i w:val="0"/>
          <w:sz w:val="24"/>
        </w:rPr>
        <w:t>3.2 增量专家混合 ΔMoE</w:t>
      </w:r>
    </w:p>
    <w:p>
      <w:r>
        <w:rPr>
          <w:rFonts w:ascii="Noto Sans SC" w:hAnsi="Noto Sans SC" w:eastAsia="Noto Sans SC" w:cs="Noto Sans SC"/>
          <w:b w:val="0"/>
          <w:i w:val="0"/>
          <w:sz w:val="22"/>
        </w:rPr>
        <w:t>ΔMoE 的目标是让不同组件处理不同条件子集，从而最大化知识多样性与互补性。核心是嵌套条件子空间划分和残差增量学习，使专家相互补充并消除信息冗余。它可解释为把无分类器引导从条件/无条件二分扩展到连续、多维条件。</w:t>
      </w:r>
    </w:p>
    <w:p>
      <w:r>
        <w:rPr>
          <w:rFonts w:ascii="Noto Sans SC" w:hAnsi="Noto Sans SC" w:eastAsia="Noto Sans SC" w:cs="Noto Sans SC"/>
          <w:b w:val="0"/>
          <w:i w:val="0"/>
          <w:sz w:val="22"/>
        </w:rPr>
        <w:t>标准 CFG 同时训练条件分布 p(a| c) 与无条件分布 p(a)，推理时用插值融合：</w:t>
      </w:r>
    </w:p>
    <w:p>
      <w:pPr>
        <w:spacing w:before="100" w:after="160"/>
        <w:jc w:val="center"/>
      </w:pPr>
      <w:r>
        <w:rPr>
          <w:rFonts w:ascii="DejaVu Math TeX Gyre" w:hAnsi="DejaVu Math TeX Gyre" w:eastAsia="DejaVu Math TeX Gyre" w:cs="DejaVu Math TeX Gyre"/>
          <w:sz w:val="21"/>
        </w:rPr>
        <w:t>a∝p(a| c)^γp(a)^1-γ.</w:t>
      </w:r>
    </w:p>
    <w:p>
      <w:r>
        <w:rPr>
          <w:rFonts w:ascii="Noto Sans SC" w:hAnsi="Noto Sans SC" w:eastAsia="Noto Sans SC" w:cs="Noto Sans SC"/>
          <w:b w:val="0"/>
          <w:i w:val="0"/>
          <w:sz w:val="22"/>
        </w:rPr>
        <w:t>在对数空间中，它对应</w:t>
      </w:r>
    </w:p>
    <w:p>
      <w:pPr>
        <w:spacing w:before="100" w:after="160"/>
        <w:jc w:val="center"/>
      </w:pPr>
      <w:r>
        <w:rPr>
          <w:rFonts w:ascii="DejaVu Math TeX Gyre" w:hAnsi="DejaVu Math TeX Gyre" w:eastAsia="DejaVu Math TeX Gyre" w:cs="DejaVu Math TeX Gyre"/>
          <w:sz w:val="21"/>
        </w:rPr>
        <w:t>_alog p(a| c)+(γ-1)_alog(p(a| c))/(p(a)),</w:t>
      </w:r>
    </w:p>
    <w:p>
      <w:r>
        <w:rPr>
          <w:rFonts w:ascii="Noto Sans SC" w:hAnsi="Noto Sans SC" w:eastAsia="Noto Sans SC" w:cs="Noto Sans SC"/>
          <w:b w:val="0"/>
          <w:i w:val="0"/>
          <w:sz w:val="22"/>
        </w:rPr>
        <w:t>用于平衡条件一致性和无条件多样性。</w:t>
      </w:r>
    </w:p>
    <w:p>
      <w:r>
        <w:rPr>
          <w:rFonts w:ascii="Noto Sans SC" w:hAnsi="Noto Sans SC" w:eastAsia="Noto Sans SC" w:cs="Noto Sans SC"/>
          <w:b w:val="0"/>
          <w:i w:val="0"/>
          <w:sz w:val="22"/>
        </w:rPr>
        <w:t>ΔMoE 把该思想扩展到嵌套部分条件。四个专家 e_i 各自建模只依赖 S_i 的策略 π_i(a| c_S_i)。门控网络处理完整 c 并输出归一化权重。相邻专家输出差 a_i-a_i-1 表示加入新条件维度的边际贡献。各增量与 CFG 引导项类似，刻画条件信息增益，使专家专注不同增量而非重复共享信号。</w:t>
      </w:r>
    </w:p>
    <w:p>
      <w:r>
        <w:rPr>
          <w:rFonts w:ascii="Noto Sans SC" w:hAnsi="Noto Sans SC" w:eastAsia="Noto Sans SC" w:cs="Noto Sans SC"/>
          <w:b w:val="0"/>
          <w:i w:val="0"/>
          <w:sz w:val="22"/>
        </w:rPr>
        <w:t>教师策略同时输入机器人状态与参考动作，利用多个奖励优化后输出动作 a_t。通过层级条件子空间的残差对比，ΔMoE 兼顾精确条件对齐和互补专家知识带来的泛化。</w:t>
      </w:r>
    </w:p>
    <w:p>
      <w:r>
        <w:rPr>
          <w:rFonts w:ascii="Noto Sans SC" w:hAnsi="Noto Sans SC" w:eastAsia="Noto Sans SC" w:cs="Noto Sans SC"/>
          <w:b/>
          <w:i w:val="0"/>
          <w:sz w:val="22"/>
        </w:rPr>
        <w:t>图3 ΔMoE 概览。</w:t>
      </w:r>
      <w:r>
        <w:rPr>
          <w:rFonts w:ascii="Noto Sans SC" w:hAnsi="Noto Sans SC" w:eastAsia="Noto Sans SC" w:cs="Noto Sans SC"/>
          <w:b w:val="0"/>
          <w:i w:val="0"/>
          <w:sz w:val="22"/>
        </w:rPr>
        <w:t xml:space="preserve"> 四个专家依次增加条件输入，门控网络对无条件输出和三个条件增量进行加权求和。</w:t>
      </w:r>
    </w:p>
    <w:p>
      <w:pPr>
        <w:pStyle w:val="Heading3"/>
      </w:pPr>
      <w:r>
        <w:rPr>
          <w:rFonts w:ascii="Noto Sans SC" w:hAnsi="Noto Sans SC" w:eastAsia="Noto Sans SC" w:cs="Noto Sans SC"/>
          <w:b w:val="0"/>
          <w:i w:val="0"/>
          <w:sz w:val="24"/>
        </w:rPr>
        <w:t>3.3 音频—动作对齐</w:t>
      </w:r>
    </w:p>
    <w:p>
      <w:r>
        <w:rPr>
          <w:rFonts w:ascii="Noto Sans SC" w:hAnsi="Noto Sans SC" w:eastAsia="Noto Sans SC" w:cs="Noto Sans SC"/>
          <w:b w:val="0"/>
          <w:i w:val="0"/>
          <w:sz w:val="22"/>
        </w:rPr>
        <w:t>为让策略直接以音频潜变量为条件而无需专门训练音频到动作生成器，本文让音频潜变量具备运动学信息。音频适配器由 6 层 Transformer 组成，并加入时序注意力捕获音频节奏结构；动作潜变量来自预训练 VAE。整个对齐过程用 InfoNCE 优化。</w:t>
      </w:r>
    </w:p>
    <w:p>
      <w:r>
        <w:rPr>
          <w:rFonts w:ascii="Noto Sans SC" w:hAnsi="Noto Sans SC" w:eastAsia="Noto Sans SC" w:cs="Noto Sans SC"/>
          <w:b w:val="0"/>
          <w:i w:val="0"/>
          <w:sz w:val="22"/>
        </w:rPr>
        <w:t>式（1）把每个音频—动作配对视为正样本，批内其余组合视为负样本，使适配器在嵌入空间中把音频映射到对应动作附近，并远离无关动作。</w:t>
      </w:r>
    </w:p>
    <w:p>
      <w:pPr>
        <w:pStyle w:val="Heading3"/>
      </w:pPr>
      <w:r>
        <w:rPr>
          <w:rFonts w:ascii="Noto Sans SC" w:hAnsi="Noto Sans SC" w:eastAsia="Noto Sans SC" w:cs="Noto Sans SC"/>
          <w:b w:val="0"/>
          <w:i w:val="0"/>
          <w:sz w:val="24"/>
        </w:rPr>
        <w:t>3.4 音频条件策略蒸馏</w:t>
      </w:r>
    </w:p>
    <w:p>
      <w:r>
        <w:rPr>
          <w:rFonts w:ascii="Noto Sans SC" w:hAnsi="Noto Sans SC" w:eastAsia="Noto Sans SC" w:cs="Noto Sans SC"/>
          <w:b w:val="0"/>
          <w:i w:val="0"/>
          <w:sz w:val="22"/>
        </w:rPr>
        <w:t>本文认为，在舞蹈或手势中，音频主要作为风格线索，按照节奏与时间结构调制底层动作内容。系统先把“一个人在随音乐跳舞”或“一个人在演讲”等高层语义描述编码成动作潜变量。训练时，同一任务的所有动作共享同一内容潜变量，作为扩散去噪的主要条件。</w:t>
      </w:r>
    </w:p>
    <w:p>
      <w:r>
        <w:rPr>
          <w:rFonts w:ascii="Noto Sans SC" w:hAnsi="Noto Sans SC" w:eastAsia="Noto Sans SC" w:cs="Noto Sans SC"/>
          <w:b w:val="0"/>
          <w:i w:val="0"/>
          <w:sz w:val="22"/>
        </w:rPr>
        <w:t>随后，对齐音频潜变量作为外部风格控制信号注入扩散骨干多个层，逐步把去噪轨迹引向具有节奏风格的动作。系统采用类似 DAgger 的方法，在仿真中滚动学生并查询教师最优动作。扩散学生逐步给干净动作加高斯噪声，采用 x_0 预测参数化恢复原始干净动作，并以均方误差监督。</w:t>
      </w:r>
    </w:p>
    <w:p>
      <w:pPr>
        <w:pStyle w:val="Heading2"/>
      </w:pPr>
      <w:r>
        <w:rPr>
          <w:rFonts w:ascii="Noto Sans SC" w:hAnsi="Noto Sans SC" w:eastAsia="Noto Sans SC" w:cs="Noto Sans SC"/>
          <w:b w:val="0"/>
          <w:i w:val="0"/>
          <w:sz w:val="26"/>
        </w:rPr>
        <w:t>4 实验</w:t>
      </w:r>
    </w:p>
    <w:p>
      <w:pPr>
        <w:pStyle w:val="Heading3"/>
      </w:pPr>
      <w:r>
        <w:rPr>
          <w:rFonts w:ascii="Noto Sans SC" w:hAnsi="Noto Sans SC" w:eastAsia="Noto Sans SC" w:cs="Noto Sans SC"/>
          <w:b w:val="0"/>
          <w:i w:val="0"/>
          <w:sz w:val="24"/>
        </w:rPr>
        <w:t>4.1 实验设置</w:t>
      </w:r>
    </w:p>
    <w:p>
      <w:r>
        <w:rPr>
          <w:rFonts w:ascii="Noto Sans SC" w:hAnsi="Noto Sans SC" w:eastAsia="Noto Sans SC" w:cs="Noto Sans SC"/>
          <w:b w:val="0"/>
          <w:i w:val="0"/>
          <w:sz w:val="22"/>
        </w:rPr>
        <w:t>RoboPerform 在音乐驱动与语音驱动两项人形机器人控制任务上评估。音频首先编码，再由预训练适配器生成与动作潜空间对齐的表示，输入策略产生可执行动作。教师和学生都在 IsaacGym 中训练，学生直接部署到 Unitree G1 真实机器人。</w:t>
      </w:r>
    </w:p>
    <w:p>
      <w:r>
        <w:rPr>
          <w:rFonts w:ascii="Noto Sans SC" w:hAnsi="Noto Sans SC" w:eastAsia="Noto Sans SC" w:cs="Noto Sans SC"/>
          <w:b w:val="0"/>
          <w:i w:val="0"/>
          <w:sz w:val="22"/>
        </w:rPr>
        <w:t>训练使用 FineDance 和 BEAT2。BEAT2 包含 30 位说话者的 76 小时数据，统一为带配对音频的网格表示；FineDance 包含 7.7 小时细粒度 3D 全身舞蹈，以 SMPL-H 表示并提供 librosa 提取的音乐特征。全部动作采样为 30 FPS，长序列及对应音频均切成 10 秒片段。</w:t>
      </w:r>
    </w:p>
    <w:p>
      <w:r>
        <w:rPr>
          <w:rFonts w:ascii="Noto Sans SC" w:hAnsi="Noto Sans SC" w:eastAsia="Noto Sans SC" w:cs="Noto Sans SC"/>
          <w:b w:val="0"/>
          <w:i w:val="0"/>
          <w:sz w:val="22"/>
        </w:rPr>
        <w:t>音频—动作检索报告 R@1、R@2、R@3 和 MM-Dist；物理仿真中的动作跟踪以成功率为核心，并报告平均关节位置误差 E_MPJPE 和平均关键点位置误差 E_MPKPE。</w:t>
      </w:r>
    </w:p>
    <w:p>
      <w:r>
        <w:rPr>
          <w:rFonts w:ascii="Noto Sans SC" w:hAnsi="Noto Sans SC" w:eastAsia="Noto Sans SC" w:cs="Noto Sans SC"/>
          <w:b w:val="0"/>
          <w:i w:val="0"/>
          <w:sz w:val="22"/>
        </w:rPr>
        <w:t>ΔMoE 使用四个 MLP 专家和一个 MLP 门控网络。FineDance 已提供音乐特征，因此不再训练音乐编码器；BEAT2 使用 EMAGE 的时序卷积网络学习语音表示。动作 VAE 为 9 层、4 头 Transformer，音乐适配器为 6 层、4 头 Transformer。学生扩散模型以 4 层 MLP 为骨干，使用 AdaLN 注入条件；推理采用两步 DDIM。</w:t>
      </w:r>
    </w:p>
    <w:p>
      <w:pPr>
        <w:pStyle w:val="Heading3"/>
      </w:pPr>
      <w:r>
        <w:rPr>
          <w:rFonts w:ascii="Noto Sans SC" w:hAnsi="Noto Sans SC" w:eastAsia="Noto Sans SC" w:cs="Noto Sans SC"/>
          <w:b w:val="0"/>
          <w:i w:val="0"/>
          <w:sz w:val="24"/>
        </w:rPr>
        <w:t>4.2 音频—动作检索</w:t>
      </w:r>
    </w:p>
    <w:tbl>
      <w:tblPr>
        <w:tblW w:type="dxa" w:w="9360"/>
        <w:jc w:val="left"/>
        <w:tblLayout w:type="fixed"/>
        <w:tblLook w:firstColumn="1" w:firstRow="1" w:lastColumn="0" w:lastRow="0" w:noHBand="0" w:noVBand="1" w:val="04A0"/>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1872"/>
        <w:gridCol w:w="1872"/>
        <w:gridCol w:w="1872"/>
        <w:gridCol w:w="1872"/>
        <w:gridCol w:w="1872"/>
      </w:tblGrid>
      <w:tr>
        <w:trPr>
          <w:tblHeader/>
        </w:trPr>
        <w:tc>
          <w:tcPr>
            <w:tcW w:type="dxa" w:w="1872"/>
            <w:tcMar>
              <w:top w:w="80" w:type="dxa"/>
              <w:start w:w="120" w:type="dxa"/>
              <w:bottom w:w="80" w:type="dxa"/>
              <w:end w:w="120" w:type="dxa"/>
            </w:tcMar>
            <w:vAlign w:val="center"/>
            <w:shd w:fill="F4F6F9"/>
          </w:tcPr>
          <w:p>
            <w:pPr>
              <w:spacing w:before="0" w:after="0" w:line="276" w:lineRule="auto"/>
              <w:jc w:val="left"/>
            </w:pPr>
            <w:r>
              <w:rPr>
                <w:b/>
                <w:color w:val="1F4D78"/>
              </w:rPr>
            </w:r>
            <w:r>
              <w:rPr>
                <w:rFonts w:ascii="Noto Sans SC" w:hAnsi="Noto Sans SC" w:eastAsia="Noto Sans SC" w:cs="Noto Sans SC"/>
                <w:b/>
                <w:i w:val="0"/>
                <w:color w:val="1F4D78"/>
                <w:sz w:val="18"/>
              </w:rPr>
              <w:t>对齐任务</w:t>
            </w:r>
          </w:p>
        </w:tc>
        <w:tc>
          <w:tcPr>
            <w:tcW w:type="dxa" w:w="1872"/>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8"/>
              </w:rPr>
              <w:t>R@1</w:t>
            </w:r>
          </w:p>
        </w:tc>
        <w:tc>
          <w:tcPr>
            <w:tcW w:type="dxa" w:w="1872"/>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8"/>
              </w:rPr>
              <w:t>R@2</w:t>
            </w:r>
          </w:p>
        </w:tc>
        <w:tc>
          <w:tcPr>
            <w:tcW w:type="dxa" w:w="1872"/>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8"/>
              </w:rPr>
              <w:t>R@3</w:t>
            </w:r>
          </w:p>
        </w:tc>
        <w:tc>
          <w:tcPr>
            <w:tcW w:type="dxa" w:w="1872"/>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8"/>
              </w:rPr>
              <w:t>MM-Dist</w:t>
            </w:r>
          </w:p>
        </w:tc>
      </w:tr>
      <w:tr>
        <w:tc>
          <w:tcPr>
            <w:tcW w:type="dxa" w:w="1872"/>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音乐—动作</w:t>
            </w:r>
          </w:p>
        </w:tc>
        <w:tc>
          <w:tcPr>
            <w:tcW w:type="dxa" w:w="187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66.7</w:t>
            </w:r>
          </w:p>
        </w:tc>
        <w:tc>
          <w:tcPr>
            <w:tcW w:type="dxa" w:w="187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78.8</w:t>
            </w:r>
          </w:p>
        </w:tc>
        <w:tc>
          <w:tcPr>
            <w:tcW w:type="dxa" w:w="187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83.5</w:t>
            </w:r>
          </w:p>
        </w:tc>
        <w:tc>
          <w:tcPr>
            <w:tcW w:type="dxa" w:w="187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1.154</w:t>
            </w:r>
          </w:p>
        </w:tc>
      </w:tr>
      <w:tr>
        <w:tc>
          <w:tcPr>
            <w:tcW w:type="dxa" w:w="1872"/>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语音—动作</w:t>
            </w:r>
          </w:p>
        </w:tc>
        <w:tc>
          <w:tcPr>
            <w:tcW w:type="dxa" w:w="187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64.6</w:t>
            </w:r>
          </w:p>
        </w:tc>
        <w:tc>
          <w:tcPr>
            <w:tcW w:type="dxa" w:w="187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76.5</w:t>
            </w:r>
          </w:p>
        </w:tc>
        <w:tc>
          <w:tcPr>
            <w:tcW w:type="dxa" w:w="187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82.1</w:t>
            </w:r>
          </w:p>
        </w:tc>
        <w:tc>
          <w:tcPr>
            <w:tcW w:type="dxa" w:w="187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1.232</w:t>
            </w:r>
          </w:p>
        </w:tc>
      </w:tr>
    </w:tbl>
    <w:p>
      <w:pPr>
        <w:spacing w:before="80" w:after="80"/>
      </w:pPr>
    </w:p>
    <w:p>
      <w:r>
        <w:rPr>
          <w:rFonts w:ascii="Noto Sans SC" w:hAnsi="Noto Sans SC" w:eastAsia="Noto Sans SC" w:cs="Noto Sans SC"/>
          <w:b w:val="0"/>
          <w:i w:val="0"/>
          <w:sz w:val="22"/>
        </w:rPr>
        <w:t>测试检查给定音频能否在动作潜空间中检索正确动作潜变量。结果表明适配器对 FineDance 和 BEAT2 都具有较强对齐能力。</w:t>
      </w:r>
    </w:p>
    <w:p>
      <w:pPr>
        <w:pStyle w:val="Heading3"/>
      </w:pPr>
      <w:r>
        <w:rPr>
          <w:rFonts w:ascii="Noto Sans SC" w:hAnsi="Noto Sans SC" w:eastAsia="Noto Sans SC" w:cs="Noto Sans SC"/>
          <w:b w:val="0"/>
          <w:i w:val="0"/>
          <w:sz w:val="24"/>
        </w:rPr>
        <w:t>4.3 动作跟踪</w:t>
      </w:r>
    </w:p>
    <w:p>
      <w:r>
        <w:rPr>
          <w:rFonts w:ascii="Noto Sans SC" w:hAnsi="Noto Sans SC" w:eastAsia="Noto Sans SC" w:cs="Noto Sans SC"/>
          <w:b w:val="0"/>
          <w:i w:val="0"/>
          <w:sz w:val="22"/>
        </w:rPr>
        <w:t>流水线先用编码器与适配器把运动学先验注入音频特征，再让得到的动作对齐潜变量控制学生策略，产生物理可执行动作。基线使用 EMAGE 和 FineNet 先生成确定性人体动作，将其重定向到 G1，再由显式动作驱动的 MLP 策略执行。</w:t>
      </w:r>
    </w:p>
    <w:tbl>
      <w:tblPr>
        <w:tblW w:type="dxa" w:w="9360"/>
        <w:jc w:val="left"/>
        <w:tblLayout w:type="fixed"/>
        <w:tblLook w:firstColumn="1" w:firstRow="1" w:lastColumn="0" w:lastRow="0" w:noHBand="0" w:noVBand="1" w:val="04A0"/>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834"/>
        <w:gridCol w:w="741"/>
        <w:gridCol w:w="1204"/>
        <w:gridCol w:w="1482"/>
        <w:gridCol w:w="1482"/>
        <w:gridCol w:w="1019"/>
        <w:gridCol w:w="1297"/>
        <w:gridCol w:w="1301"/>
      </w:tblGrid>
      <w:tr>
        <w:trPr>
          <w:tblHeader/>
        </w:trPr>
        <w:tc>
          <w:tcPr>
            <w:tcW w:type="dxa" w:w="834"/>
            <w:tcMar>
              <w:top w:w="80" w:type="dxa"/>
              <w:start w:w="120" w:type="dxa"/>
              <w:bottom w:w="80" w:type="dxa"/>
              <w:end w:w="120" w:type="dxa"/>
            </w:tcMar>
            <w:vAlign w:val="center"/>
            <w:shd w:fill="F4F6F9"/>
          </w:tcPr>
          <w:p>
            <w:pPr>
              <w:spacing w:before="0" w:after="0" w:line="276" w:lineRule="auto"/>
              <w:jc w:val="left"/>
            </w:pPr>
            <w:r>
              <w:rPr>
                <w:b/>
                <w:color w:val="1F4D78"/>
              </w:rPr>
            </w:r>
            <w:r>
              <w:rPr>
                <w:rFonts w:ascii="Noto Sans SC" w:hAnsi="Noto Sans SC" w:eastAsia="Noto Sans SC" w:cs="Noto Sans SC"/>
                <w:b/>
                <w:i w:val="0"/>
                <w:color w:val="1F4D78"/>
                <w:sz w:val="16"/>
              </w:rPr>
              <w:t>数据集</w:t>
            </w:r>
          </w:p>
        </w:tc>
        <w:tc>
          <w:tcPr>
            <w:tcW w:type="dxa" w:w="741"/>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方法</w:t>
            </w:r>
          </w:p>
        </w:tc>
        <w:tc>
          <w:tcPr>
            <w:tcW w:type="dxa" w:w="1204"/>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IsaacGym Succ</w:t>
            </w:r>
          </w:p>
        </w:tc>
        <w:tc>
          <w:tcPr>
            <w:tcW w:type="dxa" w:w="1482"/>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IsaacGym E_MPJPE</w:t>
            </w:r>
          </w:p>
        </w:tc>
        <w:tc>
          <w:tcPr>
            <w:tcW w:type="dxa" w:w="1482"/>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IsaacGym E_MPKPE</w:t>
            </w:r>
          </w:p>
        </w:tc>
        <w:tc>
          <w:tcPr>
            <w:tcW w:type="dxa" w:w="1019"/>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MuJoCo Succ</w:t>
            </w:r>
          </w:p>
        </w:tc>
        <w:tc>
          <w:tcPr>
            <w:tcW w:type="dxa" w:w="1297"/>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MuJoCo E_MPJPE</w:t>
            </w:r>
          </w:p>
        </w:tc>
        <w:tc>
          <w:tcPr>
            <w:tcW w:type="dxa" w:w="1301"/>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MuJoCo E_MPKPE</w:t>
            </w:r>
          </w:p>
        </w:tc>
      </w:tr>
      <w:tr>
        <w:tc>
          <w:tcPr>
            <w:tcW w:type="dxa" w:w="834"/>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BEAT2</w:t>
            </w:r>
          </w:p>
        </w:tc>
        <w:tc>
          <w:tcPr>
            <w:tcW w:type="dxa" w:w="74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基线</w:t>
            </w:r>
          </w:p>
        </w:tc>
        <w:tc>
          <w:tcPr>
            <w:tcW w:type="dxa" w:w="120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0.98</w:t>
            </w:r>
          </w:p>
        </w:tc>
        <w:tc>
          <w:tcPr>
            <w:tcW w:type="dxa" w:w="148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0.07</w:t>
            </w:r>
          </w:p>
        </w:tc>
        <w:tc>
          <w:tcPr>
            <w:tcW w:type="dxa" w:w="148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0.05</w:t>
            </w:r>
          </w:p>
        </w:tc>
        <w:tc>
          <w:tcPr>
            <w:tcW w:type="dxa" w:w="1019"/>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0.94</w:t>
            </w:r>
          </w:p>
        </w:tc>
        <w:tc>
          <w:tcPr>
            <w:tcW w:type="dxa" w:w="1297"/>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0.13</w:t>
            </w:r>
          </w:p>
        </w:tc>
        <w:tc>
          <w:tcPr>
            <w:tcW w:type="dxa" w:w="130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0.12</w:t>
            </w:r>
          </w:p>
        </w:tc>
      </w:tr>
      <w:tr>
        <w:tc>
          <w:tcPr>
            <w:tcW w:type="dxa" w:w="834"/>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BEAT2</w:t>
            </w:r>
          </w:p>
        </w:tc>
        <w:tc>
          <w:tcPr>
            <w:tcW w:type="dxa" w:w="74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本文</w:t>
            </w:r>
          </w:p>
        </w:tc>
        <w:tc>
          <w:tcPr>
            <w:tcW w:type="dxa" w:w="120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0.99</w:t>
            </w:r>
          </w:p>
        </w:tc>
        <w:tc>
          <w:tcPr>
            <w:tcW w:type="dxa" w:w="148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0.05</w:t>
            </w:r>
          </w:p>
        </w:tc>
        <w:tc>
          <w:tcPr>
            <w:tcW w:type="dxa" w:w="148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0.04</w:t>
            </w:r>
          </w:p>
        </w:tc>
        <w:tc>
          <w:tcPr>
            <w:tcW w:type="dxa" w:w="1019"/>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0.96</w:t>
            </w:r>
          </w:p>
        </w:tc>
        <w:tc>
          <w:tcPr>
            <w:tcW w:type="dxa" w:w="1297"/>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0.10</w:t>
            </w:r>
          </w:p>
        </w:tc>
        <w:tc>
          <w:tcPr>
            <w:tcW w:type="dxa" w:w="130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0.09</w:t>
            </w:r>
          </w:p>
        </w:tc>
      </w:tr>
      <w:tr>
        <w:tc>
          <w:tcPr>
            <w:tcW w:type="dxa" w:w="834"/>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FineDance</w:t>
            </w:r>
          </w:p>
        </w:tc>
        <w:tc>
          <w:tcPr>
            <w:tcW w:type="dxa" w:w="74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基线</w:t>
            </w:r>
          </w:p>
        </w:tc>
        <w:tc>
          <w:tcPr>
            <w:tcW w:type="dxa" w:w="120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0.88</w:t>
            </w:r>
          </w:p>
        </w:tc>
        <w:tc>
          <w:tcPr>
            <w:tcW w:type="dxa" w:w="148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0.24</w:t>
            </w:r>
          </w:p>
        </w:tc>
        <w:tc>
          <w:tcPr>
            <w:tcW w:type="dxa" w:w="148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0.21</w:t>
            </w:r>
          </w:p>
        </w:tc>
        <w:tc>
          <w:tcPr>
            <w:tcW w:type="dxa" w:w="1019"/>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0.58</w:t>
            </w:r>
          </w:p>
        </w:tc>
        <w:tc>
          <w:tcPr>
            <w:tcW w:type="dxa" w:w="1297"/>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0.32</w:t>
            </w:r>
          </w:p>
        </w:tc>
        <w:tc>
          <w:tcPr>
            <w:tcW w:type="dxa" w:w="130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0.29</w:t>
            </w:r>
          </w:p>
        </w:tc>
      </w:tr>
      <w:tr>
        <w:tc>
          <w:tcPr>
            <w:tcW w:type="dxa" w:w="834"/>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FineDance</w:t>
            </w:r>
          </w:p>
        </w:tc>
        <w:tc>
          <w:tcPr>
            <w:tcW w:type="dxa" w:w="74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本文</w:t>
            </w:r>
          </w:p>
        </w:tc>
        <w:tc>
          <w:tcPr>
            <w:tcW w:type="dxa" w:w="120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0.93</w:t>
            </w:r>
          </w:p>
        </w:tc>
        <w:tc>
          <w:tcPr>
            <w:tcW w:type="dxa" w:w="148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0.18</w:t>
            </w:r>
          </w:p>
        </w:tc>
        <w:tc>
          <w:tcPr>
            <w:tcW w:type="dxa" w:w="148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0.16</w:t>
            </w:r>
          </w:p>
        </w:tc>
        <w:tc>
          <w:tcPr>
            <w:tcW w:type="dxa" w:w="1019"/>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0.67</w:t>
            </w:r>
          </w:p>
        </w:tc>
        <w:tc>
          <w:tcPr>
            <w:tcW w:type="dxa" w:w="1297"/>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0.26</w:t>
            </w:r>
          </w:p>
        </w:tc>
        <w:tc>
          <w:tcPr>
            <w:tcW w:type="dxa" w:w="130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0.24</w:t>
            </w:r>
          </w:p>
        </w:tc>
      </w:tr>
    </w:tbl>
    <w:p>
      <w:pPr>
        <w:spacing w:before="80" w:after="80"/>
      </w:pPr>
    </w:p>
    <w:p>
      <w:r>
        <w:rPr>
          <w:rFonts w:ascii="Noto Sans SC" w:hAnsi="Noto Sans SC" w:eastAsia="Noto Sans SC" w:cs="Noto Sans SC"/>
          <w:b w:val="0"/>
          <w:i w:val="0"/>
          <w:sz w:val="22"/>
        </w:rPr>
        <w:t>结果显示，两项任务都具有较高成功率和较低关节/关键点误差，说明音频语义能够与可行运动轨迹对齐。</w:t>
      </w:r>
    </w:p>
    <w:p>
      <w:pPr>
        <w:pStyle w:val="Heading3"/>
      </w:pPr>
      <w:r>
        <w:rPr>
          <w:rFonts w:ascii="Noto Sans SC" w:hAnsi="Noto Sans SC" w:eastAsia="Noto Sans SC" w:cs="Noto Sans SC"/>
          <w:b w:val="0"/>
          <w:i w:val="0"/>
          <w:sz w:val="24"/>
        </w:rPr>
        <w:t>4.4 定性结果</w:t>
      </w:r>
    </w:p>
    <w:p>
      <w:r>
        <w:rPr>
          <w:rFonts w:ascii="Noto Sans SC" w:hAnsi="Noto Sans SC" w:eastAsia="Noto Sans SC" w:cs="Noto Sans SC"/>
          <w:b w:val="0"/>
          <w:i w:val="0"/>
          <w:sz w:val="22"/>
        </w:rPr>
        <w:t>论文在 IsaacGym、MuJoCo 跨仿真迁移和 Unitree G1 真实执行三种环境中评估。代表序列表明策略能够跟随音频节奏，在动态过渡中保持平衡，并跨物理引擎与硬件泛化。音乐包括民间舞、韩国舞、爵士和混合风格；语音示例包含围绕房间、旅行、毕业旅行和长假等内容的演讲。</w:t>
      </w:r>
    </w:p>
    <w:p>
      <w:r>
        <w:rPr>
          <w:rFonts w:ascii="Noto Sans SC" w:hAnsi="Noto Sans SC" w:eastAsia="Noto Sans SC" w:cs="Noto Sans SC"/>
          <w:b/>
          <w:i w:val="0"/>
          <w:sz w:val="22"/>
        </w:rPr>
        <w:t>图6 IsaacGym 与 MuJoCo 定性结果。</w:t>
      </w:r>
      <w:r>
        <w:rPr>
          <w:rFonts w:ascii="Noto Sans SC" w:hAnsi="Noto Sans SC" w:eastAsia="Noto Sans SC" w:cs="Noto Sans SC"/>
          <w:b w:val="0"/>
          <w:i w:val="0"/>
          <w:sz w:val="22"/>
        </w:rPr>
        <w:t xml:space="preserve"> 上半部分为音乐到运动，下半部分为语音到运动。</w:t>
      </w:r>
    </w:p>
    <w:p>
      <w:pPr>
        <w:pStyle w:val="Heading3"/>
      </w:pPr>
      <w:r>
        <w:rPr>
          <w:rFonts w:ascii="Noto Sans SC" w:hAnsi="Noto Sans SC" w:eastAsia="Noto Sans SC" w:cs="Noto Sans SC"/>
          <w:b w:val="0"/>
          <w:i w:val="0"/>
          <w:sz w:val="24"/>
        </w:rPr>
        <w:t>4.5 消融实验</w:t>
      </w:r>
    </w:p>
    <w:p>
      <w:r>
        <w:rPr>
          <w:rFonts w:ascii="Noto Sans SC" w:hAnsi="Noto Sans SC" w:eastAsia="Noto Sans SC" w:cs="Noto Sans SC"/>
          <w:b/>
          <w:i w:val="0"/>
          <w:sz w:val="22"/>
        </w:rPr>
        <w:t>音频驱动与姿态驱动。</w:t>
      </w:r>
      <w:r>
        <w:rPr>
          <w:rFonts w:ascii="Noto Sans SC" w:hAnsi="Noto Sans SC" w:eastAsia="Noto Sans SC" w:cs="Noto Sans SC"/>
          <w:b w:val="0"/>
          <w:i w:val="0"/>
          <w:sz w:val="22"/>
        </w:rPr>
        <w:t xml:space="preserve"> 使用 EMAGE/FineNet 生成动作并以 1,000 次迭代的 PBHC 重定向后执行，不仅增加计算开销，也降低成功率、增加跟踪误差。</w:t>
      </w:r>
    </w:p>
    <w:p>
      <w:r>
        <w:rPr>
          <w:rFonts w:ascii="Noto Sans SC" w:hAnsi="Noto Sans SC" w:eastAsia="Noto Sans SC" w:cs="Noto Sans SC"/>
          <w:b/>
          <w:i w:val="0"/>
          <w:sz w:val="22"/>
        </w:rPr>
        <w:t>ΔMoE 与普通 MoE。</w:t>
      </w:r>
    </w:p>
    <w:tbl>
      <w:tblPr>
        <w:tblW w:type="dxa" w:w="9360"/>
        <w:jc w:val="left"/>
        <w:tblLayout w:type="fixed"/>
        <w:tblLook w:firstColumn="1" w:firstRow="1" w:lastColumn="0" w:lastRow="0" w:noHBand="0" w:noVBand="1" w:val="04A0"/>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834"/>
        <w:gridCol w:w="741"/>
        <w:gridCol w:w="1204"/>
        <w:gridCol w:w="1482"/>
        <w:gridCol w:w="1482"/>
        <w:gridCol w:w="1019"/>
        <w:gridCol w:w="1297"/>
        <w:gridCol w:w="1301"/>
      </w:tblGrid>
      <w:tr>
        <w:trPr>
          <w:tblHeader/>
        </w:trPr>
        <w:tc>
          <w:tcPr>
            <w:tcW w:type="dxa" w:w="834"/>
            <w:tcMar>
              <w:top w:w="80" w:type="dxa"/>
              <w:start w:w="120" w:type="dxa"/>
              <w:bottom w:w="80" w:type="dxa"/>
              <w:end w:w="120" w:type="dxa"/>
            </w:tcMar>
            <w:vAlign w:val="center"/>
            <w:shd w:fill="F4F6F9"/>
          </w:tcPr>
          <w:p>
            <w:pPr>
              <w:spacing w:before="0" w:after="0" w:line="276" w:lineRule="auto"/>
              <w:jc w:val="left"/>
            </w:pPr>
            <w:r>
              <w:rPr>
                <w:b/>
                <w:color w:val="1F4D78"/>
              </w:rPr>
            </w:r>
            <w:r>
              <w:rPr>
                <w:rFonts w:ascii="Noto Sans SC" w:hAnsi="Noto Sans SC" w:eastAsia="Noto Sans SC" w:cs="Noto Sans SC"/>
                <w:b/>
                <w:i w:val="0"/>
                <w:color w:val="1F4D78"/>
                <w:sz w:val="16"/>
              </w:rPr>
              <w:t>数据集</w:t>
            </w:r>
          </w:p>
        </w:tc>
        <w:tc>
          <w:tcPr>
            <w:tcW w:type="dxa" w:w="741"/>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方法</w:t>
            </w:r>
          </w:p>
        </w:tc>
        <w:tc>
          <w:tcPr>
            <w:tcW w:type="dxa" w:w="1204"/>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IsaacGym Succ</w:t>
            </w:r>
          </w:p>
        </w:tc>
        <w:tc>
          <w:tcPr>
            <w:tcW w:type="dxa" w:w="1482"/>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IsaacGym E_MPJPE</w:t>
            </w:r>
          </w:p>
        </w:tc>
        <w:tc>
          <w:tcPr>
            <w:tcW w:type="dxa" w:w="1482"/>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IsaacGym E_MPKPE</w:t>
            </w:r>
          </w:p>
        </w:tc>
        <w:tc>
          <w:tcPr>
            <w:tcW w:type="dxa" w:w="1019"/>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MuJoCo Succ</w:t>
            </w:r>
          </w:p>
        </w:tc>
        <w:tc>
          <w:tcPr>
            <w:tcW w:type="dxa" w:w="1297"/>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MuJoCo E_MPJPE</w:t>
            </w:r>
          </w:p>
        </w:tc>
        <w:tc>
          <w:tcPr>
            <w:tcW w:type="dxa" w:w="1301"/>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MuJoCo E_MPKPE</w:t>
            </w:r>
          </w:p>
        </w:tc>
      </w:tr>
      <w:tr>
        <w:tc>
          <w:tcPr>
            <w:tcW w:type="dxa" w:w="834"/>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BEAT2</w:t>
            </w:r>
          </w:p>
        </w:tc>
        <w:tc>
          <w:tcPr>
            <w:tcW w:type="dxa" w:w="74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普通 MoE</w:t>
            </w:r>
          </w:p>
        </w:tc>
        <w:tc>
          <w:tcPr>
            <w:tcW w:type="dxa" w:w="120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0.97</w:t>
            </w:r>
          </w:p>
        </w:tc>
        <w:tc>
          <w:tcPr>
            <w:tcW w:type="dxa" w:w="148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0.14</w:t>
            </w:r>
          </w:p>
        </w:tc>
        <w:tc>
          <w:tcPr>
            <w:tcW w:type="dxa" w:w="148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0.10</w:t>
            </w:r>
          </w:p>
        </w:tc>
        <w:tc>
          <w:tcPr>
            <w:tcW w:type="dxa" w:w="1019"/>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0.94</w:t>
            </w:r>
          </w:p>
        </w:tc>
        <w:tc>
          <w:tcPr>
            <w:tcW w:type="dxa" w:w="1297"/>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0.16</w:t>
            </w:r>
          </w:p>
        </w:tc>
        <w:tc>
          <w:tcPr>
            <w:tcW w:type="dxa" w:w="130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0.14</w:t>
            </w:r>
          </w:p>
        </w:tc>
      </w:tr>
      <w:tr>
        <w:tc>
          <w:tcPr>
            <w:tcW w:type="dxa" w:w="834"/>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BEAT2</w:t>
            </w:r>
          </w:p>
        </w:tc>
        <w:tc>
          <w:tcPr>
            <w:tcW w:type="dxa" w:w="74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ΔMoE</w:t>
            </w:r>
          </w:p>
        </w:tc>
        <w:tc>
          <w:tcPr>
            <w:tcW w:type="dxa" w:w="120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0.99</w:t>
            </w:r>
          </w:p>
        </w:tc>
        <w:tc>
          <w:tcPr>
            <w:tcW w:type="dxa" w:w="148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0.05</w:t>
            </w:r>
          </w:p>
        </w:tc>
        <w:tc>
          <w:tcPr>
            <w:tcW w:type="dxa" w:w="148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0.04</w:t>
            </w:r>
          </w:p>
        </w:tc>
        <w:tc>
          <w:tcPr>
            <w:tcW w:type="dxa" w:w="1019"/>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0.96</w:t>
            </w:r>
          </w:p>
        </w:tc>
        <w:tc>
          <w:tcPr>
            <w:tcW w:type="dxa" w:w="1297"/>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0.10</w:t>
            </w:r>
          </w:p>
        </w:tc>
        <w:tc>
          <w:tcPr>
            <w:tcW w:type="dxa" w:w="130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0.09</w:t>
            </w:r>
          </w:p>
        </w:tc>
      </w:tr>
      <w:tr>
        <w:tc>
          <w:tcPr>
            <w:tcW w:type="dxa" w:w="834"/>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FineDance</w:t>
            </w:r>
          </w:p>
        </w:tc>
        <w:tc>
          <w:tcPr>
            <w:tcW w:type="dxa" w:w="74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普通 MoE</w:t>
            </w:r>
          </w:p>
        </w:tc>
        <w:tc>
          <w:tcPr>
            <w:tcW w:type="dxa" w:w="120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0.89</w:t>
            </w:r>
          </w:p>
        </w:tc>
        <w:tc>
          <w:tcPr>
            <w:tcW w:type="dxa" w:w="148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0.24</w:t>
            </w:r>
          </w:p>
        </w:tc>
        <w:tc>
          <w:tcPr>
            <w:tcW w:type="dxa" w:w="148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0.22</w:t>
            </w:r>
          </w:p>
        </w:tc>
        <w:tc>
          <w:tcPr>
            <w:tcW w:type="dxa" w:w="1019"/>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0.61</w:t>
            </w:r>
          </w:p>
        </w:tc>
        <w:tc>
          <w:tcPr>
            <w:tcW w:type="dxa" w:w="1297"/>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0.29</w:t>
            </w:r>
          </w:p>
        </w:tc>
        <w:tc>
          <w:tcPr>
            <w:tcW w:type="dxa" w:w="130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0.26</w:t>
            </w:r>
          </w:p>
        </w:tc>
      </w:tr>
      <w:tr>
        <w:tc>
          <w:tcPr>
            <w:tcW w:type="dxa" w:w="834"/>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FineDance</w:t>
            </w:r>
          </w:p>
        </w:tc>
        <w:tc>
          <w:tcPr>
            <w:tcW w:type="dxa" w:w="74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ΔMoE</w:t>
            </w:r>
          </w:p>
        </w:tc>
        <w:tc>
          <w:tcPr>
            <w:tcW w:type="dxa" w:w="120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0.93</w:t>
            </w:r>
          </w:p>
        </w:tc>
        <w:tc>
          <w:tcPr>
            <w:tcW w:type="dxa" w:w="148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0.18</w:t>
            </w:r>
          </w:p>
        </w:tc>
        <w:tc>
          <w:tcPr>
            <w:tcW w:type="dxa" w:w="148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0.16</w:t>
            </w:r>
          </w:p>
        </w:tc>
        <w:tc>
          <w:tcPr>
            <w:tcW w:type="dxa" w:w="1019"/>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0.67</w:t>
            </w:r>
          </w:p>
        </w:tc>
        <w:tc>
          <w:tcPr>
            <w:tcW w:type="dxa" w:w="1297"/>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0.26</w:t>
            </w:r>
          </w:p>
        </w:tc>
        <w:tc>
          <w:tcPr>
            <w:tcW w:type="dxa" w:w="130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0.24</w:t>
            </w:r>
          </w:p>
        </w:tc>
      </w:tr>
    </w:tbl>
    <w:p>
      <w:pPr>
        <w:spacing w:before="80" w:after="80"/>
      </w:pPr>
    </w:p>
    <w:p>
      <w:r>
        <w:rPr>
          <w:rFonts w:ascii="Noto Sans SC" w:hAnsi="Noto Sans SC" w:eastAsia="Noto Sans SC" w:cs="Noto Sans SC"/>
          <w:b w:val="0"/>
          <w:i w:val="0"/>
          <w:sz w:val="22"/>
        </w:rPr>
        <w:t>t-SNE 显示普通 MoE 专家特征大量重叠；ΔMoE 对 a_1,a_2-a_1,,a_4-a_3 聚类后，各分量更独立。作者将其比作完成绘画：从空白画布开始逐步加入轮廓和色彩，每一笔都增加不冗余细节。</w:t>
      </w:r>
    </w:p>
    <w:p>
      <w:r>
        <w:rPr>
          <w:rFonts w:ascii="Noto Sans SC" w:hAnsi="Noto Sans SC" w:eastAsia="Noto Sans SC" w:cs="Noto Sans SC"/>
          <w:b/>
          <w:i w:val="0"/>
          <w:sz w:val="22"/>
        </w:rPr>
        <w:t>有无内容潜变量。</w:t>
      </w:r>
      <w:r>
        <w:rPr>
          <w:rFonts w:ascii="Noto Sans SC" w:hAnsi="Noto Sans SC" w:eastAsia="Noto Sans SC" w:cs="Noto Sans SC"/>
          <w:b w:val="0"/>
          <w:i w:val="0"/>
          <w:sz w:val="22"/>
        </w:rPr>
        <w:t xml:space="preserve"> 音频主要调制节奏和节拍，不直接规定全部细粒度运动学。因此内容动作潜变量作为主控制信号，音频在扩散过程中逐步调制。两项任务均使用 LaMP-T2M；舞蹈文本固定为“一个人在随音乐跳舞”，演讲文本固定为“一个人在演讲”。加入内容潜变量后跟踪精度显著提高。</w:t>
      </w:r>
    </w:p>
    <w:p>
      <w:r>
        <w:rPr>
          <w:rFonts w:ascii="Noto Sans SC" w:hAnsi="Noto Sans SC" w:eastAsia="Noto Sans SC" w:cs="Noto Sans SC"/>
          <w:b/>
          <w:i w:val="0"/>
          <w:sz w:val="22"/>
        </w:rPr>
        <w:t>有无音频适配器。</w:t>
      </w:r>
      <w:r>
        <w:rPr>
          <w:rFonts w:ascii="Noto Sans SC" w:hAnsi="Noto Sans SC" w:eastAsia="Noto Sans SC" w:cs="Noto Sans SC"/>
          <w:b w:val="0"/>
          <w:i w:val="0"/>
          <w:sz w:val="22"/>
        </w:rPr>
        <w:t xml:space="preserve"> 把音频与动作潜空间对齐并注入运动学线索，可更有效地引导动作合成，提高成功率、跟踪精度和节奏一致性。论文还报告节奏命中率/节拍对齐分数。</w:t>
      </w:r>
    </w:p>
    <w:p>
      <w:pPr>
        <w:pStyle w:val="Heading2"/>
      </w:pPr>
      <w:r>
        <w:rPr>
          <w:rFonts w:ascii="Noto Sans SC" w:hAnsi="Noto Sans SC" w:eastAsia="Noto Sans SC" w:cs="Noto Sans SC"/>
          <w:b w:val="0"/>
          <w:i w:val="0"/>
          <w:sz w:val="26"/>
        </w:rPr>
        <w:t>5 结论</w:t>
      </w:r>
    </w:p>
    <w:p>
      <w:r>
        <w:rPr>
          <w:rFonts w:ascii="Noto Sans SC" w:hAnsi="Noto Sans SC" w:eastAsia="Noto Sans SC" w:cs="Noto Sans SC"/>
          <w:b w:val="0"/>
          <w:i w:val="0"/>
          <w:sz w:val="22"/>
        </w:rPr>
        <w:t>本文提出 RoboPerform，一种无在线重定向的音频到运动框架，统一音乐驱动舞蹈和语音驱动共语手势。通过“动作 = 内容 + 风格”，系统利用预训练动作潜变量提供语义依据，并把节奏感知音频特征注入扩散策略。ΔMoE 增强行为多样性，内容—风格解耦保证时间连贯且物理合理的执行。RoboPerform 取得更好的跟踪性能和更快的部署速度，把人形机器人控制重新解释为一种表现行为，并回答标题中的问题：是的，人形机器人能够即兴发挥。</w:t>
      </w:r>
    </w:p>
    <w:p>
      <w:pPr>
        <w:pStyle w:val="Heading1"/>
        <w:pageBreakBefore/>
      </w:pPr>
      <w:r>
        <w:rPr>
          <w:rFonts w:ascii="Noto Sans SC" w:hAnsi="Noto Sans SC" w:eastAsia="Noto Sans SC" w:cs="Noto Sans SC"/>
          <w:b w:val="0"/>
          <w:i w:val="0"/>
          <w:sz w:val="32"/>
        </w:rPr>
        <w:t>补充材料</w:t>
      </w:r>
    </w:p>
    <w:p>
      <w:pPr>
        <w:pStyle w:val="Heading2"/>
      </w:pPr>
      <w:r>
        <w:rPr>
          <w:rFonts w:ascii="Noto Sans SC" w:hAnsi="Noto Sans SC" w:eastAsia="Noto Sans SC" w:cs="Noto Sans SC"/>
          <w:b w:val="0"/>
          <w:i w:val="0"/>
          <w:sz w:val="26"/>
        </w:rPr>
        <w:t>补充材料概览</w:t>
      </w:r>
    </w:p>
    <w:p>
      <w:r>
        <w:rPr>
          <w:rFonts w:ascii="Noto Sans SC" w:hAnsi="Noto Sans SC" w:eastAsia="Noto Sans SC" w:cs="Noto Sans SC"/>
          <w:b w:val="0"/>
          <w:i w:val="0"/>
          <w:sz w:val="22"/>
        </w:rPr>
        <w:t>第 6 节给出训练细节，包括数据、动作筛选与重定向、仿真器、域随机化、正则、奖励、课程学习和自适应 σ；第 7 节说明动作跟踪和动作—音频对齐指标；第 8 节给出音频—动作对齐、ΔMoE 与扩散策略的更多实验；第 9 节给出仿真和真实世界的额外定性结果。</w:t>
      </w:r>
    </w:p>
    <w:p>
      <w:pPr>
        <w:pStyle w:val="Heading2"/>
      </w:pPr>
      <w:r>
        <w:rPr>
          <w:rFonts w:ascii="Noto Sans SC" w:hAnsi="Noto Sans SC" w:eastAsia="Noto Sans SC" w:cs="Noto Sans SC"/>
          <w:b w:val="0"/>
          <w:i w:val="0"/>
          <w:sz w:val="26"/>
        </w:rPr>
        <w:t>6 实现细节</w:t>
      </w:r>
    </w:p>
    <w:p>
      <w:pPr>
        <w:pStyle w:val="Heading3"/>
      </w:pPr>
      <w:r>
        <w:rPr>
          <w:rFonts w:ascii="Noto Sans SC" w:hAnsi="Noto Sans SC" w:eastAsia="Noto Sans SC" w:cs="Noto Sans SC"/>
          <w:b w:val="0"/>
          <w:i w:val="0"/>
          <w:sz w:val="24"/>
        </w:rPr>
        <w:t>6.1 状态表示与网络</w:t>
      </w:r>
    </w:p>
    <w:p>
      <w:r>
        <w:rPr>
          <w:rFonts w:ascii="Noto Sans SC" w:hAnsi="Noto Sans SC" w:eastAsia="Noto Sans SC" w:cs="Noto Sans SC"/>
          <w:b w:val="0"/>
          <w:i w:val="0"/>
          <w:sz w:val="22"/>
        </w:rPr>
        <w:t>教师和学生共享当前本体状态类型，但学生使用更长历史弥补特权信息缺失。本体信息包括关节位置、关节速度、上一动作、根角速度和投影重力，并为教师加入此前 4 帧历史。</w:t>
      </w:r>
    </w:p>
    <w:p>
      <w:r>
        <w:rPr>
          <w:rFonts w:ascii="Noto Sans SC" w:hAnsi="Noto Sans SC" w:eastAsia="Noto Sans SC" w:cs="Noto Sans SC"/>
          <w:b w:val="0"/>
          <w:i w:val="0"/>
          <w:sz w:val="22"/>
        </w:rPr>
        <w:t>特权信息与本体状态共同构成评论家网络观测，包括根线速度、参考身体位置、身体位置差、随机基座质心偏移、随机连杆质量、随机刚度/阻尼、摩擦和控制延迟。教师显式接收参考动作；学生不接收这些目标，而是接收 25 帧历史本体状态、内容动作潜变量和风格音频潜变量。两种策略均输出 23 维目标关节位置。</w:t>
      </w:r>
    </w:p>
    <w:tbl>
      <w:tblPr>
        <w:tblW w:type="dxa" w:w="9360"/>
        <w:jc w:val="left"/>
        <w:tblLayout w:type="fixed"/>
        <w:tblLook w:firstColumn="1" w:firstRow="1" w:lastColumn="0" w:lastRow="0" w:noHBand="0" w:noVBand="1" w:val="04A0"/>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4680"/>
        <w:gridCol w:w="4680"/>
      </w:tblGrid>
      <w:tr>
        <w:trPr>
          <w:tblHeader/>
        </w:trPr>
        <w:tc>
          <w:tcPr>
            <w:tcW w:type="dxa" w:w="4680"/>
            <w:tcMar>
              <w:top w:w="80" w:type="dxa"/>
              <w:start w:w="120" w:type="dxa"/>
              <w:bottom w:w="80" w:type="dxa"/>
              <w:end w:w="120" w:type="dxa"/>
            </w:tcMar>
            <w:vAlign w:val="center"/>
            <w:shd w:fill="F4F6F9"/>
          </w:tcPr>
          <w:p>
            <w:pPr>
              <w:spacing w:before="0" w:after="0" w:line="276" w:lineRule="auto"/>
              <w:jc w:val="left"/>
            </w:pPr>
            <w:r>
              <w:rPr>
                <w:b/>
                <w:color w:val="1F4D78"/>
              </w:rPr>
            </w:r>
            <w:r>
              <w:rPr>
                <w:rFonts w:ascii="Noto Sans SC" w:hAnsi="Noto Sans SC" w:eastAsia="Noto Sans SC" w:cs="Noto Sans SC"/>
                <w:b/>
                <w:i w:val="0"/>
                <w:color w:val="1F4D78"/>
                <w:sz w:val="18"/>
              </w:rPr>
              <w:t>教师本体状态</w:t>
            </w:r>
          </w:p>
        </w:tc>
        <w:tc>
          <w:tcPr>
            <w:tcW w:type="dxa" w:w="4680"/>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8"/>
              </w:rPr>
              <w:t>维度</w:t>
            </w:r>
          </w:p>
        </w:tc>
      </w:tr>
      <w:tr>
        <w:tc>
          <w:tcPr>
            <w:tcW w:type="dxa" w:w="468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关节位置</w:t>
            </w:r>
          </w:p>
        </w:tc>
        <w:tc>
          <w:tcPr>
            <w:tcW w:type="dxa" w:w="468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23×(1+4)</w:t>
            </w:r>
          </w:p>
        </w:tc>
      </w:tr>
      <w:tr>
        <w:tc>
          <w:tcPr>
            <w:tcW w:type="dxa" w:w="468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关节速度</w:t>
            </w:r>
          </w:p>
        </w:tc>
        <w:tc>
          <w:tcPr>
            <w:tcW w:type="dxa" w:w="468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23×(1+4)</w:t>
            </w:r>
          </w:p>
        </w:tc>
      </w:tr>
      <w:tr>
        <w:tc>
          <w:tcPr>
            <w:tcW w:type="dxa" w:w="468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上一动作</w:t>
            </w:r>
          </w:p>
        </w:tc>
        <w:tc>
          <w:tcPr>
            <w:tcW w:type="dxa" w:w="468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23×(1+4)</w:t>
            </w:r>
          </w:p>
        </w:tc>
      </w:tr>
      <w:tr>
        <w:tc>
          <w:tcPr>
            <w:tcW w:type="dxa" w:w="468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根角速度</w:t>
            </w:r>
          </w:p>
        </w:tc>
        <w:tc>
          <w:tcPr>
            <w:tcW w:type="dxa" w:w="468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3×(1+4)</w:t>
            </w:r>
          </w:p>
        </w:tc>
      </w:tr>
      <w:tr>
        <w:tc>
          <w:tcPr>
            <w:tcW w:type="dxa" w:w="468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投影重力</w:t>
            </w:r>
          </w:p>
        </w:tc>
        <w:tc>
          <w:tcPr>
            <w:tcW w:type="dxa" w:w="468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3×(1+4)</w:t>
            </w:r>
          </w:p>
        </w:tc>
      </w:tr>
      <w:tr>
        <w:tc>
          <w:tcPr>
            <w:tcW w:type="dxa" w:w="468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合计</w:t>
            </w:r>
          </w:p>
        </w:tc>
        <w:tc>
          <w:tcPr>
            <w:tcW w:type="dxa" w:w="468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489</w:t>
            </w:r>
          </w:p>
        </w:tc>
      </w:tr>
    </w:tbl>
    <w:p>
      <w:pPr>
        <w:spacing w:before="80" w:after="80"/>
      </w:pPr>
    </w:p>
    <w:tbl>
      <w:tblPr>
        <w:tblW w:type="dxa" w:w="9360"/>
        <w:jc w:val="left"/>
        <w:tblLayout w:type="fixed"/>
        <w:tblLook w:firstColumn="1" w:firstRow="1" w:lastColumn="0" w:lastRow="0" w:noHBand="0" w:noVBand="1" w:val="04A0"/>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4680"/>
        <w:gridCol w:w="4680"/>
      </w:tblGrid>
      <w:tr>
        <w:trPr>
          <w:tblHeader/>
        </w:trPr>
        <w:tc>
          <w:tcPr>
            <w:tcW w:type="dxa" w:w="4680"/>
            <w:tcMar>
              <w:top w:w="80" w:type="dxa"/>
              <w:start w:w="120" w:type="dxa"/>
              <w:bottom w:w="80" w:type="dxa"/>
              <w:end w:w="120" w:type="dxa"/>
            </w:tcMar>
            <w:vAlign w:val="center"/>
            <w:shd w:fill="F4F6F9"/>
          </w:tcPr>
          <w:p>
            <w:pPr>
              <w:spacing w:before="0" w:after="0" w:line="276" w:lineRule="auto"/>
              <w:jc w:val="left"/>
            </w:pPr>
            <w:r>
              <w:rPr>
                <w:b/>
                <w:color w:val="1F4D78"/>
              </w:rPr>
            </w:r>
            <w:r>
              <w:rPr>
                <w:rFonts w:ascii="Noto Sans SC" w:hAnsi="Noto Sans SC" w:eastAsia="Noto Sans SC" w:cs="Noto Sans SC"/>
                <w:b/>
                <w:i w:val="0"/>
                <w:color w:val="1F4D78"/>
                <w:sz w:val="18"/>
              </w:rPr>
              <w:t>特权信息</w:t>
            </w:r>
          </w:p>
        </w:tc>
        <w:tc>
          <w:tcPr>
            <w:tcW w:type="dxa" w:w="4680"/>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8"/>
              </w:rPr>
              <w:t>维度</w:t>
            </w:r>
          </w:p>
        </w:tc>
      </w:tr>
      <w:tr>
        <w:tc>
          <w:tcPr>
            <w:tcW w:type="dxa" w:w="468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根线速度</w:t>
            </w:r>
          </w:p>
        </w:tc>
        <w:tc>
          <w:tcPr>
            <w:tcW w:type="dxa" w:w="468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3×(1+4)</w:t>
            </w:r>
          </w:p>
        </w:tc>
      </w:tr>
      <w:tr>
        <w:tc>
          <w:tcPr>
            <w:tcW w:type="dxa" w:w="468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参考身体位置</w:t>
            </w:r>
          </w:p>
        </w:tc>
        <w:tc>
          <w:tcPr>
            <w:tcW w:type="dxa" w:w="468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81</w:t>
            </w:r>
          </w:p>
        </w:tc>
      </w:tr>
      <w:tr>
        <w:tc>
          <w:tcPr>
            <w:tcW w:type="dxa" w:w="468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身体位置差</w:t>
            </w:r>
          </w:p>
        </w:tc>
        <w:tc>
          <w:tcPr>
            <w:tcW w:type="dxa" w:w="468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81</w:t>
            </w:r>
          </w:p>
        </w:tc>
      </w:tr>
      <w:tr>
        <w:tc>
          <w:tcPr>
            <w:tcW w:type="dxa" w:w="468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随机基座质心偏移</w:t>
            </w:r>
          </w:p>
        </w:tc>
        <w:tc>
          <w:tcPr>
            <w:tcW w:type="dxa" w:w="468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3</w:t>
            </w:r>
          </w:p>
        </w:tc>
      </w:tr>
      <w:tr>
        <w:tc>
          <w:tcPr>
            <w:tcW w:type="dxa" w:w="468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随机连杆质量</w:t>
            </w:r>
          </w:p>
        </w:tc>
        <w:tc>
          <w:tcPr>
            <w:tcW w:type="dxa" w:w="468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22</w:t>
            </w:r>
          </w:p>
        </w:tc>
      </w:tr>
      <w:tr>
        <w:tc>
          <w:tcPr>
            <w:tcW w:type="dxa" w:w="468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随机刚度</w:t>
            </w:r>
          </w:p>
        </w:tc>
        <w:tc>
          <w:tcPr>
            <w:tcW w:type="dxa" w:w="468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23</w:t>
            </w:r>
          </w:p>
        </w:tc>
      </w:tr>
      <w:tr>
        <w:tc>
          <w:tcPr>
            <w:tcW w:type="dxa" w:w="468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随机阻尼</w:t>
            </w:r>
          </w:p>
        </w:tc>
        <w:tc>
          <w:tcPr>
            <w:tcW w:type="dxa" w:w="468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23</w:t>
            </w:r>
          </w:p>
        </w:tc>
      </w:tr>
      <w:tr>
        <w:tc>
          <w:tcPr>
            <w:tcW w:type="dxa" w:w="468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随机摩擦系数</w:t>
            </w:r>
          </w:p>
        </w:tc>
        <w:tc>
          <w:tcPr>
            <w:tcW w:type="dxa" w:w="468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1</w:t>
            </w:r>
          </w:p>
        </w:tc>
      </w:tr>
      <w:tr>
        <w:tc>
          <w:tcPr>
            <w:tcW w:type="dxa" w:w="468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随机控制延迟</w:t>
            </w:r>
          </w:p>
        </w:tc>
        <w:tc>
          <w:tcPr>
            <w:tcW w:type="dxa" w:w="468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1</w:t>
            </w:r>
          </w:p>
        </w:tc>
      </w:tr>
      <w:tr>
        <w:tc>
          <w:tcPr>
            <w:tcW w:type="dxa" w:w="468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合计</w:t>
            </w:r>
          </w:p>
        </w:tc>
        <w:tc>
          <w:tcPr>
            <w:tcW w:type="dxa" w:w="468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250</w:t>
            </w:r>
          </w:p>
        </w:tc>
      </w:tr>
    </w:tbl>
    <w:p>
      <w:pPr>
        <w:spacing w:before="80" w:after="80"/>
      </w:pPr>
    </w:p>
    <w:tbl>
      <w:tblPr>
        <w:tblW w:type="dxa" w:w="9360"/>
        <w:jc w:val="left"/>
        <w:tblLayout w:type="fixed"/>
        <w:tblLook w:firstColumn="1" w:firstRow="1" w:lastColumn="0" w:lastRow="0" w:noHBand="0" w:noVBand="1" w:val="04A0"/>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4404"/>
        <w:gridCol w:w="4956"/>
      </w:tblGrid>
      <w:tr>
        <w:trPr>
          <w:tblHeader/>
        </w:trPr>
        <w:tc>
          <w:tcPr>
            <w:tcW w:type="dxa" w:w="4404"/>
            <w:tcMar>
              <w:top w:w="80" w:type="dxa"/>
              <w:start w:w="120" w:type="dxa"/>
              <w:bottom w:w="80" w:type="dxa"/>
              <w:end w:w="120" w:type="dxa"/>
            </w:tcMar>
            <w:vAlign w:val="center"/>
            <w:shd w:fill="F4F6F9"/>
          </w:tcPr>
          <w:p>
            <w:pPr>
              <w:spacing w:before="0" w:after="0" w:line="276" w:lineRule="auto"/>
              <w:jc w:val="left"/>
            </w:pPr>
            <w:r>
              <w:rPr>
                <w:b/>
                <w:color w:val="1F4D78"/>
              </w:rPr>
            </w:r>
            <w:r>
              <w:rPr>
                <w:rFonts w:ascii="Noto Sans SC" w:hAnsi="Noto Sans SC" w:eastAsia="Noto Sans SC" w:cs="Noto Sans SC"/>
                <w:b/>
                <w:i w:val="0"/>
                <w:color w:val="1F4D78"/>
                <w:sz w:val="18"/>
              </w:rPr>
              <w:t>学生输入</w:t>
            </w:r>
          </w:p>
        </w:tc>
        <w:tc>
          <w:tcPr>
            <w:tcW w:type="dxa" w:w="4956"/>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8"/>
              </w:rPr>
              <w:t>维度</w:t>
            </w:r>
          </w:p>
        </w:tc>
      </w:tr>
      <w:tr>
        <w:tc>
          <w:tcPr>
            <w:tcW w:type="dxa" w:w="4404"/>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动作内容潜变量</w:t>
            </w:r>
          </w:p>
        </w:tc>
        <w:tc>
          <w:tcPr>
            <w:tcW w:type="dxa" w:w="495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64</w:t>
            </w:r>
          </w:p>
        </w:tc>
      </w:tr>
      <w:tr>
        <w:tc>
          <w:tcPr>
            <w:tcW w:type="dxa" w:w="4404"/>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音频潜变量</w:t>
            </w:r>
          </w:p>
        </w:tc>
        <w:tc>
          <w:tcPr>
            <w:tcW w:type="dxa" w:w="495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256</w:t>
            </w:r>
          </w:p>
        </w:tc>
      </w:tr>
      <w:tr>
        <w:tc>
          <w:tcPr>
            <w:tcW w:type="dxa" w:w="4404"/>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本体状态历史</w:t>
            </w:r>
          </w:p>
        </w:tc>
        <w:tc>
          <w:tcPr>
            <w:tcW w:type="dxa" w:w="495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75×(25+1)</w:t>
            </w:r>
          </w:p>
        </w:tc>
      </w:tr>
      <w:tr>
        <w:tc>
          <w:tcPr>
            <w:tcW w:type="dxa" w:w="4404"/>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合计</w:t>
            </w:r>
          </w:p>
        </w:tc>
        <w:tc>
          <w:tcPr>
            <w:tcW w:type="dxa" w:w="495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2270</w:t>
            </w:r>
          </w:p>
        </w:tc>
      </w:tr>
    </w:tbl>
    <w:p>
      <w:pPr>
        <w:spacing w:before="80" w:after="80"/>
      </w:pPr>
    </w:p>
    <w:p>
      <w:r>
        <w:rPr>
          <w:rFonts w:ascii="Noto Sans SC" w:hAnsi="Noto Sans SC" w:eastAsia="Noto Sans SC" w:cs="Noto Sans SC"/>
          <w:b w:val="0"/>
          <w:i w:val="0"/>
          <w:sz w:val="22"/>
        </w:rPr>
        <w:t>教师以 PPO 训练。第一个专家所有条件为零；第二个只接收本体状态，其余位置补零；此后逐步增加条件，第四个使用全部条件。门控网络产生权重并进行残差加权。学生使用 DAgger，不访问特权信息和显式参考动作；音频经适配器注入运动学信息后，与其他条件拼接进入 MLP 扩散模型，通过 AdaLN 在去噪过程中持续注入。</w:t>
      </w:r>
    </w:p>
    <w:p>
      <w:r>
        <w:rPr>
          <w:rFonts w:ascii="Noto Sans SC" w:hAnsi="Noto Sans SC" w:eastAsia="Noto Sans SC" w:cs="Noto Sans SC"/>
          <w:b w:val="0"/>
          <w:i w:val="0"/>
          <w:sz w:val="22"/>
        </w:rPr>
        <w:t>教师优化器为 Adam，β_1/β_2=0.9/0.999，学习率 10^-3，批量 8192。PPO 折扣 0.99、GAE 衰减 0.95、裁剪 0.2、熵系数 0.01、最大梯度范数 1、每轮 5 个 epoch、4 个 mini-batch、价值损失系数 1.0。价值 MLP 为 [512,256,128]，演员 MLP 为 [768,512,128]，专家数为 4。学生共有 4 层骨干加 1 个末层，尺寸 [1792,1792,1792,23]。</w:t>
      </w:r>
    </w:p>
    <w:p>
      <w:pPr>
        <w:pStyle w:val="Heading3"/>
      </w:pPr>
      <w:r>
        <w:rPr>
          <w:rFonts w:ascii="Noto Sans SC" w:hAnsi="Noto Sans SC" w:eastAsia="Noto Sans SC" w:cs="Noto Sans SC"/>
          <w:b w:val="0"/>
          <w:i w:val="0"/>
          <w:sz w:val="24"/>
        </w:rPr>
        <w:t>6.2 动作筛选与重定向</w:t>
      </w:r>
    </w:p>
    <w:p>
      <w:r>
        <w:rPr>
          <w:rFonts w:ascii="Noto Sans SC" w:hAnsi="Noto Sans SC" w:eastAsia="Noto Sans SC" w:cs="Noto Sans SC"/>
          <w:b w:val="0"/>
          <w:i w:val="0"/>
          <w:sz w:val="22"/>
        </w:rPr>
        <w:t>按照相关工作，系统计算每帧质心 CoM 与压力中心 CoP 的地面投影距离：</w:t>
      </w:r>
    </w:p>
    <w:p>
      <w:pPr>
        <w:spacing w:before="100" w:after="160"/>
        <w:jc w:val="center"/>
      </w:pPr>
      <w:r>
        <w:rPr>
          <w:rFonts w:ascii="DejaVu Math TeX Gyre" w:hAnsi="DejaVu Math TeX Gyre" w:eastAsia="DejaVu Math TeX Gyre" w:cs="DejaVu Math TeX Gyre"/>
          <w:sz w:val="21"/>
        </w:rPr>
        <w:t>Δ d_t=| p_t^CoM- p_t^CoP|_2.</w:t>
      </w:r>
    </w:p>
    <w:p>
      <w:r>
        <w:rPr>
          <w:rFonts w:ascii="Noto Sans SC" w:hAnsi="Noto Sans SC" w:eastAsia="Noto Sans SC" w:cs="Noto Sans SC"/>
          <w:b w:val="0"/>
          <w:i w:val="0"/>
          <w:sz w:val="22"/>
        </w:rPr>
        <w:t>若 Δ d_t&lt;ε_stab，则该帧稳定。一条动作仅在首帧和末帧稳定，且最长连续不稳定片段少于 100 帧时保留。</w:t>
      </w:r>
    </w:p>
    <w:p>
      <w:pPr>
        <w:pStyle w:val="Heading3"/>
      </w:pPr>
      <w:r>
        <w:rPr>
          <w:rFonts w:ascii="Noto Sans SC" w:hAnsi="Noto Sans SC" w:eastAsia="Noto Sans SC" w:cs="Noto Sans SC"/>
          <w:b w:val="0"/>
          <w:i w:val="0"/>
          <w:sz w:val="24"/>
        </w:rPr>
        <w:t>6.3 仿真与参考状态初始化</w:t>
      </w:r>
    </w:p>
    <w:p>
      <w:r>
        <w:rPr>
          <w:rFonts w:ascii="Noto Sans SC" w:hAnsi="Noto Sans SC" w:eastAsia="Noto Sans SC" w:cs="Noto Sans SC"/>
          <w:b w:val="0"/>
          <w:i w:val="0"/>
          <w:sz w:val="22"/>
        </w:rPr>
        <w:t>系统采用三阶段流程：在 IsaacGym 中大规模强化学习训练；零样本迁移到 MuJoCo 评估跨仿真泛化；部署到 Unitree G1 验证真实表现。</w:t>
      </w:r>
    </w:p>
    <w:p>
      <w:r>
        <w:rPr>
          <w:rFonts w:ascii="Noto Sans SC" w:hAnsi="Noto Sans SC" w:eastAsia="Noto Sans SC" w:cs="Noto Sans SC"/>
          <w:b w:val="0"/>
          <w:i w:val="0"/>
          <w:sz w:val="22"/>
        </w:rPr>
        <w:t>为避免每个 episode 都从参考首帧开始而过拟合简单片段，采用 RSI：在 [0,1] 均匀采样动作相位，并把根位置、姿态、线/角速度和关节位置/速度初始化为该相位参考值。这样策略能并行学习高度动态全身动作的不同片段。</w:t>
      </w:r>
    </w:p>
    <w:p>
      <w:pPr>
        <w:pStyle w:val="Heading3"/>
      </w:pPr>
      <w:r>
        <w:rPr>
          <w:rFonts w:ascii="Noto Sans SC" w:hAnsi="Noto Sans SC" w:eastAsia="Noto Sans SC" w:cs="Noto Sans SC"/>
          <w:b w:val="0"/>
          <w:i w:val="0"/>
          <w:sz w:val="24"/>
        </w:rPr>
        <w:t>6.4 域随机化与正则化</w:t>
      </w:r>
    </w:p>
    <w:tbl>
      <w:tblPr>
        <w:tblW w:type="dxa" w:w="9360"/>
        <w:jc w:val="left"/>
        <w:tblLayout w:type="fixed"/>
        <w:tblLook w:firstColumn="1" w:firstRow="1" w:lastColumn="0" w:lastRow="0" w:noHBand="0" w:noVBand="1" w:val="04A0"/>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3255"/>
        <w:gridCol w:w="6105"/>
      </w:tblGrid>
      <w:tr>
        <w:trPr>
          <w:tblHeader/>
        </w:trPr>
        <w:tc>
          <w:tcPr>
            <w:tcW w:type="dxa" w:w="3255"/>
            <w:tcMar>
              <w:top w:w="80" w:type="dxa"/>
              <w:start w:w="120" w:type="dxa"/>
              <w:bottom w:w="80" w:type="dxa"/>
              <w:end w:w="120" w:type="dxa"/>
            </w:tcMar>
            <w:vAlign w:val="center"/>
            <w:shd w:fill="F4F6F9"/>
          </w:tcPr>
          <w:p>
            <w:pPr>
              <w:spacing w:before="0" w:after="0" w:line="276" w:lineRule="auto"/>
              <w:jc w:val="left"/>
            </w:pPr>
            <w:r>
              <w:rPr>
                <w:b/>
                <w:color w:val="1F4D78"/>
              </w:rPr>
            </w:r>
            <w:r>
              <w:rPr>
                <w:rFonts w:ascii="Noto Sans SC" w:hAnsi="Noto Sans SC" w:eastAsia="Noto Sans SC" w:cs="Noto Sans SC"/>
                <w:b/>
                <w:i w:val="0"/>
                <w:color w:val="1F4D78"/>
                <w:sz w:val="18"/>
              </w:rPr>
              <w:t>项目</w:t>
            </w:r>
          </w:p>
        </w:tc>
        <w:tc>
          <w:tcPr>
            <w:tcW w:type="dxa" w:w="6105"/>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8"/>
              </w:rPr>
              <w:t>范围/数值</w:t>
            </w:r>
          </w:p>
        </w:tc>
      </w:tr>
      <w:tr>
        <w:tc>
          <w:tcPr>
            <w:tcW w:type="dxa" w:w="3255"/>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摩擦</w:t>
            </w:r>
          </w:p>
        </w:tc>
        <w:tc>
          <w:tcPr>
            <w:tcW w:type="dxa" w:w="6105"/>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U(0.2,1.5)</w:t>
            </w:r>
          </w:p>
        </w:tc>
      </w:tr>
      <w:tr>
        <w:tc>
          <w:tcPr>
            <w:tcW w:type="dxa" w:w="3255"/>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PD 增益</w:t>
            </w:r>
          </w:p>
        </w:tc>
        <w:tc>
          <w:tcPr>
            <w:tcW w:type="dxa" w:w="6105"/>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U(0.75,1.25)</w:t>
            </w:r>
          </w:p>
        </w:tc>
      </w:tr>
      <w:tr>
        <w:tc>
          <w:tcPr>
            <w:tcW w:type="dxa" w:w="3255"/>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连杆质量</w:t>
            </w:r>
          </w:p>
        </w:tc>
        <w:tc>
          <w:tcPr>
            <w:tcW w:type="dxa" w:w="6105"/>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U(0.9,1.1)× 默认值</w:t>
            </w:r>
          </w:p>
        </w:tc>
      </w:tr>
      <w:tr>
        <w:tc>
          <w:tcPr>
            <w:tcW w:type="dxa" w:w="3255"/>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踝关节惯量</w:t>
            </w:r>
          </w:p>
        </w:tc>
        <w:tc>
          <w:tcPr>
            <w:tcW w:type="dxa" w:w="6105"/>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U(0.9,1.1)× 默认值</w:t>
            </w:r>
          </w:p>
        </w:tc>
      </w:tr>
      <w:tr>
        <w:tc>
          <w:tcPr>
            <w:tcW w:type="dxa" w:w="3255"/>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基座质心偏移</w:t>
            </w:r>
          </w:p>
        </w:tc>
        <w:tc>
          <w:tcPr>
            <w:tcW w:type="dxa" w:w="6105"/>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U(-0.05,0.05) m</w:t>
            </w:r>
          </w:p>
        </w:tc>
      </w:tr>
      <w:tr>
        <w:tc>
          <w:tcPr>
            <w:tcW w:type="dxa" w:w="3255"/>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ERFI</w:t>
            </w:r>
          </w:p>
        </w:tc>
        <w:tc>
          <w:tcPr>
            <w:tcW w:type="dxa" w:w="6105"/>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0.05× 力矩上限</w:t>
            </w:r>
          </w:p>
        </w:tc>
      </w:tr>
      <w:tr>
        <w:tc>
          <w:tcPr>
            <w:tcW w:type="dxa" w:w="3255"/>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控制延迟</w:t>
            </w:r>
          </w:p>
        </w:tc>
        <w:tc>
          <w:tcPr>
            <w:tcW w:type="dxa" w:w="6105"/>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U(0,40) ms</w:t>
            </w:r>
          </w:p>
        </w:tc>
      </w:tr>
      <w:tr>
        <w:tc>
          <w:tcPr>
            <w:tcW w:type="dxa" w:w="3255"/>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随机推力间隔</w:t>
            </w:r>
          </w:p>
        </w:tc>
        <w:tc>
          <w:tcPr>
            <w:tcW w:type="dxa" w:w="6105"/>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5–10 s</w:t>
            </w:r>
          </w:p>
        </w:tc>
      </w:tr>
      <w:tr>
        <w:tc>
          <w:tcPr>
            <w:tcW w:type="dxa" w:w="3255"/>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8"/>
              </w:rPr>
              <w:t>随机推力速度</w:t>
            </w:r>
          </w:p>
        </w:tc>
        <w:tc>
          <w:tcPr>
            <w:tcW w:type="dxa" w:w="6105"/>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8"/>
              </w:rPr>
              <w:t>0.5 m/s</w:t>
            </w:r>
          </w:p>
        </w:tc>
      </w:tr>
    </w:tbl>
    <w:p>
      <w:pPr>
        <w:spacing w:before="80" w:after="80"/>
      </w:pPr>
    </w:p>
    <w:p>
      <w:pPr>
        <w:pStyle w:val="Heading3"/>
      </w:pPr>
      <w:r>
        <w:rPr>
          <w:rFonts w:ascii="Noto Sans SC" w:hAnsi="Noto Sans SC" w:eastAsia="Noto Sans SC" w:cs="Noto Sans SC"/>
          <w:b w:val="0"/>
          <w:i w:val="0"/>
          <w:sz w:val="24"/>
        </w:rPr>
        <w:t>6.5 动作跟踪奖励</w:t>
      </w:r>
    </w:p>
    <w:p>
      <w:r>
        <w:rPr>
          <w:rFonts w:ascii="Noto Sans SC" w:hAnsi="Noto Sans SC" w:eastAsia="Noto Sans SC" w:cs="Noto Sans SC"/>
          <w:b w:val="0"/>
          <w:i w:val="0"/>
          <w:sz w:val="22"/>
        </w:rPr>
        <w:t>奖励由任务跟踪与正则项组成。硬关节位置上下限 q_min,q_max 的中点和范围为</w:t>
      </w:r>
    </w:p>
    <w:p>
      <w:pPr>
        <w:spacing w:before="100" w:after="160"/>
        <w:jc w:val="center"/>
      </w:pPr>
      <w:r>
        <w:rPr>
          <w:rFonts w:ascii="DejaVu Math TeX Gyre" w:hAnsi="DejaVu Math TeX Gyre" w:eastAsia="DejaVu Math TeX Gyre" w:cs="DejaVu Math TeX Gyre"/>
          <w:sz w:val="21"/>
        </w:rPr>
        <w:t>m=(q_min+q_max)/2, d=q_max-q_min.</w:t>
      </w:r>
    </w:p>
    <w:p>
      <w:r>
        <w:rPr>
          <w:rFonts w:ascii="Noto Sans SC" w:hAnsi="Noto Sans SC" w:eastAsia="Noto Sans SC" w:cs="Noto Sans SC"/>
          <w:b w:val="0"/>
          <w:i w:val="0"/>
          <w:sz w:val="22"/>
        </w:rPr>
        <w:t>取 α=0.95，软限制为</w:t>
      </w:r>
    </w:p>
    <w:p>
      <w:pPr>
        <w:spacing w:before="100" w:after="160"/>
        <w:jc w:val="center"/>
      </w:pPr>
      <w:r>
        <w:rPr>
          <w:rFonts w:ascii="DejaVu Math TeX Gyre" w:hAnsi="DejaVu Math TeX Gyre" w:eastAsia="DejaVu Math TeX Gyre" w:cs="DejaVu Math TeX Gyre"/>
          <w:sz w:val="21"/>
        </w:rPr>
        <w:t>q_soft-min=m-0.5dα, q_soft-max=m+0.5dα.</w:t>
      </w:r>
    </w:p>
    <w:p>
      <w:r>
        <w:rPr>
          <w:rFonts w:ascii="Noto Sans SC" w:hAnsi="Noto Sans SC" w:eastAsia="Noto Sans SC" w:cs="Noto Sans SC"/>
          <w:b w:val="0"/>
          <w:i w:val="0"/>
          <w:sz w:val="22"/>
        </w:rPr>
        <w:t>同样方法用于关节速度和力矩软限制。</w:t>
      </w:r>
    </w:p>
    <w:p>
      <w:r>
        <w:rPr>
          <w:rFonts w:ascii="Noto Sans SC" w:hAnsi="Noto Sans SC" w:eastAsia="Noto Sans SC" w:cs="Noto Sans SC"/>
          <w:b w:val="0"/>
          <w:i w:val="0"/>
          <w:sz w:val="22"/>
        </w:rPr>
        <w:t>任务奖励包括关节位置 1.0、关节速度 1.0、身体位置 1.0、身体旋转 0.5、身体速度 0.5、身体角速度 0.5、三个 VR 点位置 1.6、足部位置 1.0、最大关节位置 1.0 和接触掩码 0.5。除接触项外，大多使用有界指数 exp(-x^2/σ^2)。</w:t>
      </w:r>
    </w:p>
    <w:p>
      <w:r>
        <w:rPr>
          <w:rFonts w:ascii="Noto Sans SC" w:hAnsi="Noto Sans SC" w:eastAsia="Noto Sans SC" w:cs="Noto Sans SC"/>
          <w:b w:val="0"/>
          <w:i w:val="0"/>
          <w:sz w:val="22"/>
        </w:rPr>
        <w:t>正则项包括：关节位置越界 -10、关节速度越界 -5、关节力矩越界 -5、脚滑 -1、足端接触力 -0.01、足部腾空时间 -1、绊倒 -2、力矩平方 -10^-6、动作变化率 -0.02、碰撞 -30、终止 -200。</w:t>
      </w:r>
    </w:p>
    <w:p>
      <w:pPr>
        <w:pStyle w:val="Heading3"/>
      </w:pPr>
      <w:r>
        <w:rPr>
          <w:rFonts w:ascii="Noto Sans SC" w:hAnsi="Noto Sans SC" w:eastAsia="Noto Sans SC" w:cs="Noto Sans SC"/>
          <w:b w:val="0"/>
          <w:i w:val="0"/>
          <w:sz w:val="24"/>
        </w:rPr>
        <w:t>6.6 课程学习与自适应 σ</w:t>
      </w:r>
    </w:p>
    <w:p>
      <w:r>
        <w:rPr>
          <w:rFonts w:ascii="Noto Sans SC" w:hAnsi="Noto Sans SC" w:eastAsia="Noto Sans SC" w:cs="Noto Sans SC"/>
          <w:b w:val="0"/>
          <w:i w:val="0"/>
          <w:sz w:val="22"/>
        </w:rPr>
        <w:t>终止课程在机器人偏离参考超过阈值 θ 时提前终止，并逐步收紧：</w:t>
      </w:r>
    </w:p>
    <w:p>
      <w:pPr>
        <w:spacing w:before="100" w:after="160"/>
        <w:jc w:val="center"/>
      </w:pPr>
      <w:r>
        <w:rPr>
          <w:rFonts w:ascii="DejaVu Math TeX Gyre" w:hAnsi="DejaVu Math TeX Gyre" w:eastAsia="DejaVu Math TeX Gyre" w:cs="DejaVu Math TeX Gyre"/>
          <w:sz w:val="21"/>
        </w:rPr>
        <w:t>θ≤ftarrowclip(θ(1-δ),θ_min,θ_max),</w:t>
      </w:r>
    </w:p>
    <w:p>
      <w:r>
        <w:rPr>
          <w:rFonts w:ascii="Noto Sans SC" w:hAnsi="Noto Sans SC" w:eastAsia="Noto Sans SC" w:cs="Noto Sans SC"/>
          <w:b w:val="0"/>
          <w:i w:val="0"/>
          <w:sz w:val="22"/>
        </w:rPr>
        <w:t>初值 1.5，下限 0.3，上限 2.0，衰减率 2.5×10^-5。</w:t>
      </w:r>
    </w:p>
    <w:p>
      <w:r>
        <w:rPr>
          <w:rFonts w:ascii="Noto Sans SC" w:hAnsi="Noto Sans SC" w:eastAsia="Noto Sans SC" w:cs="Noto Sans SC"/>
          <w:b w:val="0"/>
          <w:i w:val="0"/>
          <w:sz w:val="22"/>
        </w:rPr>
        <w:t>惩罚课程逐步增加正则权重：</w:t>
      </w:r>
    </w:p>
    <w:p>
      <w:pPr>
        <w:spacing w:before="100" w:after="160"/>
        <w:jc w:val="center"/>
      </w:pPr>
      <w:r>
        <w:rPr>
          <w:rFonts w:ascii="DejaVu Math TeX Gyre" w:hAnsi="DejaVu Math TeX Gyre" w:eastAsia="DejaVu Math TeX Gyre" w:cs="DejaVu Math TeX Gyre"/>
          <w:sz w:val="21"/>
        </w:rPr>
        <w:t>α≤ftarrowclip(α(1+δ),α_min,α_max), r_penalty=α r_penalty,</w:t>
      </w:r>
    </w:p>
    <w:p>
      <w:r>
        <w:rPr>
          <w:rFonts w:ascii="Noto Sans SC" w:hAnsi="Noto Sans SC" w:eastAsia="Noto Sans SC" w:cs="Noto Sans SC"/>
          <w:b w:val="0"/>
          <w:i w:val="0"/>
          <w:sz w:val="22"/>
        </w:rPr>
        <w:t>初始惩罚尺度 0.1，范围 0–1，增长率 10^-4。</w:t>
      </w:r>
    </w:p>
    <w:p>
      <w:r>
        <w:rPr>
          <w:rFonts w:ascii="Noto Sans SC" w:hAnsi="Noto Sans SC" w:eastAsia="Noto Sans SC" w:cs="Noto Sans SC"/>
          <w:b w:val="0"/>
          <w:i w:val="0"/>
          <w:sz w:val="22"/>
        </w:rPr>
        <w:t>自适应 σ 控制指数奖励的误差容忍度，可比直接负误差更稳定，也简化奖励权重设计。</w:t>
      </w:r>
    </w:p>
    <w:p>
      <w:pPr>
        <w:pStyle w:val="Heading2"/>
      </w:pPr>
      <w:r>
        <w:rPr>
          <w:rFonts w:ascii="Noto Sans SC" w:hAnsi="Noto Sans SC" w:eastAsia="Noto Sans SC" w:cs="Noto Sans SC"/>
          <w:b w:val="0"/>
          <w:i w:val="0"/>
          <w:sz w:val="26"/>
        </w:rPr>
        <w:t>7 评估细节</w:t>
      </w:r>
    </w:p>
    <w:p>
      <w:pPr>
        <w:pStyle w:val="Heading3"/>
      </w:pPr>
      <w:r>
        <w:rPr>
          <w:rFonts w:ascii="Noto Sans SC" w:hAnsi="Noto Sans SC" w:eastAsia="Noto Sans SC" w:cs="Noto Sans SC"/>
          <w:b w:val="0"/>
          <w:i w:val="0"/>
          <w:sz w:val="24"/>
        </w:rPr>
        <w:t>7.1 动作跟踪指标</w:t>
      </w:r>
    </w:p>
    <w:p>
      <w:pPr>
        <w:pStyle w:val="ListBullet"/>
      </w:pPr>
      <w:r>
        <w:rPr>
          <w:rFonts w:ascii="Noto Sans SC" w:hAnsi="Noto Sans SC" w:eastAsia="Noto Sans SC" w:cs="Noto Sans SC"/>
          <w:b w:val="0"/>
          <w:i w:val="0"/>
          <w:sz w:val="22"/>
        </w:rPr>
        <w:t>成功率 Succ：机器人在不跌倒的情况下跟随参考。任一点的平均轨迹偏差超过 0.5 m，或根节点俯仰角超过预设阈值，则失败。</w:t>
      </w:r>
    </w:p>
    <w:p>
      <w:pPr>
        <w:pStyle w:val="ListBullet"/>
      </w:pPr>
      <w:r>
        <w:rPr>
          <w:rFonts w:ascii="Noto Sans SC" w:hAnsi="Noto Sans SC" w:eastAsia="Noto Sans SC" w:cs="Noto Sans SC"/>
          <w:b w:val="0"/>
          <w:i w:val="0"/>
          <w:sz w:val="22"/>
        </w:rPr>
        <w:t>E_MPJPE（rad）：参考与生成动作之间各自由度旋转的平均误差。</w:t>
      </w:r>
    </w:p>
    <w:p>
      <w:pPr>
        <w:pStyle w:val="ListBullet"/>
      </w:pPr>
      <w:r>
        <w:rPr>
          <w:rFonts w:ascii="Noto Sans SC" w:hAnsi="Noto Sans SC" w:eastAsia="Noto Sans SC" w:cs="Noto Sans SC"/>
          <w:b w:val="0"/>
          <w:i w:val="0"/>
          <w:sz w:val="22"/>
        </w:rPr>
        <w:t>E_MPKPE（m）：参考与生成关键点轨迹之间的平均位置差。</w:t>
      </w:r>
    </w:p>
    <w:p>
      <w:pPr>
        <w:pStyle w:val="Heading3"/>
      </w:pPr>
      <w:r>
        <w:rPr>
          <w:rFonts w:ascii="Noto Sans SC" w:hAnsi="Noto Sans SC" w:eastAsia="Noto Sans SC" w:cs="Noto Sans SC"/>
          <w:b w:val="0"/>
          <w:i w:val="0"/>
          <w:sz w:val="24"/>
        </w:rPr>
        <w:t>7.2 动作—音频对齐指标</w:t>
      </w:r>
    </w:p>
    <w:p>
      <w:r>
        <w:rPr>
          <w:rFonts w:ascii="Noto Sans SC" w:hAnsi="Noto Sans SC" w:eastAsia="Noto Sans SC" w:cs="Noto Sans SC"/>
          <w:b w:val="0"/>
          <w:i w:val="0"/>
          <w:sz w:val="22"/>
        </w:rPr>
        <w:t>R@1/R@2/R@3 衡量音频查询能否在前 1/2/3 个结果中检索到正确动作。MM-Dist 是音频和对应动作在预训练检索特征空间中的平均距离，越小表示语义对齐越强。</w:t>
      </w:r>
    </w:p>
    <w:p>
      <w:r>
        <w:rPr>
          <w:rFonts w:ascii="Noto Sans SC" w:hAnsi="Noto Sans SC" w:eastAsia="Noto Sans SC" w:cs="Noto Sans SC"/>
          <w:b w:val="0"/>
          <w:i w:val="0"/>
          <w:sz w:val="22"/>
        </w:rPr>
        <w:t>节拍对齐分数 BAS 使用 librosa 检测音乐节拍时间 B_y=t_j^y，以动作动能速度的局部最小值作为运动学节拍 B_x=t_i^x。定义为</w:t>
      </w:r>
    </w:p>
    <w:p>
      <w:pPr>
        <w:spacing w:before="100" w:after="160"/>
        <w:jc w:val="center"/>
      </w:pPr>
      <w:r>
        <w:rPr>
          <w:rFonts w:ascii="DejaVu Math TeX Gyre" w:hAnsi="DejaVu Math TeX Gyre" w:eastAsia="DejaVu Math TeX Gyre" w:cs="DejaVu Math TeX Gyre"/>
          <w:sz w:val="21"/>
        </w:rPr>
        <w:t>BAS=1mΣ_i=1^mexp≤ft(-min_t_j^y∈ B_y|t_i^x-t_j^y|^22σ^2). 式9</w:t>
      </w:r>
    </w:p>
    <w:p>
      <w:r>
        <w:rPr>
          <w:rFonts w:ascii="Noto Sans SC" w:hAnsi="Noto Sans SC" w:eastAsia="Noto Sans SC" w:cs="Noto Sans SC"/>
          <w:b w:val="0"/>
          <w:i w:val="0"/>
          <w:sz w:val="22"/>
        </w:rPr>
        <w:t>其中 m 是运动学节拍数；在 30 FPS 设置下固定 σ=3。</w:t>
      </w:r>
    </w:p>
    <w:p>
      <w:pPr>
        <w:pStyle w:val="Heading3"/>
      </w:pPr>
      <w:r>
        <w:rPr>
          <w:rFonts w:ascii="Noto Sans SC" w:hAnsi="Noto Sans SC" w:eastAsia="Noto Sans SC" w:cs="Noto Sans SC"/>
          <w:b w:val="0"/>
          <w:i w:val="0"/>
          <w:sz w:val="24"/>
        </w:rPr>
        <w:t>7.3 真实部署</w:t>
      </w:r>
    </w:p>
    <w:p>
      <w:r>
        <w:rPr>
          <w:rFonts w:ascii="Noto Sans SC" w:hAnsi="Noto Sans SC" w:eastAsia="Noto Sans SC" w:cs="Noto Sans SC"/>
          <w:b w:val="0"/>
          <w:i w:val="0"/>
          <w:sz w:val="22"/>
        </w:rPr>
        <w:t>真实实验在 Unitree G1 上进行，机载 Jetson Orin NX 负责计算和通信。高层策略以 50 Hz 处理条件并生成目标关节位置，通信延迟 18–30 ms；低层控制器以 500 Hz 工作。高低层通过 LCM 通信。</w:t>
      </w:r>
    </w:p>
    <w:p>
      <w:pPr>
        <w:pStyle w:val="Heading2"/>
      </w:pPr>
      <w:r>
        <w:rPr>
          <w:rFonts w:ascii="Noto Sans SC" w:hAnsi="Noto Sans SC" w:eastAsia="Noto Sans SC" w:cs="Noto Sans SC"/>
          <w:b w:val="0"/>
          <w:i w:val="0"/>
          <w:sz w:val="26"/>
        </w:rPr>
        <w:t>8 附加实验</w:t>
      </w:r>
    </w:p>
    <w:p>
      <w:pPr>
        <w:pStyle w:val="Heading3"/>
      </w:pPr>
      <w:r>
        <w:rPr>
          <w:rFonts w:ascii="Noto Sans SC" w:hAnsi="Noto Sans SC" w:eastAsia="Noto Sans SC" w:cs="Noto Sans SC"/>
          <w:b w:val="0"/>
          <w:i w:val="0"/>
          <w:sz w:val="24"/>
        </w:rPr>
        <w:t>8.1 音频—动作对齐</w:t>
      </w:r>
    </w:p>
    <w:p>
      <w:r>
        <w:rPr>
          <w:rFonts w:ascii="Noto Sans SC" w:hAnsi="Noto Sans SC" w:eastAsia="Noto Sans SC" w:cs="Noto Sans SC"/>
          <w:b w:val="0"/>
          <w:i w:val="0"/>
          <w:sz w:val="22"/>
        </w:rPr>
        <w:t>成功测试样本中，系统根据电机关节速度计算机器人运动节拍并与音乐节拍求 BAS。基线把音乐潜变量直接与其他观测和动作潜变量拼接输入学生；本文把音乐作为外部条件进一步调制内容。后者取得更好的节奏对齐。</w:t>
      </w:r>
    </w:p>
    <w:tbl>
      <w:tblPr>
        <w:tblW w:type="dxa" w:w="9360"/>
        <w:jc w:val="left"/>
        <w:tblLayout w:type="fixed"/>
        <w:tblLook w:firstColumn="1" w:firstRow="1" w:lastColumn="0" w:lastRow="0" w:noHBand="0" w:noVBand="1" w:val="04A0"/>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842"/>
        <w:gridCol w:w="748"/>
        <w:gridCol w:w="936"/>
        <w:gridCol w:w="1216"/>
        <w:gridCol w:w="1216"/>
        <w:gridCol w:w="1029"/>
        <w:gridCol w:w="1310"/>
        <w:gridCol w:w="1310"/>
        <w:gridCol w:w="753"/>
      </w:tblGrid>
      <w:tr>
        <w:trPr>
          <w:tblHeader/>
        </w:trPr>
        <w:tc>
          <w:tcPr>
            <w:tcW w:type="dxa" w:w="842"/>
            <w:tcMar>
              <w:top w:w="80" w:type="dxa"/>
              <w:start w:w="120" w:type="dxa"/>
              <w:bottom w:w="80" w:type="dxa"/>
              <w:end w:w="120" w:type="dxa"/>
            </w:tcMar>
            <w:vAlign w:val="center"/>
            <w:shd w:fill="F4F6F9"/>
          </w:tcPr>
          <w:p>
            <w:pPr>
              <w:spacing w:before="0" w:after="0" w:line="276" w:lineRule="auto"/>
              <w:jc w:val="left"/>
            </w:pPr>
            <w:r>
              <w:rPr>
                <w:b/>
                <w:color w:val="1F4D78"/>
              </w:rPr>
            </w:r>
            <w:r>
              <w:rPr>
                <w:rFonts w:ascii="Noto Sans SC" w:hAnsi="Noto Sans SC" w:eastAsia="Noto Sans SC" w:cs="Noto Sans SC"/>
                <w:b/>
                <w:i w:val="0"/>
                <w:color w:val="1F4D78"/>
                <w:sz w:val="16"/>
              </w:rPr>
              <w:t>数据集</w:t>
            </w:r>
          </w:p>
        </w:tc>
        <w:tc>
          <w:tcPr>
            <w:tcW w:type="dxa" w:w="748"/>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方法</w:t>
            </w:r>
          </w:p>
        </w:tc>
        <w:tc>
          <w:tcPr>
            <w:tcW w:type="dxa" w:w="936"/>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Isaac Succ</w:t>
            </w:r>
          </w:p>
        </w:tc>
        <w:tc>
          <w:tcPr>
            <w:tcW w:type="dxa" w:w="1216"/>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Isaac E_MPJPE</w:t>
            </w:r>
          </w:p>
        </w:tc>
        <w:tc>
          <w:tcPr>
            <w:tcW w:type="dxa" w:w="1216"/>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Isaac E_MPKPE</w:t>
            </w:r>
          </w:p>
        </w:tc>
        <w:tc>
          <w:tcPr>
            <w:tcW w:type="dxa" w:w="1029"/>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MuJoCo Succ</w:t>
            </w:r>
          </w:p>
        </w:tc>
        <w:tc>
          <w:tcPr>
            <w:tcW w:type="dxa" w:w="1310"/>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MuJoCo E_MPJPE</w:t>
            </w:r>
          </w:p>
        </w:tc>
        <w:tc>
          <w:tcPr>
            <w:tcW w:type="dxa" w:w="1310"/>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MuJoCo E_MPKPE</w:t>
            </w:r>
          </w:p>
        </w:tc>
        <w:tc>
          <w:tcPr>
            <w:tcW w:type="dxa" w:w="753"/>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BAS</w:t>
            </w:r>
          </w:p>
        </w:tc>
      </w:tr>
      <w:tr>
        <w:tc>
          <w:tcPr>
            <w:tcW w:type="dxa" w:w="842"/>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BEAT2</w:t>
            </w:r>
          </w:p>
        </w:tc>
        <w:tc>
          <w:tcPr>
            <w:tcW w:type="dxa" w:w="74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基线</w:t>
            </w:r>
          </w:p>
        </w:tc>
        <w:tc>
          <w:tcPr>
            <w:tcW w:type="dxa" w:w="93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0.98</w:t>
            </w:r>
          </w:p>
        </w:tc>
        <w:tc>
          <w:tcPr>
            <w:tcW w:type="dxa" w:w="121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0.08</w:t>
            </w:r>
          </w:p>
        </w:tc>
        <w:tc>
          <w:tcPr>
            <w:tcW w:type="dxa" w:w="121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0.06</w:t>
            </w:r>
          </w:p>
        </w:tc>
        <w:tc>
          <w:tcPr>
            <w:tcW w:type="dxa" w:w="1029"/>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0.94</w:t>
            </w:r>
          </w:p>
        </w:tc>
        <w:tc>
          <w:tcPr>
            <w:tcW w:type="dxa" w:w="131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0.16</w:t>
            </w:r>
          </w:p>
        </w:tc>
        <w:tc>
          <w:tcPr>
            <w:tcW w:type="dxa" w:w="131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0.14</w:t>
            </w:r>
          </w:p>
        </w:tc>
        <w:tc>
          <w:tcPr>
            <w:tcW w:type="dxa" w:w="753"/>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0.163</w:t>
            </w:r>
          </w:p>
        </w:tc>
      </w:tr>
      <w:tr>
        <w:tc>
          <w:tcPr>
            <w:tcW w:type="dxa" w:w="842"/>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BEAT2</w:t>
            </w:r>
          </w:p>
        </w:tc>
        <w:tc>
          <w:tcPr>
            <w:tcW w:type="dxa" w:w="74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本文</w:t>
            </w:r>
          </w:p>
        </w:tc>
        <w:tc>
          <w:tcPr>
            <w:tcW w:type="dxa" w:w="93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0.99</w:t>
            </w:r>
          </w:p>
        </w:tc>
        <w:tc>
          <w:tcPr>
            <w:tcW w:type="dxa" w:w="121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0.05</w:t>
            </w:r>
          </w:p>
        </w:tc>
        <w:tc>
          <w:tcPr>
            <w:tcW w:type="dxa" w:w="121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0.04</w:t>
            </w:r>
          </w:p>
        </w:tc>
        <w:tc>
          <w:tcPr>
            <w:tcW w:type="dxa" w:w="1029"/>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0.96</w:t>
            </w:r>
          </w:p>
        </w:tc>
        <w:tc>
          <w:tcPr>
            <w:tcW w:type="dxa" w:w="131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0.10</w:t>
            </w:r>
          </w:p>
        </w:tc>
        <w:tc>
          <w:tcPr>
            <w:tcW w:type="dxa" w:w="131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0.09</w:t>
            </w:r>
          </w:p>
        </w:tc>
        <w:tc>
          <w:tcPr>
            <w:tcW w:type="dxa" w:w="753"/>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0.197</w:t>
            </w:r>
          </w:p>
        </w:tc>
      </w:tr>
      <w:tr>
        <w:tc>
          <w:tcPr>
            <w:tcW w:type="dxa" w:w="842"/>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FineDance</w:t>
            </w:r>
          </w:p>
        </w:tc>
        <w:tc>
          <w:tcPr>
            <w:tcW w:type="dxa" w:w="74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基线</w:t>
            </w:r>
          </w:p>
        </w:tc>
        <w:tc>
          <w:tcPr>
            <w:tcW w:type="dxa" w:w="93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0.86</w:t>
            </w:r>
          </w:p>
        </w:tc>
        <w:tc>
          <w:tcPr>
            <w:tcW w:type="dxa" w:w="121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0.26</w:t>
            </w:r>
          </w:p>
        </w:tc>
        <w:tc>
          <w:tcPr>
            <w:tcW w:type="dxa" w:w="121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0.23</w:t>
            </w:r>
          </w:p>
        </w:tc>
        <w:tc>
          <w:tcPr>
            <w:tcW w:type="dxa" w:w="1029"/>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0.58</w:t>
            </w:r>
          </w:p>
        </w:tc>
        <w:tc>
          <w:tcPr>
            <w:tcW w:type="dxa" w:w="131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0.35</w:t>
            </w:r>
          </w:p>
        </w:tc>
        <w:tc>
          <w:tcPr>
            <w:tcW w:type="dxa" w:w="131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0.32</w:t>
            </w:r>
          </w:p>
        </w:tc>
        <w:tc>
          <w:tcPr>
            <w:tcW w:type="dxa" w:w="753"/>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0.176</w:t>
            </w:r>
          </w:p>
        </w:tc>
      </w:tr>
      <w:tr>
        <w:tc>
          <w:tcPr>
            <w:tcW w:type="dxa" w:w="842"/>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FineDance</w:t>
            </w:r>
          </w:p>
        </w:tc>
        <w:tc>
          <w:tcPr>
            <w:tcW w:type="dxa" w:w="74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本文</w:t>
            </w:r>
          </w:p>
        </w:tc>
        <w:tc>
          <w:tcPr>
            <w:tcW w:type="dxa" w:w="93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0.93</w:t>
            </w:r>
          </w:p>
        </w:tc>
        <w:tc>
          <w:tcPr>
            <w:tcW w:type="dxa" w:w="121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0.18</w:t>
            </w:r>
          </w:p>
        </w:tc>
        <w:tc>
          <w:tcPr>
            <w:tcW w:type="dxa" w:w="121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0.16</w:t>
            </w:r>
          </w:p>
        </w:tc>
        <w:tc>
          <w:tcPr>
            <w:tcW w:type="dxa" w:w="1029"/>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0.67</w:t>
            </w:r>
          </w:p>
        </w:tc>
        <w:tc>
          <w:tcPr>
            <w:tcW w:type="dxa" w:w="131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0.26</w:t>
            </w:r>
          </w:p>
        </w:tc>
        <w:tc>
          <w:tcPr>
            <w:tcW w:type="dxa" w:w="131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0.24</w:t>
            </w:r>
          </w:p>
        </w:tc>
        <w:tc>
          <w:tcPr>
            <w:tcW w:type="dxa" w:w="753"/>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0.214</w:t>
            </w:r>
          </w:p>
        </w:tc>
      </w:tr>
    </w:tbl>
    <w:p>
      <w:pPr>
        <w:spacing w:before="80" w:after="80"/>
      </w:pPr>
    </w:p>
    <w:p>
      <w:pPr>
        <w:pStyle w:val="Heading3"/>
      </w:pPr>
      <w:r>
        <w:rPr>
          <w:rFonts w:ascii="Noto Sans SC" w:hAnsi="Noto Sans SC" w:eastAsia="Noto Sans SC" w:cs="Noto Sans SC"/>
          <w:b w:val="0"/>
          <w:i w:val="0"/>
          <w:sz w:val="24"/>
        </w:rPr>
        <w:t>8.2 仿真到仿真迁移</w:t>
      </w:r>
    </w:p>
    <w:p>
      <w:r>
        <w:rPr>
          <w:rFonts w:ascii="Noto Sans SC" w:hAnsi="Noto Sans SC" w:eastAsia="Noto Sans SC" w:cs="Noto Sans SC"/>
          <w:b w:val="0"/>
          <w:i w:val="0"/>
          <w:sz w:val="22"/>
        </w:rPr>
        <w:t>IsaacGym 具有高计算效率，MuJoCo 提供更接近真实的动力学。论文先在 IsaacGym 训练，再把策略零样本迁移到 MuJoCo，作为真实人形机器人部署前的中间验证。</w:t>
      </w:r>
    </w:p>
    <w:p>
      <w:pPr>
        <w:pStyle w:val="Heading3"/>
      </w:pPr>
      <w:r>
        <w:rPr>
          <w:rFonts w:ascii="Noto Sans SC" w:hAnsi="Noto Sans SC" w:eastAsia="Noto Sans SC" w:cs="Noto Sans SC"/>
          <w:b w:val="0"/>
          <w:i w:val="0"/>
          <w:sz w:val="24"/>
        </w:rPr>
        <w:t>8.3 学生策略扩散消融</w:t>
      </w:r>
    </w:p>
    <w:p>
      <w:r>
        <w:rPr>
          <w:rFonts w:ascii="Noto Sans SC" w:hAnsi="Noto Sans SC" w:eastAsia="Noto Sans SC" w:cs="Noto Sans SC"/>
          <w:b w:val="0"/>
          <w:i w:val="0"/>
          <w:sz w:val="22"/>
        </w:rPr>
        <w:t>两步 DDIM 平均单动作耗时 5.3 ms；4、6、8、10 步分别为 11.6、13.4、17.6、18.9 ms。步数增加会加大延迟，而实时控制对延迟十分敏感。</w:t>
      </w:r>
    </w:p>
    <w:p>
      <w:r>
        <w:rPr>
          <w:rFonts w:ascii="Noto Sans SC" w:hAnsi="Noto Sans SC" w:eastAsia="Noto Sans SC" w:cs="Noto Sans SC"/>
          <w:b w:val="0"/>
          <w:i w:val="0"/>
          <w:sz w:val="22"/>
        </w:rPr>
        <w:t>固定两步 DDIM 时，β_max=0.10,0.15,0.20,0.25,0.30 的成功率分别为 92%、92%、93%、91%、91%，最优为 0.20。</w:t>
      </w:r>
    </w:p>
    <w:p>
      <w:r>
        <w:rPr>
          <w:rFonts w:ascii="Noto Sans SC" w:hAnsi="Noto Sans SC" w:eastAsia="Noto Sans SC" w:cs="Noto Sans SC"/>
          <w:b w:val="0"/>
          <w:i w:val="0"/>
          <w:sz w:val="22"/>
        </w:rPr>
        <w:t>确定性 DDIM（=0）在 5.3 ms 下成功率 93%；半随机 DDIM（=0.5）成功率 86%；随机 DDPM 成功率 65% 且耗时 8.6 ms。确定性采样效果最好。</w:t>
      </w:r>
    </w:p>
    <w:p>
      <w:r>
        <w:rPr>
          <w:rFonts w:ascii="Noto Sans SC" w:hAnsi="Noto Sans SC" w:eastAsia="Noto Sans SC" w:cs="Noto Sans SC"/>
          <w:b w:val="0"/>
          <w:i w:val="0"/>
          <w:sz w:val="22"/>
        </w:rPr>
        <w:t>x_0 预测在 FineDance 上显著优于噪声 ε 预测：IsaacGym 成功率由 0.72 提至 0.93，MuJoCo 由 0.49 提至 0.67，并明显降低两个误差。</w:t>
      </w:r>
    </w:p>
    <w:p>
      <w:pPr>
        <w:pStyle w:val="Heading3"/>
      </w:pPr>
      <w:r>
        <w:rPr>
          <w:rFonts w:ascii="Noto Sans SC" w:hAnsi="Noto Sans SC" w:eastAsia="Noto Sans SC" w:cs="Noto Sans SC"/>
          <w:b w:val="0"/>
          <w:i w:val="0"/>
          <w:sz w:val="24"/>
        </w:rPr>
        <w:t>8.4 专家数量与条件划分</w:t>
      </w:r>
    </w:p>
    <w:p>
      <w:r>
        <w:rPr>
          <w:rFonts w:ascii="Noto Sans SC" w:hAnsi="Noto Sans SC" w:eastAsia="Noto Sans SC" w:cs="Noto Sans SC"/>
          <w:b w:val="0"/>
          <w:i w:val="0"/>
          <w:sz w:val="22"/>
        </w:rPr>
        <w:t>当专家数为 N 时，把条件分成 N-1 个完整信息块；例如本体状态中的全部自由度位置必须位于同一条件块，不能拆散。实验表明四个专家性能最佳。固定专家数后，不同完整条件块划分对结果影响很小。</w:t>
      </w:r>
    </w:p>
    <w:p>
      <w:pPr>
        <w:pStyle w:val="Heading2"/>
      </w:pPr>
      <w:r>
        <w:rPr>
          <w:rFonts w:ascii="Noto Sans SC" w:hAnsi="Noto Sans SC" w:eastAsia="Noto Sans SC" w:cs="Noto Sans SC"/>
          <w:b w:val="0"/>
          <w:i w:val="0"/>
          <w:sz w:val="26"/>
        </w:rPr>
        <w:t>9 定性结果</w:t>
      </w:r>
    </w:p>
    <w:p>
      <w:pPr>
        <w:pStyle w:val="Heading3"/>
      </w:pPr>
      <w:r>
        <w:rPr>
          <w:rFonts w:ascii="Noto Sans SC" w:hAnsi="Noto Sans SC" w:eastAsia="Noto Sans SC" w:cs="Noto Sans SC"/>
          <w:b w:val="0"/>
          <w:i w:val="0"/>
          <w:sz w:val="24"/>
        </w:rPr>
        <w:t>9.1 仿真结果</w:t>
      </w:r>
    </w:p>
    <w:p>
      <w:r>
        <w:rPr>
          <w:rFonts w:ascii="Noto Sans SC" w:hAnsi="Noto Sans SC" w:eastAsia="Noto Sans SC" w:cs="Noto Sans SC"/>
          <w:b w:val="0"/>
          <w:i w:val="0"/>
          <w:sz w:val="22"/>
        </w:rPr>
        <w:t>在相同动作上，MLP 学生的跟踪较差，扩散学生因具有更强鲁棒性和分布建模能力而取得更好结果。输入训练中未见音乐时，扩散策略能完成整个动作序列，而 MLP 策略立即跌倒，显示其即兴泛化能力。</w:t>
      </w:r>
    </w:p>
    <w:p>
      <w:r>
        <w:rPr>
          <w:rFonts w:ascii="Noto Sans SC" w:hAnsi="Noto Sans SC" w:eastAsia="Noto Sans SC" w:cs="Noto Sans SC"/>
          <w:b/>
          <w:i w:val="0"/>
          <w:sz w:val="22"/>
        </w:rPr>
        <w:t>图7 MuJoCo 定性结果。</w:t>
      </w:r>
      <w:r>
        <w:rPr>
          <w:rFonts w:ascii="Noto Sans SC" w:hAnsi="Noto Sans SC" w:eastAsia="Noto Sans SC" w:cs="Noto Sans SC"/>
          <w:b w:val="0"/>
          <w:i w:val="0"/>
          <w:sz w:val="22"/>
        </w:rPr>
        <w:t xml:space="preserve"> 上半部分比较同一动作上 MLP 与扩散策略的跟踪；下半部分比较面对未见音乐时的即兴能力。</w:t>
      </w:r>
    </w:p>
    <w:p>
      <w:pPr>
        <w:pStyle w:val="Heading3"/>
      </w:pPr>
      <w:r>
        <w:rPr>
          <w:rFonts w:ascii="Noto Sans SC" w:hAnsi="Noto Sans SC" w:eastAsia="Noto Sans SC" w:cs="Noto Sans SC"/>
          <w:b w:val="0"/>
          <w:i w:val="0"/>
          <w:sz w:val="24"/>
        </w:rPr>
        <w:t>9.2 重定向方法</w:t>
      </w:r>
    </w:p>
    <w:p>
      <w:r>
        <w:rPr>
          <w:rFonts w:ascii="Noto Sans SC" w:hAnsi="Noto Sans SC" w:eastAsia="Noto Sans SC" w:cs="Noto Sans SC"/>
          <w:b w:val="0"/>
          <w:i w:val="0"/>
          <w:sz w:val="22"/>
        </w:rPr>
        <w:t>训练教师预言策略时比较 PHC 与 GMR。GMR 能有效减轻动作穿透，但会产生突然的动作过渡，因此最终选择 PHC 作为后续实验的重定向方法。</w:t>
      </w:r>
    </w:p>
    <w:p>
      <w:r>
        <w:rPr>
          <w:rFonts w:ascii="Noto Sans SC" w:hAnsi="Noto Sans SC" w:eastAsia="Noto Sans SC" w:cs="Noto Sans SC"/>
          <w:b/>
          <w:i w:val="0"/>
          <w:sz w:val="22"/>
        </w:rPr>
        <w:t>图8 PHC 与 GMR 重定向定性比较。</w:t>
      </w:r>
      <w:r>
        <w:rPr>
          <w:rFonts w:ascii="Noto Sans SC" w:hAnsi="Noto Sans SC" w:eastAsia="Noto Sans SC" w:cs="Noto Sans SC"/>
          <w:b w:val="0"/>
          <w:i w:val="0"/>
          <w:sz w:val="22"/>
        </w:rPr>
        <w:t xml:space="preserve"> GMR 示例中可见突变过渡。</w:t>
      </w:r>
    </w:p>
    <w:p>
      <w:pPr>
        <w:pStyle w:val="Heading3"/>
      </w:pPr>
      <w:r>
        <w:rPr>
          <w:rFonts w:ascii="Noto Sans SC" w:hAnsi="Noto Sans SC" w:eastAsia="Noto Sans SC" w:cs="Noto Sans SC"/>
          <w:b w:val="0"/>
          <w:i w:val="0"/>
          <w:sz w:val="24"/>
        </w:rPr>
        <w:t>9.3 真实机器人</w:t>
      </w:r>
    </w:p>
    <w:p>
      <w:r>
        <w:rPr>
          <w:rFonts w:ascii="Noto Sans SC" w:hAnsi="Noto Sans SC" w:eastAsia="Noto Sans SC" w:cs="Noto Sans SC"/>
          <w:b w:val="0"/>
          <w:i w:val="0"/>
          <w:sz w:val="22"/>
        </w:rPr>
        <w:t>真实部署展示音乐到运动和语音到运动。图9与图10包含韩国舞、爵士、中文音乐和民间舞等音乐条件；图11展示多段语音驱动的共语手势。补充视频提供完整真实机器人演示。</w:t>
      </w:r>
    </w:p>
    <w:p>
      <w:pPr>
        <w:pStyle w:val="Heading2"/>
      </w:pPr>
      <w:r>
        <w:rPr>
          <w:rFonts w:ascii="Noto Sans SC" w:hAnsi="Noto Sans SC" w:eastAsia="Noto Sans SC" w:cs="Noto Sans SC"/>
          <w:b w:val="0"/>
          <w:i w:val="0"/>
          <w:sz w:val="26"/>
        </w:rPr>
        <w:t>参考文献说明</w:t>
      </w:r>
    </w:p>
    <w:p>
      <w:r>
        <w:rPr>
          <w:rFonts w:ascii="Noto Sans SC" w:hAnsi="Noto Sans SC" w:eastAsia="Noto Sans SC" w:cs="Noto Sans SC"/>
          <w:b w:val="0"/>
          <w:i w:val="0"/>
          <w:sz w:val="22"/>
        </w:rPr>
        <w:t>参考文献作者、题名、出版物与年份属于标准著录信息，保持原文；正文中的编号引用与原论文一致。</w:t>
      </w:r>
    </w:p>
    <w:p>
      <w:pPr>
        <w:pStyle w:val="Heading1"/>
      </w:pPr>
      <w:r>
        <w:rPr>
          <w:rFonts w:ascii="Noto Sans SC" w:hAnsi="Noto Sans SC" w:eastAsia="Noto Sans SC" w:cs="Noto Sans SC"/>
          <w:b w:val="0"/>
          <w:i w:val="0"/>
          <w:sz w:val="32"/>
        </w:rPr>
        <w:t>原文参考文献</w:t>
      </w:r>
    </w:p>
    <w:p>
      <w:r>
        <w:rPr>
          <w:rFonts w:ascii="Noto Sans SC" w:hAnsi="Noto Sans SC" w:eastAsia="Noto Sans SC" w:cs="Noto Sans SC"/>
          <w:b w:val="0"/>
          <w:i w:val="0"/>
          <w:sz w:val="20"/>
        </w:rPr>
        <w:t>以下保留原论文标准书目著录信息，未翻译论文题名。</w:t>
      </w:r>
    </w:p>
    <w:p>
      <w:pPr>
        <w:spacing w:after="80" w:line="264" w:lineRule="auto"/>
        <w:ind w:left="288" w:hanging="288"/>
      </w:pPr>
      <w:r>
        <w:rPr>
          <w:rFonts w:ascii="Noto Sans SC" w:hAnsi="Noto Sans SC" w:eastAsia="Noto Sans SC" w:cs="Noto Sans SC"/>
          <w:color w:val="5E6976"/>
          <w:sz w:val="17"/>
        </w:rPr>
        <w:t>[1] Joao Pedro Araujo, Yanjie Ze, Pei Xu, Jiajun Wu, and C Karen Liu. Retargeting matters: General motion retargeting for humanoid motion tracking. arXiv preprint arXiv:2510.02252, 2025. 5</w:t>
      </w:r>
    </w:p>
    <w:p>
      <w:pPr>
        <w:spacing w:after="80" w:line="264" w:lineRule="auto"/>
        <w:ind w:left="288" w:hanging="288"/>
      </w:pPr>
      <w:r>
        <w:rPr>
          <w:rFonts w:ascii="Noto Sans SC" w:hAnsi="Noto Sans SC" w:eastAsia="Noto Sans SC" w:cs="Noto Sans SC"/>
          <w:color w:val="5E6976"/>
          <w:sz w:val="17"/>
        </w:rPr>
        <w:t>[2] Yuxuan Bian, Ailing Zeng, Xuan Ju, Xian Liu, Zhaoyang Zhang, Wei Liu, and Qiang Xu. Motioncraft: Crafting wholebody motion with plug-and-play multimodal controls. In Proceedings of the AAAI Conference on Artificial Intelligence, pages 1880–1888, 2025. 2</w:t>
      </w:r>
    </w:p>
    <w:p>
      <w:pPr>
        <w:spacing w:after="80" w:line="264" w:lineRule="auto"/>
        <w:ind w:left="288" w:hanging="288"/>
      </w:pPr>
      <w:r>
        <w:rPr>
          <w:rFonts w:ascii="Noto Sans SC" w:hAnsi="Noto Sans SC" w:eastAsia="Noto Sans SC" w:cs="Noto Sans SC"/>
          <w:color w:val="5E6976"/>
          <w:sz w:val="17"/>
        </w:rPr>
        <w:t>[3] Luigi Campanaro, Siddhant Gangapurwala, Wolfgang Merkt, and Ioannis Havoutis. Learning and deploying robust locomotion policies with minimal dynamics randomization. In 6th Annual Learning for Dynamics &amp; Control Conference, pages 578–590. PMLR, 2024. 2</w:t>
      </w:r>
    </w:p>
    <w:p>
      <w:pPr>
        <w:spacing w:after="80" w:line="264" w:lineRule="auto"/>
        <w:ind w:left="288" w:hanging="288"/>
      </w:pPr>
      <w:r>
        <w:rPr>
          <w:rFonts w:ascii="Noto Sans SC" w:hAnsi="Noto Sans SC" w:eastAsia="Noto Sans SC" w:cs="Noto Sans SC"/>
          <w:color w:val="5E6976"/>
          <w:sz w:val="17"/>
        </w:rPr>
        <w:t>[4] Zixuan Chen, Mazeyu Ji, Xuxin Cheng, Xuanbin Peng, Xue Bin Peng, and Xiaolong Wang. Gmt: General motion tracking for humanoid whole-body control. arXiv preprint arXiv:2506.14770, 2025. 1, 3</w:t>
      </w:r>
    </w:p>
    <w:p>
      <w:pPr>
        <w:spacing w:after="80" w:line="264" w:lineRule="auto"/>
        <w:ind w:left="288" w:hanging="288"/>
      </w:pPr>
      <w:r>
        <w:rPr>
          <w:rFonts w:ascii="Noto Sans SC" w:hAnsi="Noto Sans SC" w:eastAsia="Noto Sans SC" w:cs="Noto Sans SC"/>
          <w:color w:val="5E6976"/>
          <w:sz w:val="17"/>
        </w:rPr>
        <w:t>[5] Hartmut Geyer, Andre Seyfarth, and Reinhard Blickhan. Positive force feedback in bouncing gaits? Proceedings of the Royal Society of London. Series B: Biological Sciences, 270 (1529):2173–2183, 2003. 2</w:t>
      </w:r>
    </w:p>
    <w:p>
      <w:pPr>
        <w:spacing w:after="80" w:line="264" w:lineRule="auto"/>
        <w:ind w:left="288" w:hanging="288"/>
      </w:pPr>
      <w:r>
        <w:rPr>
          <w:rFonts w:ascii="Noto Sans SC" w:hAnsi="Noto Sans SC" w:eastAsia="Noto Sans SC" w:cs="Noto Sans SC"/>
          <w:color w:val="5E6976"/>
          <w:sz w:val="17"/>
        </w:rPr>
        <w:t>[6] Xinyang Gu, Yen-Jen Wang, and Jianyu Chen. Humanoidgym: Reinforcement learning for humanoid robot with zeroshot sim2real transfer. arXiv preprint arXiv:2404.05695, 2024. 4</w:t>
      </w:r>
    </w:p>
    <w:p>
      <w:pPr>
        <w:spacing w:after="80" w:line="264" w:lineRule="auto"/>
        <w:ind w:left="288" w:hanging="288"/>
      </w:pPr>
      <w:r>
        <w:rPr>
          <w:rFonts w:ascii="Noto Sans SC" w:hAnsi="Noto Sans SC" w:eastAsia="Noto Sans SC" w:cs="Noto Sans SC"/>
          <w:color w:val="5E6976"/>
          <w:sz w:val="17"/>
        </w:rPr>
        <w:t>[7] Jinrui Han, Weiji Xie, Jiakun Zheng, Jiyuan Shi, Weinan Zhang, Ting Xiao, and Chenjia Bai. Kungfubot2: Learning versatile motion skills for humanoid whole-body control. arXiv preprint arXiv:2509.16638, 2025. 1, 3</w:t>
      </w:r>
    </w:p>
    <w:p>
      <w:pPr>
        <w:spacing w:after="80" w:line="264" w:lineRule="auto"/>
        <w:ind w:left="288" w:hanging="288"/>
      </w:pPr>
      <w:r>
        <w:rPr>
          <w:rFonts w:ascii="Noto Sans SC" w:hAnsi="Noto Sans SC" w:eastAsia="Noto Sans SC" w:cs="Noto Sans SC"/>
          <w:color w:val="5E6976"/>
          <w:sz w:val="17"/>
        </w:rPr>
        <w:t>[8] Tairan He, Zhengyi Luo, Xialin He, Wenli Xiao, Chong Zhang, Weinan Zhang, Kris Kitani, Changliu Liu, and Guanya Shi. Omnih2o: Universal and dexterous humanto-humanoid whole-body teleoperation and learning. arXiv preprint arXiv:2406.08858, 2024. 1, 3, 6</w:t>
      </w:r>
    </w:p>
    <w:p>
      <w:pPr>
        <w:spacing w:after="80" w:line="264" w:lineRule="auto"/>
        <w:ind w:left="288" w:hanging="288"/>
      </w:pPr>
      <w:r>
        <w:rPr>
          <w:rFonts w:ascii="Noto Sans SC" w:hAnsi="Noto Sans SC" w:eastAsia="Noto Sans SC" w:cs="Noto Sans SC"/>
          <w:color w:val="5E6976"/>
          <w:sz w:val="17"/>
        </w:rPr>
        <w:t>[9] Tairan He, Jiawei Gao, Wenli Xiao, Yuanhang Zhang, Zi Wang, Jiashun Wang, Zhengyi Luo, Guanqi He, Nikhil Sobanbab, Chaoyi Pan, et al. Asap: Aligning simulation and realworld physics for learning agile humanoid whole-body skills. arXiv preprint arXiv:2502.01143, 2025. 3, 1</w:t>
      </w:r>
    </w:p>
    <w:p>
      <w:pPr>
        <w:spacing w:after="80" w:line="264" w:lineRule="auto"/>
        <w:ind w:left="288" w:hanging="288"/>
      </w:pPr>
      <w:r>
        <w:rPr>
          <w:rFonts w:ascii="Noto Sans SC" w:hAnsi="Noto Sans SC" w:eastAsia="Noto Sans SC" w:cs="Noto Sans SC"/>
          <w:color w:val="5E6976"/>
          <w:sz w:val="17"/>
        </w:rPr>
        <w:t>[10] Tairan He, Wenli Xiao, Toru Lin, Zhengyi Luo, Zhenjia Xu, Zhenyu Jiang, Jan Kautz, Changliu Liu, Guanya Shi, Xiaolong Wang, et al. Hover: Versatile neural whole-body controller for humanoid robots. In 2025 IEEE International Conference on Robotics and Automation (ICRA), pages 9989– 9996. IEEE, 2025. 1</w:t>
      </w:r>
    </w:p>
    <w:p>
      <w:pPr>
        <w:spacing w:after="80" w:line="264" w:lineRule="auto"/>
        <w:ind w:left="288" w:hanging="288"/>
      </w:pPr>
      <w:r>
        <w:rPr>
          <w:rFonts w:ascii="Noto Sans SC" w:hAnsi="Noto Sans SC" w:eastAsia="Noto Sans SC" w:cs="Noto Sans SC"/>
          <w:color w:val="5E6976"/>
          <w:sz w:val="17"/>
        </w:rPr>
        <w:t>[11] Xialin He, Runpei Dong, Zixuan Chen, and Saurabh Gupta. Learning getting-up policies for real-world humanoid robots. arXiv preprint arXiv:2502.12152, 2025. 2</w:t>
      </w:r>
    </w:p>
    <w:p>
      <w:pPr>
        <w:spacing w:after="80" w:line="264" w:lineRule="auto"/>
        <w:ind w:left="288" w:hanging="288"/>
      </w:pPr>
      <w:r>
        <w:rPr>
          <w:rFonts w:ascii="Noto Sans SC" w:hAnsi="Noto Sans SC" w:eastAsia="Noto Sans SC" w:cs="Noto Sans SC"/>
          <w:color w:val="5E6976"/>
          <w:sz w:val="17"/>
        </w:rPr>
        <w:t>[12] Jonathan Ho and Tim Salimans. Classifier-free diffusion guidance. arXiv preprint arXiv:2207.12598, 2022. 3</w:t>
      </w:r>
    </w:p>
    <w:p>
      <w:pPr>
        <w:spacing w:after="80" w:line="264" w:lineRule="auto"/>
        <w:ind w:left="288" w:hanging="288"/>
      </w:pPr>
      <w:r>
        <w:rPr>
          <w:rFonts w:ascii="Noto Sans SC" w:hAnsi="Noto Sans SC" w:eastAsia="Noto Sans SC" w:cs="Noto Sans SC"/>
          <w:color w:val="5E6976"/>
          <w:sz w:val="17"/>
        </w:rPr>
        <w:t>[13] Albert S Huang, Edwin Olson, and David C Moore. Lcm: Lightweight communications and marshalling. In 2010 IEEE/RSJ International Conference on Intelligent Robots and Systems, pages 4057–4062. IEEE, 2010. 4</w:t>
      </w:r>
    </w:p>
    <w:p>
      <w:pPr>
        <w:spacing w:after="80" w:line="264" w:lineRule="auto"/>
        <w:ind w:left="288" w:hanging="288"/>
      </w:pPr>
      <w:r>
        <w:rPr>
          <w:rFonts w:ascii="Noto Sans SC" w:hAnsi="Noto Sans SC" w:eastAsia="Noto Sans SC" w:cs="Noto Sans SC"/>
          <w:color w:val="5E6976"/>
          <w:sz w:val="17"/>
        </w:rPr>
        <w:t>[14] Tao Huang, Junli Ren, Huayi Wang, Zirui Wang, Qingwei Ben, Muning Wen, Xiao Chen, Jianan Li, and Jiangmiao Pang. Learning humanoid standing-up control across diverse postures. arXiv preprint arXiv:2502.08378, 2025. 2</w:t>
      </w:r>
    </w:p>
    <w:p>
      <w:pPr>
        <w:spacing w:after="80" w:line="264" w:lineRule="auto"/>
        <w:ind w:left="288" w:hanging="288"/>
      </w:pPr>
      <w:r>
        <w:rPr>
          <w:rFonts w:ascii="Noto Sans SC" w:hAnsi="Noto Sans SC" w:eastAsia="Noto Sans SC" w:cs="Noto Sans SC"/>
          <w:color w:val="5E6976"/>
          <w:sz w:val="17"/>
        </w:rPr>
        <w:t>[15] Xun Huang and Serge Belongie. Arbitrary style transfer in real-time with adaptive instance normalization. In Proceedings of the IEEE international conference on computer vision, pages 1501–1510, 2017. 6</w:t>
      </w:r>
    </w:p>
    <w:p>
      <w:pPr>
        <w:spacing w:after="80" w:line="264" w:lineRule="auto"/>
        <w:ind w:left="288" w:hanging="288"/>
      </w:pPr>
      <w:r>
        <w:rPr>
          <w:rFonts w:ascii="Noto Sans SC" w:hAnsi="Noto Sans SC" w:eastAsia="Noto Sans SC" w:cs="Noto Sans SC"/>
          <w:color w:val="5E6976"/>
          <w:sz w:val="17"/>
        </w:rPr>
        <w:t>[16] Mazeyu Ji, Xuanbin Peng, Fangchen Liu, Jialong Li, Ge Yang, Xuxin Cheng, and Xiaolong Wang. Exbody2: Advanced</w:t>
      </w:r>
    </w:p>
    <w:p>
      <w:pPr>
        <w:spacing w:after="80" w:line="264" w:lineRule="auto"/>
        <w:ind w:left="288" w:hanging="288"/>
      </w:pPr>
      <w:r>
        <w:rPr>
          <w:rFonts w:ascii="Noto Sans SC" w:hAnsi="Noto Sans SC" w:eastAsia="Noto Sans SC" w:cs="Noto Sans SC"/>
          <w:color w:val="5E6976"/>
          <w:sz w:val="17"/>
        </w:rPr>
        <w:t>[17] Ruilong Li, Shan Yang, David A. Ross, and Angjoo Kanazawa. Ai choreographer: Music conditioned 3d dance generation with aist++, 2021. 4</w:t>
      </w:r>
    </w:p>
    <w:p>
      <w:pPr>
        <w:spacing w:after="80" w:line="264" w:lineRule="auto"/>
        <w:ind w:left="288" w:hanging="288"/>
      </w:pPr>
      <w:r>
        <w:rPr>
          <w:rFonts w:ascii="Noto Sans SC" w:hAnsi="Noto Sans SC" w:eastAsia="Noto Sans SC" w:cs="Noto Sans SC"/>
          <w:color w:val="5E6976"/>
          <w:sz w:val="17"/>
        </w:rPr>
        <w:t>[18] Ronghui Li, Junfan Zhao, Yachao Zhang, Mingyang Su, Zeping Ren, Han Zhang, Yansong Tang, and Xiu Li. Finedance: A fine-grained choreography dataset for 3d full body dance generation. In Proceedings of the IEEE/CVF International Conference on Computer Vision, pages 10234– 10243, 2023. 5, 6</w:t>
      </w:r>
    </w:p>
    <w:p>
      <w:pPr>
        <w:spacing w:after="80" w:line="264" w:lineRule="auto"/>
        <w:ind w:left="288" w:hanging="288"/>
      </w:pPr>
      <w:r>
        <w:rPr>
          <w:rFonts w:ascii="Noto Sans SC" w:hAnsi="Noto Sans SC" w:eastAsia="Noto Sans SC" w:cs="Noto Sans SC"/>
          <w:color w:val="5E6976"/>
          <w:sz w:val="17"/>
        </w:rPr>
        <w:t>[19] Yitang Li, Yuanhang Zhang, Wenli Xiao, Chaoyi Pan, “I would much rather take a very long vacation rather than multiple short ones…” Haoyang Weng, Guanqi He, Tairan He, and Guanya Shi. Hold my beer: Learning gentle humanoid locomotion and end-effector stabilization control. In RSS 2025 Workshop on Whole-body Control and Bimanual Manipulation: Applications in Humanoids and Beyond. 2</w:t>
      </w:r>
    </w:p>
    <w:p>
      <w:pPr>
        <w:spacing w:after="80" w:line="264" w:lineRule="auto"/>
        <w:ind w:left="288" w:hanging="288"/>
      </w:pPr>
      <w:r>
        <w:rPr>
          <w:rFonts w:ascii="Noto Sans SC" w:hAnsi="Noto Sans SC" w:eastAsia="Noto Sans SC" w:cs="Noto Sans SC"/>
          <w:color w:val="5E6976"/>
          <w:sz w:val="17"/>
        </w:rPr>
        <w:t>[20] Yixuan Li, Yutang Lin, Jieming Cui, Tengyu Liu, Wei Liang, Yixin Zhu, and Siyuan Huang. Clone: Closed-loop wholebody humanoid teleoperation for long-horizon tasks. arXiv preprint arXiv:2506.08931, 2025. 3</w:t>
      </w:r>
    </w:p>
    <w:p>
      <w:pPr>
        <w:spacing w:after="80" w:line="264" w:lineRule="auto"/>
        <w:ind w:left="288" w:hanging="288"/>
      </w:pPr>
      <w:r>
        <w:rPr>
          <w:rFonts w:ascii="Noto Sans SC" w:hAnsi="Noto Sans SC" w:eastAsia="Noto Sans SC" w:cs="Noto Sans SC"/>
          <w:color w:val="5E6976"/>
          <w:sz w:val="17"/>
        </w:rPr>
        <w:t>[21] Zhongyu Li, Xue Bin Peng, Pieter Abbeel, Sergey Levine, Glen Berseth, and Koushil Sreenath. Robust and versatile bipedal jumping control through reinforcement learning. arXiv preprint arXiv:2302.09450, 2023. 2</w:t>
      </w:r>
    </w:p>
    <w:p>
      <w:pPr>
        <w:spacing w:after="80" w:line="264" w:lineRule="auto"/>
        <w:ind w:left="288" w:hanging="288"/>
      </w:pPr>
      <w:r>
        <w:rPr>
          <w:rFonts w:ascii="Noto Sans SC" w:hAnsi="Noto Sans SC" w:eastAsia="Noto Sans SC" w:cs="Noto Sans SC"/>
          <w:color w:val="5E6976"/>
          <w:sz w:val="17"/>
        </w:rPr>
        <w:t>[22] Zhe Li, Weihao Yuan, Yisheng He, Lingteng Qiu, Shenhao Zhu, Xiaodong Gu, Weichao Shen, Yuan Dong, Zilong Dong, and Laurence T Yang. Lamp: Language-motion pretraining for motion generation, retrieval, and captioning. arXiv preprint arXiv:2410.07093, 2024. 8</w:t>
      </w:r>
    </w:p>
    <w:p>
      <w:pPr>
        <w:spacing w:after="80" w:line="264" w:lineRule="auto"/>
        <w:ind w:left="288" w:hanging="288"/>
      </w:pPr>
      <w:r>
        <w:rPr>
          <w:rFonts w:ascii="Noto Sans SC" w:hAnsi="Noto Sans SC" w:eastAsia="Noto Sans SC" w:cs="Noto Sans SC"/>
          <w:color w:val="5E6976"/>
          <w:sz w:val="17"/>
        </w:rPr>
        <w:t>[23] Zhe Li, Cheng Chi, Yangyang Wei, Boan Zhu, Yibo Peng, Tao Huang, Pengwei Wang, Zhongyuan Wang, Shanghang Zhang, and Chang Xu. From language to locomotion: Retargetingfree humanoid control via motion latent guidance. arXiv preprint arXiv:2510.14952, 2025. 1, 2, 3</w:t>
      </w:r>
    </w:p>
    <w:p>
      <w:pPr>
        <w:spacing w:after="80" w:line="264" w:lineRule="auto"/>
        <w:ind w:left="288" w:hanging="288"/>
      </w:pPr>
      <w:r>
        <w:rPr>
          <w:rFonts w:ascii="Noto Sans SC" w:hAnsi="Noto Sans SC" w:eastAsia="Noto Sans SC" w:cs="Noto Sans SC"/>
          <w:color w:val="5E6976"/>
          <w:sz w:val="17"/>
        </w:rPr>
        <w:t>[24] Zhe Li, Weihao Yuan, Weichao Shen, Siyu Zhu, Zilong Dong, and Chang Xu. Omnimotion: Multimodal motion generation with continuous masked autoregression. arXiv preprint arXiv:2510.14954, 2025. 2</w:t>
      </w:r>
    </w:p>
    <w:p>
      <w:pPr>
        <w:spacing w:after="80" w:line="264" w:lineRule="auto"/>
        <w:ind w:left="288" w:hanging="288"/>
      </w:pPr>
      <w:r>
        <w:rPr>
          <w:rFonts w:ascii="Noto Sans SC" w:hAnsi="Noto Sans SC" w:eastAsia="Noto Sans SC" w:cs="Noto Sans SC"/>
          <w:color w:val="5E6976"/>
          <w:sz w:val="17"/>
        </w:rPr>
        <w:t>[25] Qiayuan Liao, Takara E Truong, Xiaoyu Huang, Guy Tevet, Koushil Sreenath, and C Karen Liu. Beyondmimic: From motion tracking to versatile humanoid control via guided diffusion. arXiv preprint arXiv:2508.08241, 2025. 3</w:t>
      </w:r>
    </w:p>
    <w:p>
      <w:pPr>
        <w:spacing w:after="80" w:line="264" w:lineRule="auto"/>
        <w:ind w:left="288" w:hanging="288"/>
      </w:pPr>
      <w:r>
        <w:rPr>
          <w:rFonts w:ascii="Noto Sans SC" w:hAnsi="Noto Sans SC" w:eastAsia="Noto Sans SC" w:cs="Noto Sans SC"/>
          <w:color w:val="5E6976"/>
          <w:sz w:val="17"/>
        </w:rPr>
        <w:t>[26] Haiyang Liu, Zihao Zhu, Giorgio Becherini, Yichen Peng, Mingyang Su, You Zhou, Xuefei Zhe, Naoya Iwamoto, Bo Zheng, and Michael J Black. Emage: Towards unified holistic co-speech gesture generation via expressive masked audio gesture modeling. In Proceedings of the IEEE/CVF Con- ference on Computer Vision and Pattern Recognition, pages 1144–1154, 2024. 2, 5, 6</w:t>
      </w:r>
    </w:p>
    <w:p>
      <w:pPr>
        <w:spacing w:after="80" w:line="264" w:lineRule="auto"/>
        <w:ind w:left="288" w:hanging="288"/>
      </w:pPr>
      <w:r>
        <w:rPr>
          <w:rFonts w:ascii="Noto Sans SC" w:hAnsi="Noto Sans SC" w:eastAsia="Noto Sans SC" w:cs="Noto Sans SC"/>
          <w:color w:val="5E6976"/>
          <w:sz w:val="17"/>
        </w:rPr>
        <w:t>[27] Zhengyi Luo, Jinkun Cao, Alexander W. Winkler, Kris Kitani, and Weipeng Xu. Perpetual humanoid control for real-time simulated avatars. In International Conference on Computer Vision (ICCV), 2023. 5</w:t>
      </w:r>
    </w:p>
    <w:p>
      <w:pPr>
        <w:spacing w:after="80" w:line="264" w:lineRule="auto"/>
        <w:ind w:left="288" w:hanging="288"/>
      </w:pPr>
      <w:r>
        <w:rPr>
          <w:rFonts w:ascii="Noto Sans SC" w:hAnsi="Noto Sans SC" w:eastAsia="Noto Sans SC" w:cs="Noto Sans SC"/>
          <w:color w:val="5E6976"/>
          <w:sz w:val="17"/>
        </w:rPr>
        <w:t>[28] Jiageng Mao, Siheng Zhao, Siqi Song, Chuye Hong, Tianheng Shi, Junjie Ye, Mingtong Zhang, Haoran Geng, Jitendra Malik, Vitor Guizilini, et al. Universal humanoid robot pose learning from internet human videos. In 2025 IEEE-RAS 24th International Conference on Humanoid Robots (Humanoids), pages 1–8. IEEE, 2025. 1</w:t>
      </w:r>
    </w:p>
    <w:p>
      <w:pPr>
        <w:spacing w:after="80" w:line="264" w:lineRule="auto"/>
        <w:ind w:left="288" w:hanging="288"/>
      </w:pPr>
      <w:r>
        <w:rPr>
          <w:rFonts w:ascii="Noto Sans SC" w:hAnsi="Noto Sans SC" w:eastAsia="Noto Sans SC" w:cs="Noto Sans SC"/>
          <w:color w:val="5E6976"/>
          <w:sz w:val="17"/>
        </w:rPr>
        <w:t>[29] Brian McFee, Colin Raffel, Dawen Liang, Daniel PW Ellis, Matt McVicar, Eric Battenberg, and Oriol Nieto. librosa: Audio and music signal analysis in python. SciPy, 2015: 18–24, 2015. 4</w:t>
      </w:r>
    </w:p>
    <w:p>
      <w:pPr>
        <w:spacing w:after="80" w:line="264" w:lineRule="auto"/>
        <w:ind w:left="288" w:hanging="288"/>
      </w:pPr>
      <w:r>
        <w:rPr>
          <w:rFonts w:ascii="Noto Sans SC" w:hAnsi="Noto Sans SC" w:eastAsia="Noto Sans SC" w:cs="Noto Sans SC"/>
          <w:color w:val="5E6976"/>
          <w:sz w:val="17"/>
        </w:rPr>
        <w:t>[30] Aaron van den Oord, Yazhe Li, and Oriol Vinyals. Representation learning with contrastive predictive coding. arXiv preprint arXiv:1807.03748, 2018. 5</w:t>
      </w:r>
    </w:p>
    <w:p>
      <w:pPr>
        <w:spacing w:after="80" w:line="264" w:lineRule="auto"/>
        <w:ind w:left="288" w:hanging="288"/>
      </w:pPr>
      <w:r>
        <w:rPr>
          <w:rFonts w:ascii="Noto Sans SC" w:hAnsi="Noto Sans SC" w:eastAsia="Noto Sans SC" w:cs="Noto Sans SC"/>
          <w:color w:val="5E6976"/>
          <w:sz w:val="17"/>
        </w:rPr>
        <w:t>[31] Georgios Pavlakos, Vasileios Choutas, Nima Ghorbani, Timo Bolkart, Ahmed AA Osman, Dimitrios Tzionas, and Michael J Black. Expressive body capture: 3d hands, face, and body from a single image. In Proceedings of the IEEE/CVF conference on computer vision and pattern recognition, pages 10975–10985, 2019. 6</w:t>
      </w:r>
    </w:p>
    <w:p>
      <w:pPr>
        <w:spacing w:after="80" w:line="264" w:lineRule="auto"/>
        <w:ind w:left="288" w:hanging="288"/>
      </w:pPr>
      <w:r>
        <w:rPr>
          <w:rFonts w:ascii="Noto Sans SC" w:hAnsi="Noto Sans SC" w:eastAsia="Noto Sans SC" w:cs="Noto Sans SC"/>
          <w:color w:val="5E6976"/>
          <w:sz w:val="17"/>
        </w:rPr>
        <w:t>[32] Xue Bin Peng, Pieter Abbeel, Sergey Levine, and Michiel Van de Panne. Deepmimic: Example-guided deep reinforcement learning of physics-based character skills. ACM Transactions On Graphics (TOG), 37(4):1–14, 2018. 3, 1</w:t>
      </w:r>
    </w:p>
    <w:p>
      <w:pPr>
        <w:spacing w:after="80" w:line="264" w:lineRule="auto"/>
        <w:ind w:left="288" w:hanging="288"/>
      </w:pPr>
      <w:r>
        <w:rPr>
          <w:rFonts w:ascii="Noto Sans SC" w:hAnsi="Noto Sans SC" w:eastAsia="Noto Sans SC" w:cs="Noto Sans SC"/>
          <w:color w:val="5E6976"/>
          <w:sz w:val="17"/>
        </w:rPr>
        <w:t>[33] Xue Bin Peng, Ze Ma, Pieter Abbeel, Sergey Levine, and Angjoo Kanazawa. Amp: Adversarial motion priors for stylized physics-based character control. ACM Transactions on Graphics (ToG), 40(4):1–20, 2021. 2</w:t>
      </w:r>
    </w:p>
    <w:p>
      <w:pPr>
        <w:spacing w:after="80" w:line="264" w:lineRule="auto"/>
        <w:ind w:left="288" w:hanging="288"/>
      </w:pPr>
      <w:r>
        <w:rPr>
          <w:rFonts w:ascii="Noto Sans SC" w:hAnsi="Noto Sans SC" w:eastAsia="Noto Sans SC" w:cs="Noto Sans SC"/>
          <w:color w:val="5E6976"/>
          <w:sz w:val="17"/>
        </w:rPr>
        <w:t>[34] Stéphane Ross, Geoffrey Gordon, and Drew Bagnell. A reduction of imitation learning and structured prediction to no-regret online learning. In Proceedings of the fourteenth international conference on artificial intelligence and statistics, pages 627–635. JMLR Workshop and Conference Proceedings, 2011. 5</w:t>
      </w:r>
    </w:p>
    <w:p>
      <w:pPr>
        <w:spacing w:after="80" w:line="264" w:lineRule="auto"/>
        <w:ind w:left="288" w:hanging="288"/>
      </w:pPr>
      <w:r>
        <w:rPr>
          <w:rFonts w:ascii="Noto Sans SC" w:hAnsi="Noto Sans SC" w:eastAsia="Noto Sans SC" w:cs="Noto Sans SC"/>
          <w:color w:val="5E6976"/>
          <w:sz w:val="17"/>
        </w:rPr>
        <w:t>[35] John Schulman, Filip Wolski, Prafulla Dhariwal, Alec Radford, and Oleg Klimov. Proximal policy optimization algorithms. arXiv preprint arXiv:1707.06347, 2017. 1</w:t>
      </w:r>
    </w:p>
    <w:p>
      <w:pPr>
        <w:spacing w:after="80" w:line="264" w:lineRule="auto"/>
        <w:ind w:left="288" w:hanging="288"/>
      </w:pPr>
      <w:r>
        <w:rPr>
          <w:rFonts w:ascii="Noto Sans SC" w:hAnsi="Noto Sans SC" w:eastAsia="Noto Sans SC" w:cs="Noto Sans SC"/>
          <w:color w:val="5E6976"/>
          <w:sz w:val="17"/>
        </w:rPr>
        <w:t>[36] Yiyang Shao, Xiaoyu Huang, Bike Zhang, Qiayuan Liao, Yuman Gao, Yufeng Chi, Zhongyu Li, Sophia Shao, and Koushil Sreenath. Langwbc: Language-directed humanoid whole-body control via end-to-end learning. arXiv preprint arXiv:2504.21738, 2025. 1, 3</w:t>
      </w:r>
    </w:p>
    <w:p>
      <w:pPr>
        <w:spacing w:after="80" w:line="264" w:lineRule="auto"/>
        <w:ind w:left="288" w:hanging="288"/>
      </w:pPr>
      <w:r>
        <w:rPr>
          <w:rFonts w:ascii="Noto Sans SC" w:hAnsi="Noto Sans SC" w:eastAsia="Noto Sans SC" w:cs="Noto Sans SC"/>
          <w:color w:val="5E6976"/>
          <w:sz w:val="17"/>
        </w:rPr>
        <w:t>[37] Jiaming Song, Chenlin Meng, and Stefano Ermon. Denoising diffusion implicit models. arXiv preprint arXiv:2010.02502, 2020. 6</w:t>
      </w:r>
    </w:p>
    <w:p>
      <w:pPr>
        <w:spacing w:after="80" w:line="264" w:lineRule="auto"/>
        <w:ind w:left="288" w:hanging="288"/>
      </w:pPr>
      <w:r>
        <w:rPr>
          <w:rFonts w:ascii="Noto Sans SC" w:hAnsi="Noto Sans SC" w:eastAsia="Noto Sans SC" w:cs="Noto Sans SC"/>
          <w:color w:val="5E6976"/>
          <w:sz w:val="17"/>
        </w:rPr>
        <w:t>[38] Koushil Sreenath, Hae-Won Park, Ioannis Poulakakis, and Jessy W Grizzle. A compliant hybrid zero dynamics controller for stable, efficient and fast bipedal walking on mabel. The International Journal of Robotics Research, 30(9):1170–1193, 2011. 2</w:t>
      </w:r>
    </w:p>
    <w:p>
      <w:pPr>
        <w:spacing w:after="80" w:line="264" w:lineRule="auto"/>
        <w:ind w:left="288" w:hanging="288"/>
      </w:pPr>
      <w:r>
        <w:rPr>
          <w:rFonts w:ascii="Noto Sans SC" w:hAnsi="Noto Sans SC" w:eastAsia="Noto Sans SC" w:cs="Noto Sans SC"/>
          <w:color w:val="5E6976"/>
          <w:sz w:val="17"/>
        </w:rPr>
        <w:t>[39] Zhi Su, Bike Zhang, Nima Rahmanian, Yuman Gao, Qiayuan Liao, Caitlin Regan, Koushil Sreenath, and S Shankar Sastry. Hitter: A humanoid table tennis robot via hierarchical planning and learning. arXiv preprint arXiv:2508.21043, 2025. 3</w:t>
      </w:r>
    </w:p>
    <w:p>
      <w:pPr>
        <w:spacing w:after="80" w:line="264" w:lineRule="auto"/>
        <w:ind w:left="288" w:hanging="288"/>
      </w:pPr>
      <w:r>
        <w:rPr>
          <w:rFonts w:ascii="Noto Sans SC" w:hAnsi="Noto Sans SC" w:eastAsia="Noto Sans SC" w:cs="Noto Sans SC"/>
          <w:color w:val="5E6976"/>
          <w:sz w:val="17"/>
        </w:rPr>
        <w:t>[40] Ashish Vaswani, Noam Shazeer, Niki Parmar, Jakob Uszkoreit, Llion Jones, Aidan N Gomez, Łukasz Kaiser, and Illia Polosukhin. Attention is all you need. Advances in neural information processing systems, 30, 2017. 5</w:t>
      </w:r>
    </w:p>
    <w:p>
      <w:pPr>
        <w:spacing w:after="80" w:line="264" w:lineRule="auto"/>
        <w:ind w:left="288" w:hanging="288"/>
      </w:pPr>
      <w:r>
        <w:rPr>
          <w:rFonts w:ascii="Noto Sans SC" w:hAnsi="Noto Sans SC" w:eastAsia="Noto Sans SC" w:cs="Noto Sans SC"/>
          <w:color w:val="5E6976"/>
          <w:sz w:val="17"/>
        </w:rPr>
        <w:t>[41] Huayi Wang, Zirui Wang, Junli Ren, Qingwei Ben, Tao Huang, Weinan Zhang, and Jiangmiao Pang. Beamdojo: Learning agile humanoid locomotion on sparse footholds. arXiv preprint arXiv:2502.10363, 2025. 2</w:t>
      </w:r>
    </w:p>
    <w:p>
      <w:pPr>
        <w:spacing w:after="80" w:line="264" w:lineRule="auto"/>
        <w:ind w:left="288" w:hanging="288"/>
      </w:pPr>
      <w:r>
        <w:rPr>
          <w:rFonts w:ascii="Noto Sans SC" w:hAnsi="Noto Sans SC" w:eastAsia="Noto Sans SC" w:cs="Noto Sans SC"/>
          <w:color w:val="5E6976"/>
          <w:sz w:val="17"/>
        </w:rPr>
        <w:t>[42] Yuxuan Wang, Ming Yang, Ziluo Ding, Yu Zhang, Weishuai Zeng, Xinrun Xu, Haobin Jiang, and Zongqing Lu. From experts to a generalist: Toward general whole-body control for humanoid robots. arXiv preprint arXiv:2506.12779, 2025. 3</w:t>
      </w:r>
    </w:p>
    <w:p>
      <w:pPr>
        <w:spacing w:after="80" w:line="264" w:lineRule="auto"/>
        <w:ind w:left="288" w:hanging="288"/>
      </w:pPr>
      <w:r>
        <w:rPr>
          <w:rFonts w:ascii="Noto Sans SC" w:hAnsi="Noto Sans SC" w:eastAsia="Noto Sans SC" w:cs="Noto Sans SC"/>
          <w:color w:val="5E6976"/>
          <w:sz w:val="17"/>
        </w:rPr>
        <w:t>[43] Weiji Xie, Jinrui Han, Jiakun Zheng, Huanyu Li, Xinzhe Liu, Jiyuan Shi, Weinan Zhang, Chenjia Bai, and Xuelong Li. Kungfubot: Physics-based humanoid whole-body control for learning highly-dynamic skills. arXiv preprint arXiv:2506.12851, 2025. 1, 3, 8</w:t>
      </w:r>
    </w:p>
    <w:p>
      <w:pPr>
        <w:spacing w:after="80" w:line="264" w:lineRule="auto"/>
        <w:ind w:left="288" w:hanging="288"/>
      </w:pPr>
      <w:r>
        <w:rPr>
          <w:rFonts w:ascii="Noto Sans SC" w:hAnsi="Noto Sans SC" w:eastAsia="Noto Sans SC" w:cs="Noto Sans SC"/>
          <w:color w:val="5E6976"/>
          <w:sz w:val="17"/>
        </w:rPr>
        <w:t>[44] Kangning Yin, Weishuai Zeng, Ke Fan, Minyue Dai, Zirui Wang, Qiang Zhang, Zheng Tian, Jingbo Wang, Jiangmiao Pang, and Weinan Zhang. Unitracker: Learning universal whole-body motion tracker for humanoid robots. arXiv preprint arXiv:2507.07356, 2025. 3</w:t>
      </w:r>
    </w:p>
    <w:p>
      <w:pPr>
        <w:spacing w:after="80" w:line="264" w:lineRule="auto"/>
        <w:ind w:left="288" w:hanging="288"/>
      </w:pPr>
      <w:r>
        <w:rPr>
          <w:rFonts w:ascii="Noto Sans SC" w:hAnsi="Noto Sans SC" w:eastAsia="Noto Sans SC" w:cs="Noto Sans SC"/>
          <w:color w:val="5E6976"/>
          <w:sz w:val="17"/>
        </w:rPr>
        <w:t>[45] Junpeng Yue, Zepeng Wang, Yuxuan Wang, Weishuai Zeng, Jiangxing Wang, Xinrun Xu, Yu Zhang, Sipeng Zheng, Ziluo Ding, and Zongqing Lu. Rl from physical feedback: Aligning large motion models with humanoid control. arXiv preprint arXiv:2506.12769, 2025. 1, 3</w:t>
      </w:r>
    </w:p>
    <w:p>
      <w:pPr>
        <w:spacing w:after="80" w:line="264" w:lineRule="auto"/>
        <w:ind w:left="288" w:hanging="288"/>
      </w:pPr>
      <w:r>
        <w:rPr>
          <w:rFonts w:ascii="Noto Sans SC" w:hAnsi="Noto Sans SC" w:eastAsia="Noto Sans SC" w:cs="Noto Sans SC"/>
          <w:color w:val="5E6976"/>
          <w:sz w:val="17"/>
        </w:rPr>
        <w:t>[46] Yanjie Ze, Zixuan Chen, Joao Pedro Araújo, Zi-ang Cao, Xue Bin Peng, Jiajun Wu, and C Karen Liu. Twist: Teleoperated whole-body imitation system. arXiv preprint arXiv:2505.02833, 2025. 3</w:t>
      </w:r>
    </w:p>
    <w:p>
      <w:pPr>
        <w:spacing w:after="80" w:line="264" w:lineRule="auto"/>
        <w:ind w:left="288" w:hanging="288"/>
      </w:pPr>
      <w:r>
        <w:rPr>
          <w:rFonts w:ascii="Noto Sans SC" w:hAnsi="Noto Sans SC" w:eastAsia="Noto Sans SC" w:cs="Noto Sans SC"/>
          <w:color w:val="5E6976"/>
          <w:sz w:val="17"/>
        </w:rPr>
        <w:t>[47] Tong Zhang, Boyuan Zheng, Ruiqian Nai, Yingdong Hu, YenJen Wang, Geng Chen, Fanqi Lin, Jiongye Li, Chuye Hong, Koushil Sreenath, et al. Hub: Learning extreme humanoid balance. arXiv preprint arXiv:2505.07294, 2025. 3</w:t>
      </w:r>
    </w:p>
    <w:p>
      <w:pPr>
        <w:spacing w:after="80" w:line="264" w:lineRule="auto"/>
        <w:ind w:left="288" w:hanging="288"/>
      </w:pPr>
      <w:r>
        <w:rPr>
          <w:rFonts w:ascii="Noto Sans SC" w:hAnsi="Noto Sans SC" w:eastAsia="Noto Sans SC" w:cs="Noto Sans SC"/>
          <w:color w:val="5E6976"/>
          <w:sz w:val="17"/>
        </w:rPr>
        <w:t>[48] Yuanhang Zhang, Yifu Yuan, Prajwal Gurunath, Tairan He, Shayegan Omidshafiei, Ali-akbar Agha-mohammadi, Marcell Vazquez-Chanlatte, Liam Pedersen, and Guanya Shi. Falcon: Learning force-adaptive humanoid loco-manipulation. arXiv preprint arXiv:2505.06776, 2025. 2</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SC" w:hAnsi="Noto Sans SC" w:eastAsia="Noto Sans SC" w:cs="Noto Sans SC"/>
        <w:color w:val="5E6976"/>
        <w:sz w:val="18"/>
      </w:rPr>
    </w:r>
    <w:r>
      <w:rPr>
        <w:rFonts w:ascii="Noto Sans SC" w:hAnsi="Noto Sans SC" w:eastAsia="Noto Sans SC" w:cs="Noto Sans SC"/>
        <w:color w:val="5E6976"/>
        <w:sz w:val="18"/>
      </w:rPr>
      <w:t xml:space="preserve">第 </w:t>
    </w:r>
    <w:r>
      <w:rPr>
        <w:rFonts w:ascii="Noto Sans SC" w:hAnsi="Noto Sans SC" w:eastAsia="Noto Sans SC" w:cs="Noto Sans SC"/>
        <w:color w:val="5E6976"/>
        <w:sz w:val="18"/>
      </w:rPr>
      <w:fldChar w:fldCharType="begin"/>
    </w:r>
    <w:r>
      <w:rPr>
        <w:rFonts w:ascii="Noto Sans SC" w:hAnsi="Noto Sans SC" w:eastAsia="Noto Sans SC" w:cs="Noto Sans SC"/>
        <w:color w:val="5E6976"/>
        <w:sz w:val="18"/>
      </w:rPr>
      <w:instrText xml:space="preserve">PAGE</w:instrText>
    </w:r>
    <w:r>
      <w:rPr>
        <w:rFonts w:ascii="Noto Sans SC" w:hAnsi="Noto Sans SC" w:eastAsia="Noto Sans SC" w:cs="Noto Sans SC"/>
        <w:color w:val="5E6976"/>
        <w:sz w:val="18"/>
      </w:rPr>
      <w:fldChar w:fldCharType="separate"/>
    </w:r>
    <w:r>
      <w:rPr>
        <w:rFonts w:ascii="Noto Sans SC" w:hAnsi="Noto Sans SC" w:eastAsia="Noto Sans SC" w:cs="Noto Sans SC"/>
        <w:color w:val="5E6976"/>
        <w:sz w:val="18"/>
      </w:rPr>
      <w:t>1</w:t>
    </w:r>
    <w:r>
      <w:rPr>
        <w:rFonts w:ascii="Noto Sans SC" w:hAnsi="Noto Sans SC" w:eastAsia="Noto Sans SC" w:cs="Noto Sans SC"/>
        <w:color w:val="5E6976"/>
        <w:sz w:val="18"/>
      </w:rPr>
      <w:fldChar w:fldCharType="end"/>
    </w:r>
    <w:r>
      <w:rPr>
        <w:rFonts w:ascii="Noto Sans SC" w:hAnsi="Noto Sans SC" w:eastAsia="Noto Sans SC" w:cs="Noto Sans SC"/>
        <w:color w:val="5E697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Noto Sans SC" w:hAnsi="Noto Sans SC" w:eastAsia="Noto Sans SC" w:cs="Noto Sans SC"/>
        <w:color w:val="5E6976"/>
        <w:sz w:val="18"/>
      </w:rPr>
      <w:t>RoboPerform 方法详解与全文翻译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Noto Sans SC" w:hAnsi="Noto Sans SC" w:eastAsia="Noto Sans SC"/>
      <w:color w:val="192A3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Noto Sans SC" w:hAnsi="Noto Sans SC" w:eastAsia="Noto Sans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Noto Sans SC" w:hAnsi="Noto Sans SC" w:eastAsia="Noto Sans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Noto Sans SC" w:hAnsi="Noto Sans SC" w:eastAsia="Noto Sans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Noto Sans SC" w:hAnsi="Noto Sans SC" w:eastAsia="Noto Sans S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Noto Sans SC" w:hAnsi="Noto Sans SC" w:eastAsia="Noto Sans S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RoboPerform 方法详解与全文翻译</dc:title>
  <dc:subject>论文方法详解与全文中文翻译</dc:subject>
  <dc:creator>ChatGPT</dc:creator>
  <cp:keywords>humanoid, motion generation, control, translation</cp:keywords>
  <dc:description>generated by python-docx</dc:description>
  <cp:lastModifiedBy/>
  <cp:revision>1</cp:revision>
  <dcterms:created xsi:type="dcterms:W3CDTF">2013-12-23T23:15:00Z</dcterms:created>
  <dcterms:modified xsi:type="dcterms:W3CDTF">2013-12-23T23:15:00Z</dcterms:modified>
  <cp:category/>
</cp:coreProperties>
</file>