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35C59">
      <w:pPr>
        <w:spacing w:before="2400"/>
      </w:pPr>
    </w:p>
    <w:p w14:paraId="46D92A48">
      <w:pPr>
        <w:spacing w:before="0" w:after="200"/>
        <w:jc w:val="center"/>
      </w:pPr>
      <w:r>
        <w:rPr>
          <w:rFonts w:ascii="微软雅黑" w:hAnsi="微软雅黑" w:eastAsia="微软雅黑" w:cs="微软雅黑"/>
          <w:b/>
          <w:bCs/>
          <w:color w:val="1A3C5E"/>
          <w:sz w:val="72"/>
          <w:szCs w:val="72"/>
        </w:rPr>
        <w:t>商业计划书</w:t>
      </w:r>
    </w:p>
    <w:p w14:paraId="58927713">
      <w:pPr>
        <w:spacing w:before="0" w:after="100"/>
        <w:jc w:val="center"/>
        <w:rPr>
          <w:rFonts w:ascii="微软雅黑" w:hAnsi="微软雅黑" w:eastAsia="微软雅黑" w:cs="微软雅黑"/>
          <w:color w:val="3D7BB8"/>
          <w:sz w:val="32"/>
          <w:szCs w:val="32"/>
        </w:rPr>
      </w:pPr>
      <w:r>
        <w:rPr>
          <w:rFonts w:ascii="微软雅黑" w:hAnsi="微软雅黑" w:eastAsia="微软雅黑" w:cs="微软雅黑"/>
          <w:color w:val="3D7BB8"/>
          <w:sz w:val="32"/>
          <w:szCs w:val="32"/>
        </w:rPr>
        <w:t>—— 模板</w:t>
      </w:r>
      <w:r>
        <w:rPr>
          <w:rFonts w:hint="eastAsia" w:cs="微软雅黑"/>
          <w:color w:val="3D7BB8"/>
          <w:sz w:val="32"/>
          <w:szCs w:val="32"/>
          <w:lang w:val="en-US" w:eastAsia="zh-CN"/>
        </w:rPr>
        <w:t xml:space="preserve"> </w:t>
      </w:r>
      <w:r>
        <w:rPr>
          <w:rFonts w:ascii="微软雅黑" w:hAnsi="微软雅黑" w:eastAsia="微软雅黑" w:cs="微软雅黑"/>
          <w:color w:val="3D7BB8"/>
          <w:sz w:val="32"/>
          <w:szCs w:val="32"/>
        </w:rPr>
        <w:t>——</w:t>
      </w:r>
    </w:p>
    <w:p w14:paraId="7E6E7E65">
      <w:pPr>
        <w:spacing w:before="0" w:after="100"/>
        <w:jc w:val="center"/>
        <w:rPr>
          <w:rFonts w:hint="eastAsia" w:cs="微软雅黑"/>
          <w:color w:val="3D7BB8"/>
          <w:sz w:val="32"/>
          <w:szCs w:val="32"/>
          <w:lang w:val="en-US" w:eastAsia="zh-CN"/>
        </w:rPr>
      </w:pPr>
      <w:r>
        <w:rPr>
          <w:rFonts w:hint="eastAsia" w:cs="微软雅黑"/>
          <w:color w:val="3D7BB8"/>
          <w:sz w:val="32"/>
          <w:szCs w:val="32"/>
          <w:lang w:val="en-US" w:eastAsia="zh-CN"/>
        </w:rPr>
        <w:t>&lt;精美的封面图片&gt;</w:t>
      </w:r>
    </w:p>
    <w:p w14:paraId="22E07C66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281" w:firstLineChars="800"/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注意脱敏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: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所有提交材料中，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必须隐去学校名、校徽、导师姓名等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任何能体现推报单位的信息</w:t>
      </w:r>
    </w:p>
    <w:p w14:paraId="19F0635C">
      <w:pPr>
        <w:pStyle w:val="10"/>
        <w:keepNext w:val="0"/>
        <w:keepLines w:val="0"/>
        <w:widowControl/>
        <w:suppressLineNumbers w:val="0"/>
        <w:spacing w:before="0" w:beforeAutospacing="0" w:after="0" w:afterAutospacing="0"/>
        <w:ind w:left="0" w:right="0" w:firstLine="1281" w:firstLineChars="800"/>
        <w:rPr>
          <w:rFonts w:hint="default" w:eastAsia="宋体"/>
          <w:lang w:val="en-US" w:eastAsia="zh-CN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提交格式</w:t>
      </w: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 xml:space="preserve">: 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商业计划书通常要求提交 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PDF 格式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文件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  <w:lang w:val="en-US" w:eastAsia="zh-CN"/>
        </w:rPr>
        <w:t>,这里只是模板示范</w:t>
      </w:r>
      <w:bookmarkStart w:id="0" w:name="_GoBack"/>
      <w:bookmarkEnd w:id="0"/>
    </w:p>
    <w:p w14:paraId="0045EDAE">
      <w:pPr>
        <w:pBdr>
          <w:bottom w:val="single" w:color="C5A55A" w:sz="6" w:space="1"/>
        </w:pBdr>
        <w:spacing w:before="400" w:after="400"/>
        <w:jc w:val="center"/>
      </w:pPr>
    </w:p>
    <w:p w14:paraId="5A5A6DD5">
      <w:pPr>
        <w:spacing w:before="200" w:after="400"/>
        <w:jc w:val="center"/>
      </w:pPr>
      <w:r>
        <w:rPr>
          <w:rFonts w:ascii="微软雅黑" w:hAnsi="微软雅黑" w:eastAsia="微软雅黑" w:cs="微软雅黑"/>
          <w:b/>
          <w:bCs/>
          <w:color w:val="1A3C5E"/>
          <w:sz w:val="44"/>
          <w:szCs w:val="44"/>
        </w:rPr>
        <w:t>目　录</w:t>
      </w:r>
    </w:p>
    <w:p w14:paraId="3A3D53A3">
      <w:pPr>
        <w:tabs>
          <w:tab w:val="right" w:leader="dot" w:pos="9000"/>
        </w:tabs>
        <w:spacing w:before="200" w:after="80"/>
        <w:ind w:left="0"/>
      </w:pP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第1章 项目概览</w:t>
      </w:r>
      <w:r>
        <w:rPr>
          <w:rFonts w:ascii="微软雅黑" w:hAnsi="微软雅黑" w:eastAsia="微软雅黑" w:cs="微软雅黑"/>
          <w:sz w:val="24"/>
          <w:szCs w:val="24"/>
        </w:rPr>
        <w:tab/>
      </w: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1</w:t>
      </w:r>
    </w:p>
    <w:p w14:paraId="16F035CE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1.1 项目背景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</w:t>
      </w:r>
    </w:p>
    <w:p w14:paraId="61578305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1.2 项目简介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4</w:t>
      </w:r>
    </w:p>
    <w:p w14:paraId="7A9FABA2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1.3 市场机会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6</w:t>
      </w:r>
    </w:p>
    <w:p w14:paraId="2E4FC8BA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1.3.1 现有市场方案存在不足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</w:t>
      </w:r>
    </w:p>
    <w:p w14:paraId="69085DBC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1.3.2 项目竞争优势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</w:t>
      </w:r>
    </w:p>
    <w:p w14:paraId="54AC27E2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1.4 核心资源优势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9</w:t>
      </w:r>
    </w:p>
    <w:p w14:paraId="758E547E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1.5 商业模式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9</w:t>
      </w:r>
    </w:p>
    <w:p w14:paraId="16AE6301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1.6 盈利模式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10</w:t>
      </w:r>
    </w:p>
    <w:p w14:paraId="240FB3A8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1.7 营销策略概述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11</w:t>
      </w:r>
    </w:p>
    <w:p w14:paraId="7D1CC913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1.8 产品 LOGO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12</w:t>
      </w:r>
    </w:p>
    <w:p w14:paraId="6663787A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1.9 产品概述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13</w:t>
      </w:r>
    </w:p>
    <w:p w14:paraId="5E8B9E5E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1.9.1 核心平台/系统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14</w:t>
      </w:r>
    </w:p>
    <w:p w14:paraId="62DAA50B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1.9.2 配套工具/服务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14</w:t>
      </w:r>
    </w:p>
    <w:p w14:paraId="5C1928BD">
      <w:pPr>
        <w:tabs>
          <w:tab w:val="right" w:leader="dot" w:pos="9000"/>
        </w:tabs>
        <w:spacing w:before="200" w:after="80"/>
        <w:ind w:left="0"/>
      </w:pP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第2章 产品及服务</w:t>
      </w:r>
      <w:r>
        <w:rPr>
          <w:rFonts w:ascii="微软雅黑" w:hAnsi="微软雅黑" w:eastAsia="微软雅黑" w:cs="微软雅黑"/>
          <w:sz w:val="24"/>
          <w:szCs w:val="24"/>
        </w:rPr>
        <w:tab/>
      </w: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16</w:t>
      </w:r>
    </w:p>
    <w:p w14:paraId="56B9E041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2.1 产品名称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16</w:t>
      </w:r>
    </w:p>
    <w:p w14:paraId="411876D8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2.2 产品定位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16</w:t>
      </w:r>
    </w:p>
    <w:p w14:paraId="35C689E6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2.2.1 功能定位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16</w:t>
      </w:r>
    </w:p>
    <w:p w14:paraId="027AC904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2.2.2 需求定位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17</w:t>
      </w:r>
    </w:p>
    <w:p w14:paraId="48E9E917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2.2.3 革新定位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18</w:t>
      </w:r>
    </w:p>
    <w:p w14:paraId="5DE05EE8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2.3 产品技术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19</w:t>
      </w:r>
    </w:p>
    <w:p w14:paraId="6A8E7025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2.3.1 系统架构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19</w:t>
      </w:r>
    </w:p>
    <w:p w14:paraId="236D692F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2.3.2 技术选型与依据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24</w:t>
      </w:r>
    </w:p>
    <w:p w14:paraId="263B56F7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2.3.3 关键技术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27</w:t>
      </w:r>
    </w:p>
    <w:p w14:paraId="2B3A3D0C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2.4 产品主要模块介绍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34</w:t>
      </w:r>
    </w:p>
    <w:p w14:paraId="2B1826DF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2.5 产品和服务运营流程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37</w:t>
      </w:r>
    </w:p>
    <w:p w14:paraId="39595E0F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2.5.1 线上服务流程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37</w:t>
      </w:r>
    </w:p>
    <w:p w14:paraId="202DFDEE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2.5.2 线下服务流程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40</w:t>
      </w:r>
    </w:p>
    <w:p w14:paraId="73B12742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2.6 创新及技术优势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42</w:t>
      </w:r>
    </w:p>
    <w:p w14:paraId="5C8D9FDE">
      <w:pPr>
        <w:tabs>
          <w:tab w:val="right" w:leader="dot" w:pos="9000"/>
        </w:tabs>
        <w:spacing w:before="200" w:after="80"/>
        <w:ind w:left="0"/>
      </w:pP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第3章 市场分析</w:t>
      </w:r>
      <w:r>
        <w:rPr>
          <w:rFonts w:ascii="微软雅黑" w:hAnsi="微软雅黑" w:eastAsia="微软雅黑" w:cs="微软雅黑"/>
          <w:sz w:val="24"/>
          <w:szCs w:val="24"/>
        </w:rPr>
        <w:tab/>
      </w: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45</w:t>
      </w:r>
    </w:p>
    <w:p w14:paraId="1FF9071E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3.1 市场概述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45</w:t>
      </w:r>
    </w:p>
    <w:p w14:paraId="70374F1E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3.2 市场预测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46</w:t>
      </w:r>
    </w:p>
    <w:p w14:paraId="51F595A8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3.3 痛点分析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49</w:t>
      </w:r>
    </w:p>
    <w:p w14:paraId="5A400F41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3.3.1 道德与法律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49</w:t>
      </w:r>
    </w:p>
    <w:p w14:paraId="3EA30C82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3.3.2 大数据问题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53</w:t>
      </w:r>
    </w:p>
    <w:p w14:paraId="61AE6FB9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3.3.3 同类产品实力雄厚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55</w:t>
      </w:r>
    </w:p>
    <w:p w14:paraId="4ED01C30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3.4 目标客户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56</w:t>
      </w:r>
    </w:p>
    <w:p w14:paraId="7FD35DA3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3.4.1 “刚需”人群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56</w:t>
      </w:r>
    </w:p>
    <w:p w14:paraId="1CDAB51E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3.4.2 客户购买价值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58</w:t>
      </w:r>
    </w:p>
    <w:p w14:paraId="012859F9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3.5 STP（目标市场营销）分析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59</w:t>
      </w:r>
    </w:p>
    <w:p w14:paraId="45F324C0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3.6 市场环境分析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63</w:t>
      </w:r>
    </w:p>
    <w:p w14:paraId="2347C840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3.6.1 外部市场分析（PEST）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63</w:t>
      </w:r>
    </w:p>
    <w:p w14:paraId="2DE00285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3.6.2 内部市场分析（SWOT）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66</w:t>
      </w:r>
    </w:p>
    <w:p w14:paraId="06B3E59F">
      <w:pPr>
        <w:tabs>
          <w:tab w:val="right" w:leader="dot" w:pos="9000"/>
        </w:tabs>
        <w:spacing w:before="200" w:after="80"/>
        <w:ind w:left="0"/>
      </w:pP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第4章 营销推广方案</w:t>
      </w:r>
      <w:r>
        <w:rPr>
          <w:rFonts w:ascii="微软雅黑" w:hAnsi="微软雅黑" w:eastAsia="微软雅黑" w:cs="微软雅黑"/>
          <w:sz w:val="24"/>
          <w:szCs w:val="24"/>
        </w:rPr>
        <w:tab/>
      </w: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70</w:t>
      </w:r>
    </w:p>
    <w:p w14:paraId="68169238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4.1 营销计划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70</w:t>
      </w:r>
    </w:p>
    <w:p w14:paraId="4B01860D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4.1.1 项目运行初期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70</w:t>
      </w:r>
    </w:p>
    <w:p w14:paraId="01D2306B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4.1.2 项目运行中期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71</w:t>
      </w:r>
    </w:p>
    <w:p w14:paraId="386D2359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4.1.3 项目运行后期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71</w:t>
      </w:r>
    </w:p>
    <w:p w14:paraId="750F634A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4.2 营销技术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72</w:t>
      </w:r>
    </w:p>
    <w:p w14:paraId="1E8CF948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4.3 产品策略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73</w:t>
      </w:r>
    </w:p>
    <w:p w14:paraId="4B48CF03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4.3.1 差异化营销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73</w:t>
      </w:r>
    </w:p>
    <w:p w14:paraId="5452FAD7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4.3.2 产品组合营销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74</w:t>
      </w:r>
    </w:p>
    <w:p w14:paraId="00C9B111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4.3.3 产品品牌营销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75</w:t>
      </w:r>
    </w:p>
    <w:p w14:paraId="357A6A94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4.4 价格策略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75</w:t>
      </w:r>
    </w:p>
    <w:p w14:paraId="134714D1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4.4.1 明确定价方法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75</w:t>
      </w:r>
    </w:p>
    <w:p w14:paraId="02C0CADB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4.4.2 声誉定价方法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76</w:t>
      </w:r>
    </w:p>
    <w:p w14:paraId="0D94555F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4.5 促销策略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76</w:t>
      </w:r>
    </w:p>
    <w:p w14:paraId="7A715A28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4.5.1 内部营销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76</w:t>
      </w:r>
    </w:p>
    <w:p w14:paraId="15BC3D77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4.5.2 绩效营销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77</w:t>
      </w:r>
    </w:p>
    <w:p w14:paraId="02EBD7DE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4.5.3 整合营销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77</w:t>
      </w:r>
    </w:p>
    <w:p w14:paraId="0B5F9BEC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4.5.4 公益活动营销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77</w:t>
      </w:r>
    </w:p>
    <w:p w14:paraId="481D3631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4.6 渠道策略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78</w:t>
      </w:r>
    </w:p>
    <w:p w14:paraId="436B01EB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4.6.1 渠道营销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78</w:t>
      </w:r>
    </w:p>
    <w:p w14:paraId="5C9EA7DE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4.6.2 顾客关系营销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79</w:t>
      </w:r>
    </w:p>
    <w:p w14:paraId="2E9D3E55">
      <w:pPr>
        <w:tabs>
          <w:tab w:val="right" w:leader="dot" w:pos="9000"/>
        </w:tabs>
        <w:spacing w:before="200" w:after="80"/>
        <w:ind w:left="0"/>
      </w:pP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第5章 项目团队</w:t>
      </w:r>
      <w:r>
        <w:rPr>
          <w:rFonts w:ascii="微软雅黑" w:hAnsi="微软雅黑" w:eastAsia="微软雅黑" w:cs="微软雅黑"/>
          <w:sz w:val="24"/>
          <w:szCs w:val="24"/>
        </w:rPr>
        <w:tab/>
      </w: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80</w:t>
      </w:r>
    </w:p>
    <w:p w14:paraId="5199AF08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5.1 团队组织架构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80</w:t>
      </w:r>
    </w:p>
    <w:p w14:paraId="18D93CC6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5.2 核心成员介绍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81</w:t>
      </w:r>
    </w:p>
    <w:p w14:paraId="1FD23AA5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5.3 指导老师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82</w:t>
      </w:r>
    </w:p>
    <w:p w14:paraId="0178EA0C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5.4 团队资源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84</w:t>
      </w:r>
    </w:p>
    <w:p w14:paraId="0B1E2585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5.5 专家顾问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85</w:t>
      </w:r>
    </w:p>
    <w:p w14:paraId="0218336F">
      <w:pPr>
        <w:tabs>
          <w:tab w:val="right" w:leader="dot" w:pos="9000"/>
        </w:tabs>
        <w:spacing w:before="200" w:after="80"/>
        <w:ind w:left="0"/>
      </w:pP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第6章 财务预测</w:t>
      </w:r>
      <w:r>
        <w:rPr>
          <w:rFonts w:ascii="微软雅黑" w:hAnsi="微软雅黑" w:eastAsia="微软雅黑" w:cs="微软雅黑"/>
          <w:sz w:val="24"/>
          <w:szCs w:val="24"/>
        </w:rPr>
        <w:tab/>
      </w: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87</w:t>
      </w:r>
    </w:p>
    <w:p w14:paraId="70A65337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6.1 股权结构与股份安排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87</w:t>
      </w:r>
    </w:p>
    <w:p w14:paraId="5B7F3D38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6.2 资金运用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88</w:t>
      </w:r>
    </w:p>
    <w:p w14:paraId="3E1E5D8F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6.3 财务假设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89</w:t>
      </w:r>
    </w:p>
    <w:p w14:paraId="6A9CDD14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6.3.1 会计政策及财务基础假设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89</w:t>
      </w:r>
    </w:p>
    <w:p w14:paraId="3D83CDE3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6.4 服务项目定价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90</w:t>
      </w:r>
    </w:p>
    <w:p w14:paraId="1C95BA6F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6.5 财务预测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91</w:t>
      </w:r>
    </w:p>
    <w:p w14:paraId="2FA04E2B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6.5.1 未来五年收入结构预测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91</w:t>
      </w:r>
    </w:p>
    <w:p w14:paraId="0158B7AF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6.5.2 未来五年期间费用预测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91</w:t>
      </w:r>
    </w:p>
    <w:p w14:paraId="782EC9CC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6.6 未来五年利润表预测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93</w:t>
      </w:r>
    </w:p>
    <w:p w14:paraId="0E299E4F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6.7 未来五年资产负债表预测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94</w:t>
      </w:r>
    </w:p>
    <w:p w14:paraId="74FEF073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6.8 未来五年现金流量预测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96</w:t>
      </w:r>
    </w:p>
    <w:p w14:paraId="339A3495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6.9 财务可行性预测分析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98</w:t>
      </w:r>
    </w:p>
    <w:p w14:paraId="30B6BD93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6.9.1 项目投资收益分析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98</w:t>
      </w:r>
    </w:p>
    <w:p w14:paraId="6420416C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6.9.2 净现值（NPV）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99</w:t>
      </w:r>
    </w:p>
    <w:p w14:paraId="290FCBF3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6.9.3 现值指数(PI)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99</w:t>
      </w:r>
    </w:p>
    <w:p w14:paraId="577607E4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6.9.4 内含报酬率(IRR)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100</w:t>
      </w:r>
    </w:p>
    <w:p w14:paraId="438FE124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6.9.5 静态投资回收期（PP）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100</w:t>
      </w:r>
    </w:p>
    <w:p w14:paraId="2EC9242F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6.9.6 动态回收期（DPP）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101</w:t>
      </w:r>
    </w:p>
    <w:p w14:paraId="10C64F06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6.9.7 会计收益率(ROI)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101</w:t>
      </w:r>
    </w:p>
    <w:p w14:paraId="0DF2EF0E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6.9.8 财务可行性预测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102</w:t>
      </w:r>
    </w:p>
    <w:p w14:paraId="55AFDA67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6.9.9 综合财务评价结论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103</w:t>
      </w:r>
    </w:p>
    <w:p w14:paraId="7118E329">
      <w:pPr>
        <w:tabs>
          <w:tab w:val="right" w:leader="dot" w:pos="9000"/>
        </w:tabs>
        <w:spacing w:before="200" w:after="80"/>
        <w:ind w:left="0"/>
      </w:pP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第7章 可行性分析</w:t>
      </w:r>
      <w:r>
        <w:rPr>
          <w:rFonts w:ascii="微软雅黑" w:hAnsi="微软雅黑" w:eastAsia="微软雅黑" w:cs="微软雅黑"/>
          <w:sz w:val="24"/>
          <w:szCs w:val="24"/>
        </w:rPr>
        <w:tab/>
      </w: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104</w:t>
      </w:r>
    </w:p>
    <w:p w14:paraId="5650A05B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7.1 技术可行性分析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104</w:t>
      </w:r>
    </w:p>
    <w:p w14:paraId="1B40371F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7.1.1 企业自身技术优势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104</w:t>
      </w:r>
    </w:p>
    <w:p w14:paraId="6A07D163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7.1.2 平台技术可行性分析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104</w:t>
      </w:r>
    </w:p>
    <w:p w14:paraId="3F49829E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7.2 市场可行性分析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107</w:t>
      </w:r>
    </w:p>
    <w:p w14:paraId="23FEEED8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7.3 市场运营可行性分析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108</w:t>
      </w:r>
    </w:p>
    <w:p w14:paraId="1B3727F9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7.3.1 目标群体分析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108</w:t>
      </w:r>
    </w:p>
    <w:p w14:paraId="401C7A88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7.3.2 模式可行性分析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109</w:t>
      </w:r>
    </w:p>
    <w:p w14:paraId="66D96EFA">
      <w:pPr>
        <w:tabs>
          <w:tab w:val="right" w:leader="dot" w:pos="9000"/>
        </w:tabs>
        <w:spacing w:before="200" w:after="80"/>
        <w:ind w:left="0"/>
      </w:pP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第8章 风险分析及应对措施</w:t>
      </w:r>
      <w:r>
        <w:rPr>
          <w:rFonts w:ascii="微软雅黑" w:hAnsi="微软雅黑" w:eastAsia="微软雅黑" w:cs="微软雅黑"/>
          <w:sz w:val="24"/>
          <w:szCs w:val="24"/>
        </w:rPr>
        <w:tab/>
      </w: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111</w:t>
      </w:r>
    </w:p>
    <w:p w14:paraId="7CDDE6E9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8.1 风险分析及对策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111</w:t>
      </w:r>
    </w:p>
    <w:p w14:paraId="1362ECEE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8.1.1 技术风险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111</w:t>
      </w:r>
    </w:p>
    <w:p w14:paraId="1ED80929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8.1.2 市场风险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113</w:t>
      </w:r>
    </w:p>
    <w:p w14:paraId="4BC76C2F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8.1.3 知识产权风险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114</w:t>
      </w:r>
    </w:p>
    <w:p w14:paraId="7135B7E8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8.1.4 管理风险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115</w:t>
      </w:r>
    </w:p>
    <w:p w14:paraId="0BFEF100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8.1.5 财务风险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117</w:t>
      </w:r>
    </w:p>
    <w:p w14:paraId="28036CFF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8.2 风险因素评价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118</w:t>
      </w:r>
    </w:p>
    <w:p w14:paraId="4A9B44C9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8.3 风险监控处理及应对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121</w:t>
      </w:r>
    </w:p>
    <w:p w14:paraId="4FF9C2CB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8.3.1 风险监控处理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121</w:t>
      </w:r>
    </w:p>
    <w:p w14:paraId="115E0FFA">
      <w:pPr>
        <w:tabs>
          <w:tab w:val="right" w:leader="dot" w:pos="9000"/>
        </w:tabs>
        <w:spacing w:before="60" w:after="40"/>
        <w:ind w:left="960"/>
      </w:pP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8.3.2 风险暴发处理</w:t>
      </w:r>
      <w:r>
        <w:rPr>
          <w:rFonts w:ascii="微软雅黑" w:hAnsi="微软雅黑" w:eastAsia="微软雅黑" w:cs="微软雅黑"/>
          <w:sz w:val="21"/>
          <w:szCs w:val="21"/>
        </w:rPr>
        <w:tab/>
      </w:r>
      <w:r>
        <w:rPr>
          <w:rFonts w:ascii="微软雅黑" w:hAnsi="微软雅黑" w:eastAsia="微软雅黑" w:cs="微软雅黑"/>
          <w:b w:val="0"/>
          <w:bCs w:val="0"/>
          <w:color w:val="4A4A4A"/>
          <w:sz w:val="21"/>
          <w:szCs w:val="21"/>
        </w:rPr>
        <w:t>123</w:t>
      </w:r>
    </w:p>
    <w:p w14:paraId="5DF17FDE">
      <w:pPr>
        <w:tabs>
          <w:tab w:val="right" w:leader="dot" w:pos="9000"/>
        </w:tabs>
        <w:spacing w:before="200" w:after="80"/>
        <w:ind w:left="0"/>
      </w:pP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附录</w:t>
      </w:r>
      <w:r>
        <w:rPr>
          <w:rFonts w:ascii="微软雅黑" w:hAnsi="微软雅黑" w:eastAsia="微软雅黑" w:cs="微软雅黑"/>
          <w:sz w:val="24"/>
          <w:szCs w:val="24"/>
        </w:rPr>
        <w:tab/>
      </w: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126</w:t>
      </w:r>
    </w:p>
    <w:p w14:paraId="58BE830E">
      <w:pPr>
        <w:tabs>
          <w:tab w:val="right" w:leader="dot" w:pos="9000"/>
        </w:tabs>
        <w:spacing w:before="200" w:after="80"/>
        <w:ind w:left="0"/>
      </w:pP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第9章 参考文献</w:t>
      </w:r>
      <w:r>
        <w:rPr>
          <w:rFonts w:ascii="微软雅黑" w:hAnsi="微软雅黑" w:eastAsia="微软雅黑" w:cs="微软雅黑"/>
          <w:sz w:val="24"/>
          <w:szCs w:val="24"/>
        </w:rPr>
        <w:tab/>
      </w:r>
      <w:r>
        <w:rPr>
          <w:rFonts w:ascii="微软雅黑" w:hAnsi="微软雅黑" w:eastAsia="微软雅黑" w:cs="微软雅黑"/>
          <w:b/>
          <w:bCs/>
          <w:color w:val="1A3C5E"/>
          <w:sz w:val="24"/>
          <w:szCs w:val="24"/>
        </w:rPr>
        <w:t>128</w:t>
      </w:r>
    </w:p>
    <w:p w14:paraId="58254F5C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9.1 期刊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128</w:t>
      </w:r>
    </w:p>
    <w:p w14:paraId="28AC1194">
      <w:pPr>
        <w:tabs>
          <w:tab w:val="right" w:leader="dot" w:pos="9000"/>
        </w:tabs>
        <w:spacing w:before="60" w:after="40"/>
        <w:ind w:left="480"/>
      </w:pP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9.2 国际期刊</w:t>
      </w:r>
      <w:r>
        <w:rPr>
          <w:rFonts w:ascii="微软雅黑" w:hAnsi="微软雅黑" w:eastAsia="微软雅黑" w:cs="微软雅黑"/>
          <w:sz w:val="22"/>
          <w:szCs w:val="22"/>
        </w:rPr>
        <w:tab/>
      </w:r>
      <w:r>
        <w:rPr>
          <w:rFonts w:ascii="微软雅黑" w:hAnsi="微软雅黑" w:eastAsia="微软雅黑" w:cs="微软雅黑"/>
          <w:b w:val="0"/>
          <w:bCs w:val="0"/>
          <w:color w:val="1A1A1A"/>
          <w:sz w:val="22"/>
          <w:szCs w:val="22"/>
        </w:rPr>
        <w:t>129</w:t>
      </w:r>
    </w:p>
    <w:p w14:paraId="4C57EDD5">
      <w:r>
        <w:br w:type="page"/>
      </w:r>
    </w:p>
    <w:p w14:paraId="1827BD63">
      <w:pPr>
        <w:pStyle w:val="2"/>
        <w:spacing w:before="480" w:after="240"/>
      </w:pPr>
      <w:r>
        <w:rPr>
          <w:rFonts w:ascii="微软雅黑" w:hAnsi="微软雅黑" w:eastAsia="微软雅黑" w:cs="微软雅黑"/>
          <w:b/>
          <w:bCs/>
          <w:color w:val="1A3C5E"/>
          <w:sz w:val="36"/>
          <w:szCs w:val="36"/>
        </w:rPr>
        <w:t>第1章 项目概览</w:t>
      </w:r>
    </w:p>
    <w:p w14:paraId="1640858A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1.1 项目背景</w:t>
      </w:r>
    </w:p>
    <w:p w14:paraId="7A73200E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阐述项目立项的时代背景、行业背景与社会需求。说明项目产生的宏观环境与政策导向，为后续市场机会和产品定位提供依据。</w:t>
      </w:r>
    </w:p>
    <w:p w14:paraId="47E049FB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1.2 项目简介</w:t>
      </w:r>
    </w:p>
    <w:p w14:paraId="61440F58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简洁概括项目的核心价值主张、目标用户、解决的核心问题，以及项目的整体定位。让读者在最短时间内理解项目的本质。</w:t>
      </w:r>
    </w:p>
    <w:p w14:paraId="48E041F4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1.3 市场机会</w:t>
      </w:r>
    </w:p>
    <w:p w14:paraId="407A4E97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分析目标市场的机会窗口，包括市场规模、增长趋势与未来展望。</w:t>
      </w:r>
    </w:p>
    <w:p w14:paraId="21A907CE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1.3.1 现有市场方案存在不足</w:t>
      </w:r>
    </w:p>
    <w:p w14:paraId="0982EF2D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剖析竞品或现有解决方案的短板与局限性，为本项目的切入提供合理性依据。</w:t>
      </w:r>
    </w:p>
    <w:p w14:paraId="05E57676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1.3.2 项目竞争优势</w:t>
      </w:r>
    </w:p>
    <w:p w14:paraId="4C51A60E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明确本项目相对于现有方案的差异化优势，从技术、模式、体验等多维度展开。</w:t>
      </w:r>
    </w:p>
    <w:p w14:paraId="0AC5F3DF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1.4 核心资源优势</w:t>
      </w:r>
    </w:p>
    <w:p w14:paraId="4849BCA5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与第5章“团队资源”区分：本节侧重项目层面的核心壁垒与资源护城河，如专利、数据、渠道、技术积累等不可复制的优势。</w:t>
      </w:r>
    </w:p>
    <w:p w14:paraId="7D4C0B04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1.5 商业模式</w:t>
      </w:r>
    </w:p>
    <w:p w14:paraId="460AE58A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阐述项目的商业逻辑——如何创造价值、交付价值、截取价值。可采用商业画布等工具辅助说明。</w:t>
      </w:r>
    </w:p>
    <w:p w14:paraId="6B5AEA27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1.6 盈利模式</w:t>
      </w:r>
    </w:p>
    <w:p w14:paraId="14D77DBF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明确收入来源、成本结构与利润逻辑，与商业模式区分：商业模式讲“怎么运转”，盈利模式讲“怎么赚钱”。</w:t>
      </w:r>
    </w:p>
    <w:p w14:paraId="5B3046AC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1.7 营销策略概述</w:t>
      </w:r>
    </w:p>
    <w:p w14:paraId="6DD62100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本节为概述性预告，详细的营销推广方案见第4章。简述营销总体方向、目标用户获取策略与品牌建设思路即可。</w:t>
      </w:r>
    </w:p>
    <w:p w14:paraId="4F380052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1.8 产品 LOGO</w:t>
      </w:r>
    </w:p>
    <w:p w14:paraId="65BE06A4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展示产品 LOGO 设计，阐释设计理念与品牌含义。</w:t>
      </w:r>
    </w:p>
    <w:p w14:paraId="03A99133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1.9 产品概述</w:t>
      </w:r>
    </w:p>
    <w:p w14:paraId="09A6D232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对产品体系进行总体介绍，包括核心平台与配套工具的关系与协同。</w:t>
      </w:r>
    </w:p>
    <w:p w14:paraId="27DE1B6A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1.9.1 核心平台/系统</w:t>
      </w:r>
    </w:p>
    <w:p w14:paraId="19630DB7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介绍项目的主要平台或系统，包括功能架构、技术栈与核心服务。</w:t>
      </w:r>
    </w:p>
    <w:p w14:paraId="6EBB11CD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1.9.2 配套工具/服务</w:t>
      </w:r>
    </w:p>
    <w:p w14:paraId="03309890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介绍配套的工具、小程序或增值服务，说明其与核心平台的协同关系。</w:t>
      </w:r>
    </w:p>
    <w:p w14:paraId="3EFEF325">
      <w:r>
        <w:br w:type="page"/>
      </w:r>
    </w:p>
    <w:p w14:paraId="081A9D11">
      <w:pPr>
        <w:pStyle w:val="2"/>
        <w:spacing w:before="480" w:after="240"/>
      </w:pPr>
      <w:r>
        <w:rPr>
          <w:rFonts w:ascii="微软雅黑" w:hAnsi="微软雅黑" w:eastAsia="微软雅黑" w:cs="微软雅黑"/>
          <w:b/>
          <w:bCs/>
          <w:color w:val="1A3C5E"/>
          <w:sz w:val="36"/>
          <w:szCs w:val="36"/>
        </w:rPr>
        <w:t>第2章 产品及服务</w:t>
      </w:r>
    </w:p>
    <w:p w14:paraId="3D0611A0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2.1 产品名称</w:t>
      </w:r>
    </w:p>
    <w:p w14:paraId="5366D07F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明确产品官方名称、版本号及命名含义。</w:t>
      </w:r>
    </w:p>
    <w:p w14:paraId="7F7D619B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2.2 产品定位</w:t>
      </w:r>
    </w:p>
    <w:p w14:paraId="02DB3148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从功能、需求与革新三个维度定位产品。</w:t>
      </w:r>
    </w:p>
    <w:p w14:paraId="0FA1B7FB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2.2.1 功能定位</w:t>
      </w:r>
    </w:p>
    <w:p w14:paraId="481CB6F7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阐述产品提供的核心功能与主要特性。</w:t>
      </w:r>
    </w:p>
    <w:p w14:paraId="69E8293F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2.2.2 需求定位</w:t>
      </w:r>
    </w:p>
    <w:p w14:paraId="49FA6738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明确产品解决的用户需求与痛点。</w:t>
      </w:r>
    </w:p>
    <w:p w14:paraId="4779DFF7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2.2.3 革新定位</w:t>
      </w:r>
    </w:p>
    <w:p w14:paraId="16271F82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突出产品的创新点与差异化优势。</w:t>
      </w:r>
    </w:p>
    <w:p w14:paraId="4A79C92C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2.3 产品技术</w:t>
      </w:r>
    </w:p>
    <w:p w14:paraId="5C959F80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从系统架构、技术选型到关键技术三个层面详细展开。</w:t>
      </w:r>
    </w:p>
    <w:p w14:paraId="4205DEED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2.3.1 系统架构</w:t>
      </w:r>
    </w:p>
    <w:p w14:paraId="7DF908DA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展示系统整体架构图，包括前端、后端、数据层、基础设施等各层组成与关系。可配合架构图说明。</w:t>
      </w:r>
    </w:p>
    <w:p w14:paraId="28EFFF1C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2.3.2 技术选型与依据</w:t>
      </w:r>
    </w:p>
    <w:p w14:paraId="0AD528EA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【新增章节】阐述各层技术栈的选型理由、对比方案与选择依据，为后续关键技术的展开提供逻辑铺垫。</w:t>
      </w:r>
    </w:p>
    <w:p w14:paraId="62A41244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2.3.3 关键技术</w:t>
      </w:r>
    </w:p>
    <w:p w14:paraId="332E0728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详细介绍项目所使用的关键技术方案，包括核心算法、技术原理与实现路径。</w:t>
      </w:r>
    </w:p>
    <w:p w14:paraId="12BCB478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2.4 产品主要模块介绍</w:t>
      </w:r>
    </w:p>
    <w:p w14:paraId="0C69460D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逐模块介绍产品的各功能模块，包括功能说明、交互流程与截图示例。</w:t>
      </w:r>
    </w:p>
    <w:p w14:paraId="5F9C0009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2.5 产品和服务运营流程</w:t>
      </w:r>
    </w:p>
    <w:p w14:paraId="095AB5E6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区分线上与线下服务流程，展示完整的业务运营链路。</w:t>
      </w:r>
    </w:p>
    <w:p w14:paraId="7F813034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2.5.1 线上服务流程</w:t>
      </w:r>
    </w:p>
    <w:p w14:paraId="2063110A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描述线上服务的完整流程，包括用户注册、服务使用、数据反馈等环节。</w:t>
      </w:r>
    </w:p>
    <w:p w14:paraId="452DC8AE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2.5.2 线下服务流程</w:t>
      </w:r>
    </w:p>
    <w:p w14:paraId="2817CEF1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描述线下服务的流程，如线下推广、圹场活动、合作伙伴对接等。</w:t>
      </w:r>
    </w:p>
    <w:p w14:paraId="08ECA19D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2.6 创新及技术优势</w:t>
      </w:r>
    </w:p>
    <w:p w14:paraId="2320E6E0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汇总项目的核心创新点与技术护城河，与竞品对比突出差异化优势。</w:t>
      </w:r>
    </w:p>
    <w:p w14:paraId="35BD83F9">
      <w:r>
        <w:br w:type="page"/>
      </w:r>
    </w:p>
    <w:p w14:paraId="1D60ABDD">
      <w:pPr>
        <w:pStyle w:val="2"/>
        <w:spacing w:before="480" w:after="240"/>
      </w:pPr>
      <w:r>
        <w:rPr>
          <w:rFonts w:ascii="微软雅黑" w:hAnsi="微软雅黑" w:eastAsia="微软雅黑" w:cs="微软雅黑"/>
          <w:b/>
          <w:bCs/>
          <w:color w:val="1A3C5E"/>
          <w:sz w:val="36"/>
          <w:szCs w:val="36"/>
        </w:rPr>
        <w:t>第3章 市场分析</w:t>
      </w:r>
    </w:p>
    <w:p w14:paraId="258749CC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3.1 市场概述</w:t>
      </w:r>
    </w:p>
    <w:p w14:paraId="7D4D5CA7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对目标市场的整体状况进行概述，包括市场规模、发展历史与现状。</w:t>
      </w:r>
    </w:p>
    <w:p w14:paraId="414F7BE1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3.2 市场预测</w:t>
      </w:r>
    </w:p>
    <w:p w14:paraId="477E7050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基于数据与行业报告对未来市场趋势进行预测，包括市场规模增长率、细分领域趋势等。</w:t>
      </w:r>
    </w:p>
    <w:p w14:paraId="428B99D1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3.3 痛点分析</w:t>
      </w:r>
    </w:p>
    <w:p w14:paraId="62ECE188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从道德法律、大数据问题、同类产品竞争三个维度分析行业痛点。</w:t>
      </w:r>
    </w:p>
    <w:p w14:paraId="6731C820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3.3.1 道德与法律</w:t>
      </w:r>
    </w:p>
    <w:p w14:paraId="6913C5BE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分析行业面临的道德与法律问题，如数据隐私、算法偏见、合规风险等。</w:t>
      </w:r>
    </w:p>
    <w:p w14:paraId="2DD64127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3.3.2 大数据问题</w:t>
      </w:r>
    </w:p>
    <w:p w14:paraId="40E608D2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分析大数据应用中的技术与管理痛点，如数据质量、数据安全、数据孤岛等。</w:t>
      </w:r>
    </w:p>
    <w:p w14:paraId="57598EE7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3.3.3 同类产品实力雄厚</w:t>
      </w:r>
    </w:p>
    <w:p w14:paraId="4479924A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分析市场上已有竞品的实力与市场份额，评估进入壁垒。</w:t>
      </w:r>
    </w:p>
    <w:p w14:paraId="7B788B59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3.4 目标客户</w:t>
      </w:r>
    </w:p>
    <w:p w14:paraId="37D4FD5D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画像目标客户群体，区分刚需人群与潜在客户。</w:t>
      </w:r>
    </w:p>
    <w:p w14:paraId="3B3C47BB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3.4.1 “刚需”人群</w:t>
      </w:r>
    </w:p>
    <w:p w14:paraId="14D52095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明确对产品有强烈需求的核心用户群体及其特征。</w:t>
      </w:r>
    </w:p>
    <w:p w14:paraId="2841B494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3.4.2 客户购买价值</w:t>
      </w:r>
    </w:p>
    <w:p w14:paraId="6CFCDE84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分析客户为什么会为产品买单，量化客户的价值主张。</w:t>
      </w:r>
    </w:p>
    <w:p w14:paraId="64089083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3.5 STP（目标市场营销）分析</w:t>
      </w:r>
    </w:p>
    <w:p w14:paraId="3DFB53DF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运用STP理论进行市场细分、目标市场选择与市场定位。</w:t>
      </w:r>
    </w:p>
    <w:p w14:paraId="11EAB402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3.6 市场环境分析</w:t>
      </w:r>
    </w:p>
    <w:p w14:paraId="245E008F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从外部（PEST）与内部（SWOT）两个维度分析市场环境。</w:t>
      </w:r>
    </w:p>
    <w:p w14:paraId="555AC6DC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3.6.1 外部市场分析（PEST）</w:t>
      </w:r>
    </w:p>
    <w:p w14:paraId="7691EE23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从政治、经济、社会、技术四个方面分析外部宏观环境。</w:t>
      </w:r>
    </w:p>
    <w:p w14:paraId="64990FAB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3.6.2 内部市场分析（SWOT）</w:t>
      </w:r>
    </w:p>
    <w:p w14:paraId="3980C920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从优势、劣势、机会、威胁四个维度分析项目内部环境。</w:t>
      </w:r>
    </w:p>
    <w:p w14:paraId="6D4C1D42">
      <w:r>
        <w:br w:type="page"/>
      </w:r>
    </w:p>
    <w:p w14:paraId="22A3A2AC">
      <w:pPr>
        <w:pStyle w:val="2"/>
        <w:spacing w:before="480" w:after="240"/>
      </w:pPr>
      <w:r>
        <w:rPr>
          <w:rFonts w:ascii="微软雅黑" w:hAnsi="微软雅黑" w:eastAsia="微软雅黑" w:cs="微软雅黑"/>
          <w:b/>
          <w:bCs/>
          <w:color w:val="1A3C5E"/>
          <w:sz w:val="36"/>
          <w:szCs w:val="36"/>
        </w:rPr>
        <w:t>第4章 营销推广方案</w:t>
      </w:r>
    </w:p>
    <w:p w14:paraId="3D0D3B65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4.1 营销计划</w:t>
      </w:r>
    </w:p>
    <w:p w14:paraId="1772CB6D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按项目运行的初期、中期、后期分别制定营销计划。</w:t>
      </w:r>
    </w:p>
    <w:p w14:paraId="5A911286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4.1.1 项目运行初期</w:t>
      </w:r>
    </w:p>
    <w:p w14:paraId="052A974C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初期营销策略，侧重用户获取与品牌建立。</w:t>
      </w:r>
    </w:p>
    <w:p w14:paraId="4240406A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4.1.2 项目运行中期</w:t>
      </w:r>
    </w:p>
    <w:p w14:paraId="312E26FD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中期营销策略，侧重用户留存与付费转化。</w:t>
      </w:r>
    </w:p>
    <w:p w14:paraId="2103E045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4.1.3 项目运行后期</w:t>
      </w:r>
    </w:p>
    <w:p w14:paraId="5653E08C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后期营销策略，侧重规模化扩张与生态建设。</w:t>
      </w:r>
    </w:p>
    <w:p w14:paraId="573C93D8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4.2 营销技术</w:t>
      </w:r>
    </w:p>
    <w:p w14:paraId="1E0E70EB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介绍所采用的营销技术手段，如SEO/SEM、内容营销、社群营销、精准广告等。</w:t>
      </w:r>
    </w:p>
    <w:p w14:paraId="507CD71F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4.3 产品策略</w:t>
      </w:r>
    </w:p>
    <w:p w14:paraId="0E78CDB2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从差异化、组合、品牌三个方面制定产品营销策略。</w:t>
      </w:r>
    </w:p>
    <w:p w14:paraId="372AEDDC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4.3.1 差异化营销</w:t>
      </w:r>
    </w:p>
    <w:p w14:paraId="454C1135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突出产品与竞品的差异化卖点。</w:t>
      </w:r>
    </w:p>
    <w:p w14:paraId="03A274F7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4.3.2 产品组合营销</w:t>
      </w:r>
    </w:p>
    <w:p w14:paraId="4BFF6F48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设计产品组合与套餐策略，提升客单价值。</w:t>
      </w:r>
    </w:p>
    <w:p w14:paraId="66BF8268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4.3.3 产品品牌营销</w:t>
      </w:r>
    </w:p>
    <w:p w14:paraId="7033D33F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制定品牌建设与传播策略。</w:t>
      </w:r>
    </w:p>
    <w:p w14:paraId="40724DC6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4.4 价格策略</w:t>
      </w:r>
    </w:p>
    <w:p w14:paraId="414837EB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明确定价方法与声誉定价策略。</w:t>
      </w:r>
    </w:p>
    <w:p w14:paraId="2973129B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4.4.1 明确定价方法</w:t>
      </w:r>
    </w:p>
    <w:p w14:paraId="249C360D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基于成本、竞品、价值等因素制定明确的价格体系。</w:t>
      </w:r>
    </w:p>
    <w:p w14:paraId="42A800CD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4.4.2 声誉定价方法</w:t>
      </w:r>
    </w:p>
    <w:p w14:paraId="79341CE4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基于品牌声誉与用户感知价值制定价格策略。</w:t>
      </w:r>
    </w:p>
    <w:p w14:paraId="1E6D6F08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4.5 促销策略</w:t>
      </w:r>
    </w:p>
    <w:p w14:paraId="1BD56BFC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从内部营销、绩效营销、整合营销、公益活动四个方面制定促销策略。</w:t>
      </w:r>
    </w:p>
    <w:p w14:paraId="347A9CF2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4.5.1 内部营销</w:t>
      </w:r>
    </w:p>
    <w:p w14:paraId="5786967D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面向内部员工与合作伙伴的营销策略。</w:t>
      </w:r>
    </w:p>
    <w:p w14:paraId="5C234956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4.5.2 绩效营销</w:t>
      </w:r>
    </w:p>
    <w:p w14:paraId="14809658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基于绩效指标的营销策略，如KPI驱动的推广。</w:t>
      </w:r>
    </w:p>
    <w:p w14:paraId="3538807B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4.5.3 整合营销</w:t>
      </w:r>
    </w:p>
    <w:p w14:paraId="13CBB98D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跨渠道、跨平台的整合营销策略。</w:t>
      </w:r>
    </w:p>
    <w:p w14:paraId="3A59E917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4.5.4 公益活动营销</w:t>
      </w:r>
    </w:p>
    <w:p w14:paraId="536D94F6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通过公益活动提升品牌社会形象与影响力。</w:t>
      </w:r>
    </w:p>
    <w:p w14:paraId="2A912DD5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4.6 渠道策略</w:t>
      </w:r>
    </w:p>
    <w:p w14:paraId="02DA0B09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制定渠道营销与顾客关系营销策略。</w:t>
      </w:r>
    </w:p>
    <w:p w14:paraId="1EC4C1B8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4.6.1 渠道营销</w:t>
      </w:r>
    </w:p>
    <w:p w14:paraId="57AC7EAA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选择合适的销售渠道与分销体系。</w:t>
      </w:r>
    </w:p>
    <w:p w14:paraId="06E8632E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4.6.2 顾客关系营销</w:t>
      </w:r>
    </w:p>
    <w:p w14:paraId="1C8A278D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制定客户关系维护与忠诚度提升策略。</w:t>
      </w:r>
    </w:p>
    <w:p w14:paraId="6BF1DB40">
      <w:r>
        <w:br w:type="page"/>
      </w:r>
    </w:p>
    <w:p w14:paraId="0AA5CDF7">
      <w:pPr>
        <w:pStyle w:val="2"/>
        <w:spacing w:before="480" w:after="240"/>
      </w:pPr>
      <w:r>
        <w:rPr>
          <w:rFonts w:ascii="微软雅黑" w:hAnsi="微软雅黑" w:eastAsia="微软雅黑" w:cs="微软雅黑"/>
          <w:b/>
          <w:bCs/>
          <w:color w:val="1A3C5E"/>
          <w:sz w:val="36"/>
          <w:szCs w:val="36"/>
        </w:rPr>
        <w:t>第5章 项目团队</w:t>
      </w:r>
    </w:p>
    <w:p w14:paraId="6630AD4A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5.1 团队组织架构</w:t>
      </w:r>
    </w:p>
    <w:p w14:paraId="047E7FDC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【标题优化：原“团队管理人员简介”】介绍团队的组织架构、部门划分与岗位设置，可配组织架构图。</w:t>
      </w:r>
    </w:p>
    <w:p w14:paraId="121457CD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5.2 核心成员介绍</w:t>
      </w:r>
    </w:p>
    <w:p w14:paraId="5491D4D2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【标题优化：原“团队管理人员介绍”】逐人介绍核心成员的个人履历、专业背景与在项目中的职责。</w:t>
      </w:r>
    </w:p>
    <w:p w14:paraId="1127C4FD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5.3 指导老师</w:t>
      </w:r>
    </w:p>
    <w:p w14:paraId="6281A1FF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介绍指导老师的学术背景、研究方向与对项目的指导价值。</w:t>
      </w:r>
    </w:p>
    <w:p w14:paraId="7BDFDDFE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5.4 团队资源</w:t>
      </w:r>
    </w:p>
    <w:p w14:paraId="7D2612EA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与第1章“核心资源优势”区分：本节侧重合作方资源、渠道资源、学校/企业支持等外部资源。</w:t>
      </w:r>
    </w:p>
    <w:p w14:paraId="4E98673F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5.5 专家顾问</w:t>
      </w:r>
    </w:p>
    <w:p w14:paraId="3F569938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介绍项目邀请的行业专家或学术顾问，说明其背景与顾问职责。</w:t>
      </w:r>
    </w:p>
    <w:p w14:paraId="3CE5E8FD">
      <w:r>
        <w:br w:type="page"/>
      </w:r>
    </w:p>
    <w:p w14:paraId="5B4DA256">
      <w:pPr>
        <w:pStyle w:val="2"/>
        <w:spacing w:before="480" w:after="240"/>
      </w:pPr>
      <w:r>
        <w:rPr>
          <w:rFonts w:ascii="微软雅黑" w:hAnsi="微软雅黑" w:eastAsia="微软雅黑" w:cs="微软雅黑"/>
          <w:b/>
          <w:bCs/>
          <w:color w:val="1A3C5E"/>
          <w:sz w:val="36"/>
          <w:szCs w:val="36"/>
        </w:rPr>
        <w:t>第6章 财务预测</w:t>
      </w:r>
    </w:p>
    <w:p w14:paraId="083235B2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6.1 股权结构与股份安排</w:t>
      </w:r>
    </w:p>
    <w:p w14:paraId="0CAEB56F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明确各股东的出资比例、股权分配与权益安排。</w:t>
      </w:r>
    </w:p>
    <w:p w14:paraId="6EDC5B3D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6.2 资金运用</w:t>
      </w:r>
    </w:p>
    <w:p w14:paraId="57B80C63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详细说明资金的使用计划与分配方案，包括研发、市场、运营等各项支出。</w:t>
      </w:r>
    </w:p>
    <w:p w14:paraId="0C329FA9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6.3 财务假设</w:t>
      </w:r>
    </w:p>
    <w:p w14:paraId="43C761DB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列出财务预测的基础假设条件。</w:t>
      </w:r>
    </w:p>
    <w:p w14:paraId="7B008183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6.3.1 会计政策及财务基础假设</w:t>
      </w:r>
    </w:p>
    <w:p w14:paraId="4D3C5270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明确会计政策、税率、折旧方法等财务基础假设。</w:t>
      </w:r>
    </w:p>
    <w:p w14:paraId="10B0AF11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6.4 服务项目定价</w:t>
      </w:r>
    </w:p>
    <w:p w14:paraId="796412D8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制定服务或产品的定价方案。</w:t>
      </w:r>
    </w:p>
    <w:p w14:paraId="379C3DEA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6.5 财务预测</w:t>
      </w:r>
    </w:p>
    <w:p w14:paraId="0B7C592E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对未来五年的收入结构与期间费用进行预测。</w:t>
      </w:r>
    </w:p>
    <w:p w14:paraId="53BBBE6C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6.5.1 未来五年收入结构预测</w:t>
      </w:r>
    </w:p>
    <w:p w14:paraId="58A4F73F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分解各业务线的收入预测。</w:t>
      </w:r>
    </w:p>
    <w:p w14:paraId="331CF7F0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6.5.2 未来五年期间费用预测</w:t>
      </w:r>
    </w:p>
    <w:p w14:paraId="6123EB7E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预测各项费用支出。</w:t>
      </w:r>
    </w:p>
    <w:p w14:paraId="37263344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6.6 未来五年利润表预测</w:t>
      </w:r>
    </w:p>
    <w:p w14:paraId="31266FD7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呈现未来五年的利润表预测。</w:t>
      </w:r>
    </w:p>
    <w:p w14:paraId="096DCF3B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6.7 未来五年资产负债表预测</w:t>
      </w:r>
    </w:p>
    <w:p w14:paraId="30187D60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呈现未来五年的资产负债表预测。</w:t>
      </w:r>
    </w:p>
    <w:p w14:paraId="1655D5F8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6.8 未来五年现金流量预测</w:t>
      </w:r>
    </w:p>
    <w:p w14:paraId="49F9FD01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呈现未来五年的现金流量预测。</w:t>
      </w:r>
    </w:p>
    <w:p w14:paraId="1A16CF4C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6.9 财务可行性预测分析</w:t>
      </w:r>
    </w:p>
    <w:p w14:paraId="5D24AB6E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通过多项财务指标综合分析项目的财务可行性。</w:t>
      </w:r>
    </w:p>
    <w:p w14:paraId="2BA0D0C7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6.9.1 项目投资收益分析</w:t>
      </w:r>
    </w:p>
    <w:p w14:paraId="36657D19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分析项目的投资收益率。</w:t>
      </w:r>
    </w:p>
    <w:p w14:paraId="57CD736F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6.9.2 净现值（NPV）</w:t>
      </w:r>
    </w:p>
    <w:p w14:paraId="11F07987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计算项目的净现值。</w:t>
      </w:r>
    </w:p>
    <w:p w14:paraId="4157870A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6.9.3 现值指数(PI)</w:t>
      </w:r>
    </w:p>
    <w:p w14:paraId="29765562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计算项目的现值指数。</w:t>
      </w:r>
    </w:p>
    <w:p w14:paraId="6F503B78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6.9.4 内含报酬率(IRR)</w:t>
      </w:r>
    </w:p>
    <w:p w14:paraId="3C0F2A73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计算项目的内含报酬率。</w:t>
      </w:r>
    </w:p>
    <w:p w14:paraId="7E5D03B7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6.9.5 静态投资回收期（PP）</w:t>
      </w:r>
    </w:p>
    <w:p w14:paraId="37EB104E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计算项目的静态投资回收期。</w:t>
      </w:r>
    </w:p>
    <w:p w14:paraId="26164974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6.9.6 动态回收期（DPP）</w:t>
      </w:r>
    </w:p>
    <w:p w14:paraId="0BDF65CB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计算项目的动态回收期。</w:t>
      </w:r>
    </w:p>
    <w:p w14:paraId="7F1A83BD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6.9.7 会计收益率(ROI)</w:t>
      </w:r>
    </w:p>
    <w:p w14:paraId="64402299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计算项目的会计收益率。</w:t>
      </w:r>
    </w:p>
    <w:p w14:paraId="3BCB694A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6.9.8 财务可行性预测</w:t>
      </w:r>
    </w:p>
    <w:p w14:paraId="5A604C76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基于上述指标进行财务可行性预测。</w:t>
      </w:r>
    </w:p>
    <w:p w14:paraId="44BEADBB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6.9.9 综合财务评价结论</w:t>
      </w:r>
    </w:p>
    <w:p w14:paraId="5ECF2511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【新增收尾】基于NPV、PI、IRR、PP、DPP、ROI六项指标的综合分析，给出项目财务可行性的总体结论与投资建议。</w:t>
      </w:r>
    </w:p>
    <w:p w14:paraId="6C07F942">
      <w:r>
        <w:br w:type="page"/>
      </w:r>
    </w:p>
    <w:p w14:paraId="3229EEA8">
      <w:pPr>
        <w:pStyle w:val="2"/>
        <w:spacing w:before="480" w:after="240"/>
      </w:pPr>
      <w:r>
        <w:rPr>
          <w:rFonts w:ascii="微软雅黑" w:hAnsi="微软雅黑" w:eastAsia="微软雅黑" w:cs="微软雅黑"/>
          <w:b/>
          <w:bCs/>
          <w:color w:val="1A3C5E"/>
          <w:sz w:val="36"/>
          <w:szCs w:val="36"/>
        </w:rPr>
        <w:t>第7章 可行性分析</w:t>
      </w:r>
    </w:p>
    <w:p w14:paraId="0AB25A56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7.1 技术可行性分析</w:t>
      </w:r>
    </w:p>
    <w:p w14:paraId="791748E8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从企业自身技术优势与平台技术可行性两个方面分析。</w:t>
      </w:r>
    </w:p>
    <w:p w14:paraId="43A0E9D4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7.1.1 企业自身技术优势</w:t>
      </w:r>
    </w:p>
    <w:p w14:paraId="21746246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分析团队现有的技术积累与优势。</w:t>
      </w:r>
    </w:p>
    <w:p w14:paraId="0E85AD32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7.1.2 平台技术可行性分析</w:t>
      </w:r>
    </w:p>
    <w:p w14:paraId="7E39C356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分析平台技术方案的可行性与成熟度。</w:t>
      </w:r>
    </w:p>
    <w:p w14:paraId="2ADABB94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7.2 市场可行性分析</w:t>
      </w:r>
    </w:p>
    <w:p w14:paraId="22DD0C4B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分析目标市场的容量、增长潜力与市场接受度。</w:t>
      </w:r>
    </w:p>
    <w:p w14:paraId="1FD747B2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7.3 市场运营可行性分析</w:t>
      </w:r>
    </w:p>
    <w:p w14:paraId="0663FF51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从目标群体与模式两个方面分析运营可行性。</w:t>
      </w:r>
    </w:p>
    <w:p w14:paraId="2BD54E0E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7.3.1 目标群体分析</w:t>
      </w:r>
    </w:p>
    <w:p w14:paraId="5E5FC50D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分析目标群体的接受度与付费意愿。</w:t>
      </w:r>
    </w:p>
    <w:p w14:paraId="2BFF2078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7.3.2 模式可行性分析</w:t>
      </w:r>
    </w:p>
    <w:p w14:paraId="0C9D9B60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分析商业模式的可持续性与可复制性。</w:t>
      </w:r>
    </w:p>
    <w:p w14:paraId="6B165A73">
      <w:r>
        <w:br w:type="page"/>
      </w:r>
    </w:p>
    <w:p w14:paraId="37AA65EE">
      <w:pPr>
        <w:pStyle w:val="2"/>
        <w:spacing w:before="480" w:after="240"/>
      </w:pPr>
      <w:r>
        <w:rPr>
          <w:rFonts w:ascii="微软雅黑" w:hAnsi="微软雅黑" w:eastAsia="微软雅黑" w:cs="微软雅黑"/>
          <w:b/>
          <w:bCs/>
          <w:color w:val="1A3C5E"/>
          <w:sz w:val="36"/>
          <w:szCs w:val="36"/>
        </w:rPr>
        <w:t>第8章 风险分析及应对措施</w:t>
      </w:r>
    </w:p>
    <w:p w14:paraId="72B58529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8.1 风险分析及对策</w:t>
      </w:r>
    </w:p>
    <w:p w14:paraId="17A49CEF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从技术、市场、知识产权、管理、财务五个维度分析项目风险并制定应对策略。</w:t>
      </w:r>
    </w:p>
    <w:p w14:paraId="0BC6F557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8.1.1 技术风险</w:t>
      </w:r>
    </w:p>
    <w:p w14:paraId="23329783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分析技术方面的风险与应对措施。</w:t>
      </w:r>
    </w:p>
    <w:p w14:paraId="77F55B1C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8.1.2 市场风险</w:t>
      </w:r>
    </w:p>
    <w:p w14:paraId="0F9CF072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分析市场方面的风险与应对措施。</w:t>
      </w:r>
    </w:p>
    <w:p w14:paraId="3E073E24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8.1.3 知识产权风险</w:t>
      </w:r>
    </w:p>
    <w:p w14:paraId="0742C733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分析知识产权方面的风险与应对措施。</w:t>
      </w:r>
    </w:p>
    <w:p w14:paraId="6892F69F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8.1.4 管理风险</w:t>
      </w:r>
    </w:p>
    <w:p w14:paraId="3DDF5990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分析管理方面的风险与应对措施。</w:t>
      </w:r>
    </w:p>
    <w:p w14:paraId="7ABB5EBB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8.1.5 财务风险</w:t>
      </w:r>
    </w:p>
    <w:p w14:paraId="665EF6FB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分析财务方面的风险与应对措施。</w:t>
      </w:r>
    </w:p>
    <w:p w14:paraId="73AF1A4C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8.2 风险因素评价</w:t>
      </w:r>
    </w:p>
    <w:p w14:paraId="03983CBF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对各项风险因素进行量化评价，确定风险等级与优先级。</w:t>
      </w:r>
    </w:p>
    <w:p w14:paraId="1628645B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8.3 风险监控处理及应对</w:t>
      </w:r>
    </w:p>
    <w:p w14:paraId="51184177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制定风险监控处理机制与风险暴发时的应急方案。</w:t>
      </w:r>
    </w:p>
    <w:p w14:paraId="0C9677AD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8.3.1 风险监控处理</w:t>
      </w:r>
    </w:p>
    <w:p w14:paraId="766F6C7B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建立日常风险监控机制，包括监控指标、预警阈值与响应流程。</w:t>
      </w:r>
    </w:p>
    <w:p w14:paraId="07B42740">
      <w:pPr>
        <w:pStyle w:val="4"/>
        <w:spacing w:before="280" w:after="140"/>
      </w:pPr>
      <w:r>
        <w:rPr>
          <w:rFonts w:ascii="微软雅黑" w:hAnsi="微软雅黑" w:eastAsia="微软雅黑" w:cs="微软雅黑"/>
          <w:b/>
          <w:bCs/>
          <w:color w:val="3D7BB8"/>
          <w:sz w:val="24"/>
          <w:szCs w:val="24"/>
        </w:rPr>
        <w:t>8.3.2 风险暴发处理</w:t>
      </w:r>
    </w:p>
    <w:p w14:paraId="7240CF27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制定风险事件暴发时的应急处理流程与责任分工。</w:t>
      </w:r>
    </w:p>
    <w:p w14:paraId="7D81F184">
      <w:r>
        <w:br w:type="page"/>
      </w:r>
    </w:p>
    <w:p w14:paraId="3F65CB09">
      <w:pPr>
        <w:pStyle w:val="2"/>
        <w:spacing w:before="480" w:after="240"/>
      </w:pPr>
      <w:r>
        <w:rPr>
          <w:rFonts w:ascii="微软雅黑" w:hAnsi="微软雅黑" w:eastAsia="微软雅黑" w:cs="微软雅黑"/>
          <w:b/>
          <w:bCs/>
          <w:color w:val="1A3C5E"/>
          <w:sz w:val="36"/>
          <w:szCs w:val="36"/>
        </w:rPr>
        <w:t>附　录</w:t>
      </w:r>
    </w:p>
    <w:p w14:paraId="4499BB54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本附录用于放置支撑性材料，增强商业计划书的可信度与完整性。</w:t>
      </w:r>
    </w:p>
    <w:p w14:paraId="5BB111C9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建议放入以下材料：</w:t>
      </w:r>
    </w:p>
    <w:p w14:paraId="368EDC71">
      <w:pPr>
        <w:pStyle w:val="17"/>
        <w:numPr>
          <w:ilvl w:val="0"/>
          <w:numId w:val="1"/>
        </w:numPr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产品界面截图与功能演示</w:t>
      </w:r>
    </w:p>
    <w:p w14:paraId="767847F6">
      <w:pPr>
        <w:pStyle w:val="17"/>
        <w:numPr>
          <w:ilvl w:val="0"/>
          <w:numId w:val="1"/>
        </w:numPr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企业/团队资质证书、营业执照</w:t>
      </w:r>
    </w:p>
    <w:p w14:paraId="30416308">
      <w:pPr>
        <w:pStyle w:val="17"/>
        <w:numPr>
          <w:ilvl w:val="0"/>
          <w:numId w:val="1"/>
        </w:numPr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合作意向书、战略合作协议</w:t>
      </w:r>
    </w:p>
    <w:p w14:paraId="6F79A88F">
      <w:pPr>
        <w:pStyle w:val="17"/>
        <w:numPr>
          <w:ilvl w:val="0"/>
          <w:numId w:val="1"/>
        </w:numPr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专利证书、软著登记证书</w:t>
      </w:r>
    </w:p>
    <w:p w14:paraId="2234580A">
      <w:pPr>
        <w:pStyle w:val="17"/>
        <w:numPr>
          <w:ilvl w:val="0"/>
          <w:numId w:val="1"/>
        </w:numPr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获奖证书、荣誉资质</w:t>
      </w:r>
    </w:p>
    <w:p w14:paraId="5CB8593D">
      <w:pPr>
        <w:pStyle w:val="17"/>
        <w:numPr>
          <w:ilvl w:val="0"/>
          <w:numId w:val="1"/>
        </w:numPr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其他补充材料</w:t>
      </w:r>
    </w:p>
    <w:p w14:paraId="33663BC7">
      <w:r>
        <w:br w:type="page"/>
      </w:r>
    </w:p>
    <w:p w14:paraId="3C6F7E30">
      <w:pPr>
        <w:pStyle w:val="2"/>
        <w:spacing w:before="480" w:after="240"/>
      </w:pPr>
      <w:r>
        <w:rPr>
          <w:rFonts w:ascii="微软雅黑" w:hAnsi="微软雅黑" w:eastAsia="微软雅黑" w:cs="微软雅黑"/>
          <w:b/>
          <w:bCs/>
          <w:color w:val="1A3C5E"/>
          <w:sz w:val="36"/>
          <w:szCs w:val="36"/>
        </w:rPr>
        <w:t>第9章 参考文献</w:t>
      </w:r>
    </w:p>
    <w:p w14:paraId="460A84BE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9.1 期刊</w:t>
      </w:r>
    </w:p>
    <w:p w14:paraId="248E778C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列出国内期刊参考文献，按规范格式排列。</w:t>
      </w:r>
    </w:p>
    <w:p w14:paraId="765E18BD">
      <w:pPr>
        <w:pStyle w:val="3"/>
        <w:spacing w:before="360" w:after="180"/>
      </w:pPr>
      <w:r>
        <w:rPr>
          <w:rFonts w:ascii="微软雅黑" w:hAnsi="微软雅黑" w:eastAsia="微软雅黑" w:cs="微软雅黑"/>
          <w:b/>
          <w:bCs/>
          <w:color w:val="2B5A8A"/>
          <w:sz w:val="28"/>
          <w:szCs w:val="28"/>
        </w:rPr>
        <w:t>9.2 国际期刊</w:t>
      </w:r>
    </w:p>
    <w:p w14:paraId="14BFF89C">
      <w:pPr>
        <w:spacing w:before="80" w:after="80" w:line="360" w:lineRule="auto"/>
        <w:ind w:firstLine="480"/>
      </w:pPr>
      <w:r>
        <w:rPr>
          <w:rFonts w:ascii="微软雅黑" w:hAnsi="微软雅黑" w:eastAsia="微软雅黑" w:cs="微软雅黑"/>
          <w:color w:val="1A1A1A"/>
          <w:sz w:val="22"/>
          <w:szCs w:val="22"/>
        </w:rPr>
        <w:t>列出国际期刊参考文献，按规范格式排列。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45D9C2">
    <w:pPr>
      <w:jc w:val="center"/>
    </w:pPr>
    <w:r>
      <w:rPr>
        <w:rFonts w:ascii="微软雅黑" w:hAnsi="微软雅黑" w:eastAsia="微软雅黑" w:cs="微软雅黑"/>
        <w:color w:val="4A4A4A"/>
        <w:sz w:val="18"/>
        <w:szCs w:val="18"/>
      </w:rPr>
      <w:t xml:space="preserve">- </w:t>
    </w:r>
    <w:r>
      <w:rPr>
        <w:rFonts w:ascii="微软雅黑" w:hAnsi="微软雅黑" w:eastAsia="微软雅黑" w:cs="微软雅黑"/>
        <w:color w:val="4A4A4A"/>
        <w:sz w:val="18"/>
        <w:szCs w:val="18"/>
      </w:rPr>
      <w:fldChar w:fldCharType="begin"/>
    </w:r>
    <w:r>
      <w:rPr>
        <w:rFonts w:ascii="微软雅黑" w:hAnsi="微软雅黑" w:eastAsia="微软雅黑" w:cs="微软雅黑"/>
        <w:color w:val="4A4A4A"/>
        <w:sz w:val="18"/>
        <w:szCs w:val="18"/>
      </w:rPr>
      <w:instrText xml:space="preserve">PAGE</w:instrText>
    </w:r>
    <w:r>
      <w:rPr>
        <w:rFonts w:ascii="微软雅黑" w:hAnsi="微软雅黑" w:eastAsia="微软雅黑" w:cs="微软雅黑"/>
        <w:color w:val="4A4A4A"/>
        <w:sz w:val="18"/>
        <w:szCs w:val="18"/>
      </w:rPr>
      <w:fldChar w:fldCharType="separate"/>
    </w:r>
    <w:r>
      <w:rPr>
        <w:rFonts w:ascii="微软雅黑" w:hAnsi="微软雅黑" w:eastAsia="微软雅黑" w:cs="微软雅黑"/>
        <w:color w:val="4A4A4A"/>
        <w:sz w:val="18"/>
        <w:szCs w:val="18"/>
      </w:rPr>
      <w:fldChar w:fldCharType="end"/>
    </w:r>
    <w:r>
      <w:rPr>
        <w:rFonts w:ascii="微软雅黑" w:hAnsi="微软雅黑" w:eastAsia="微软雅黑" w:cs="微软雅黑"/>
        <w:color w:val="4A4A4A"/>
        <w:sz w:val="18"/>
        <w:szCs w:val="18"/>
      </w:rPr>
      <w:t xml:space="preserve"> -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E039BD">
    <w:pPr>
      <w:pBdr>
        <w:bottom w:val="single" w:color="1A3C5E" w:sz="4" w:space="4"/>
      </w:pBdr>
      <w:jc w:val="right"/>
    </w:pPr>
    <w:r>
      <w:rPr>
        <w:rFonts w:ascii="微软雅黑" w:hAnsi="微软雅黑" w:eastAsia="微软雅黑" w:cs="微软雅黑"/>
        <w:color w:val="3D7BB8"/>
        <w:sz w:val="18"/>
        <w:szCs w:val="18"/>
      </w:rPr>
      <w:t>商业计划书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5"/>
  </w:compat>
  <w:rsids>
    <w:rsidRoot w:val="00000000"/>
    <w:rsid w:val="03793717"/>
    <w:rsid w:val="073065CD"/>
    <w:rsid w:val="0D99476A"/>
    <w:rsid w:val="16996A2D"/>
    <w:rsid w:val="29051210"/>
    <w:rsid w:val="2DDF453D"/>
    <w:rsid w:val="303C4916"/>
    <w:rsid w:val="70D615FA"/>
    <w:rsid w:val="7B5A6766"/>
    <w:rsid w:val="7FC93EB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color w:val="1A1A1A"/>
      <w:sz w:val="22"/>
      <w:szCs w:val="22"/>
    </w:rPr>
  </w:style>
  <w:style w:type="paragraph" w:styleId="2">
    <w:name w:val="heading 1"/>
    <w:next w:val="1"/>
    <w:qFormat/>
    <w:uiPriority w:val="0"/>
    <w:pPr>
      <w:spacing w:before="480" w:after="240"/>
      <w:outlineLvl w:val="0"/>
    </w:pPr>
    <w:rPr>
      <w:rFonts w:ascii="微软雅黑" w:hAnsi="微软雅黑" w:eastAsia="微软雅黑" w:cs="微软雅黑"/>
      <w:b/>
      <w:bCs/>
      <w:color w:val="1A3C5E"/>
      <w:sz w:val="36"/>
      <w:szCs w:val="36"/>
    </w:rPr>
  </w:style>
  <w:style w:type="paragraph" w:styleId="3">
    <w:name w:val="heading 2"/>
    <w:next w:val="1"/>
    <w:qFormat/>
    <w:uiPriority w:val="0"/>
    <w:pPr>
      <w:spacing w:before="360" w:after="180"/>
      <w:outlineLvl w:val="1"/>
    </w:pPr>
    <w:rPr>
      <w:rFonts w:ascii="微软雅黑" w:hAnsi="微软雅黑" w:eastAsia="微软雅黑" w:cs="微软雅黑"/>
      <w:b/>
      <w:bCs/>
      <w:color w:val="2B5A8A"/>
      <w:sz w:val="28"/>
      <w:szCs w:val="28"/>
    </w:rPr>
  </w:style>
  <w:style w:type="paragraph" w:styleId="4">
    <w:name w:val="heading 3"/>
    <w:next w:val="1"/>
    <w:qFormat/>
    <w:uiPriority w:val="0"/>
    <w:pPr>
      <w:spacing w:before="280" w:after="140"/>
      <w:outlineLvl w:val="2"/>
    </w:pPr>
    <w:rPr>
      <w:rFonts w:ascii="微软雅黑" w:hAnsi="微软雅黑" w:eastAsia="微软雅黑" w:cs="微软雅黑"/>
      <w:b/>
      <w:bCs/>
      <w:color w:val="3D7BB8"/>
      <w:sz w:val="24"/>
      <w:szCs w:val="24"/>
    </w:rPr>
  </w:style>
  <w:style w:type="paragraph" w:styleId="5">
    <w:name w:val="heading 4"/>
    <w:next w:val="1"/>
    <w:qFormat/>
    <w:uiPriority w:val="0"/>
    <w:rPr>
      <w:rFonts w:ascii="微软雅黑" w:hAnsi="微软雅黑" w:eastAsia="微软雅黑" w:cs="微软雅黑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3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9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color w:val="1A1A1A"/>
      <w:sz w:val="20"/>
      <w:szCs w:val="20"/>
    </w:rPr>
  </w:style>
  <w:style w:type="paragraph" w:styleId="9">
    <w:name w:val="footnote text"/>
    <w:link w:val="18"/>
    <w:semiHidden/>
    <w:unhideWhenUsed/>
    <w:uiPriority w:val="99"/>
    <w:pPr>
      <w:spacing w:after="0" w:line="240" w:lineRule="auto"/>
    </w:pPr>
    <w:rPr>
      <w:rFonts w:ascii="微软雅黑" w:hAnsi="微软雅黑" w:eastAsia="微软雅黑" w:cs="微软雅黑"/>
      <w:color w:val="1A1A1A"/>
      <w:sz w:val="20"/>
      <w:szCs w:val="20"/>
    </w:rPr>
  </w:style>
  <w:style w:type="paragraph" w:styleId="10">
    <w:name w:val="Normal (Web)"/>
    <w:basedOn w:val="1"/>
    <w:uiPriority w:val="0"/>
    <w:rPr>
      <w:sz w:val="24"/>
    </w:rPr>
  </w:style>
  <w:style w:type="paragraph" w:styleId="11">
    <w:name w:val="Title"/>
    <w:qFormat/>
    <w:uiPriority w:val="0"/>
    <w:rPr>
      <w:rFonts w:ascii="微软雅黑" w:hAnsi="微软雅黑" w:eastAsia="微软雅黑" w:cs="微软雅黑"/>
      <w:color w:val="1A1A1A"/>
      <w:sz w:val="56"/>
      <w:szCs w:val="56"/>
    </w:rPr>
  </w:style>
  <w:style w:type="character" w:styleId="14">
    <w:name w:val="endnote reference"/>
    <w:semiHidden/>
    <w:unhideWhenUsed/>
    <w:qFormat/>
    <w:uiPriority w:val="99"/>
    <w:rPr>
      <w:vertAlign w:val="superscript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uiPriority w:val="99"/>
    <w:rPr>
      <w:vertAlign w:val="superscript"/>
    </w:rPr>
  </w:style>
  <w:style w:type="paragraph" w:styleId="17">
    <w:name w:val="List Paragraph"/>
    <w:qFormat/>
    <w:uiPriority w:val="0"/>
    <w:rPr>
      <w:rFonts w:ascii="微软雅黑" w:hAnsi="微软雅黑" w:eastAsia="微软雅黑" w:cs="微软雅黑"/>
      <w:color w:val="1A1A1A"/>
      <w:sz w:val="22"/>
      <w:szCs w:val="22"/>
    </w:rPr>
  </w:style>
  <w:style w:type="character" w:customStyle="1" w:styleId="18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23</Pages>
  <Words>4391</Words>
  <Characters>5254</Characters>
  <TotalTime>3</TotalTime>
  <ScaleCrop>false</ScaleCrop>
  <LinksUpToDate>false</LinksUpToDate>
  <CharactersWithSpaces>5605</CharactersWithSpaces>
  <Application>WPS Office_12.1.0.24034_F1E327BC-269C-435d-A152-05C5408002CA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2026-08-06T22:47:00Z</dcterms:created>
  <dc:creator>Un-named</dc:creator>
  <cp:lastModifiedBy>聂坚兵</cp:lastModifiedBy>
  <dcterms:modified xsi:type="dcterms:W3CDTF">2026-08-07T03:04:58Z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3682686127844265_0-data_volume/7647929036249006378-files/所有对话/主对话/用户上传/比赛方案/商业计划书目录模板_优化版.docx","ReservedCode1":"","ContentPropagator":"001191110102MACQD9K64028705","PropagateID":"3682686127844265#1786056519200","ReservedCode2":""}</vt:lpwstr>
  </property>
  <property fmtid="{D5CDD505-2E9C-101B-9397-08002B2CF9AE}" pid="3" name="KSOTemplateDocerSaveRecord">
    <vt:lpwstr>eyJoZGlkIjoiNzk5NzIxZmFiYmUwOWQ1YmY0NDU4NTcyOGIyZTU3ZmMiLCJ1c2VySWQiOiIxNTY4NTcwNDUzIn0=</vt:lpwstr>
  </property>
  <property fmtid="{D5CDD505-2E9C-101B-9397-08002B2CF9AE}" pid="4" name="KSOProductBuildVer">
    <vt:lpwstr>2052-12.1.0.24034</vt:lpwstr>
  </property>
  <property fmtid="{D5CDD505-2E9C-101B-9397-08002B2CF9AE}" pid="5" name="ICV">
    <vt:lpwstr>7243B86B2E7944CE81614128A2E5EAF0_12</vt:lpwstr>
  </property>
</Properties>
</file>