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60622">
      <w:pPr>
        <w:pStyle w:val="7"/>
        <w:spacing w:before="163" w:after="163"/>
        <w:rPr>
          <w:rFonts w:cs="Times New Roman"/>
        </w:rPr>
      </w:pPr>
      <w:bookmarkStart w:id="0" w:name="_Toc979385952"/>
      <w:r>
        <w:rPr>
          <w:rFonts w:cs="Times New Roman"/>
        </w:rPr>
        <w:t>消融实验</w:t>
      </w:r>
      <w:r>
        <w:rPr>
          <w:rFonts w:hint="eastAsia" w:cs="Times New Roman"/>
        </w:rPr>
        <w:t>1</w:t>
      </w:r>
      <w:bookmarkEnd w:id="0"/>
    </w:p>
    <w:p w14:paraId="2E063193">
      <w:pPr>
        <w:pStyle w:val="8"/>
        <w:spacing w:before="163" w:after="163"/>
      </w:pPr>
      <w:bookmarkStart w:id="1" w:name="_Toc77541009"/>
      <w:r>
        <w:rPr>
          <w:rFonts w:hint="eastAsia"/>
        </w:rPr>
        <w:t>实验设置</w:t>
      </w:r>
      <w:bookmarkEnd w:id="1"/>
    </w:p>
    <w:p w14:paraId="3EA8AB78">
      <w:pPr>
        <w:ind w:firstLine="480" w:firstLineChars="200"/>
      </w:pPr>
      <w:r>
        <w:t>创新点</w:t>
      </w:r>
      <w:r>
        <w:rPr>
          <w:rFonts w:hint="eastAsia"/>
        </w:rPr>
        <w:t>1</w:t>
      </w:r>
      <w:r>
        <w:t>主要对应第四章提出的特征增强、特征提取与图</w:t>
      </w:r>
      <w:r>
        <w:rPr>
          <w:rFonts w:hint="eastAsia"/>
        </w:rPr>
        <w:t>构建</w:t>
      </w:r>
      <w:r>
        <w:t>逻辑。为了验证该创新点对模型性能的贡献，本文在完整模型基础上构造若干消融变体，并保持其余训练设置不变。具体而言，可设置如下</w:t>
      </w:r>
      <w:r>
        <w:rPr>
          <w:rFonts w:hint="eastAsia"/>
        </w:rPr>
        <w:t>四</w:t>
      </w:r>
      <w:r>
        <w:t>类消融方式：</w:t>
      </w:r>
    </w:p>
    <w:p w14:paraId="119349ED">
      <w:pPr>
        <w:jc w:val="center"/>
        <w:rPr>
          <w:rFonts w:hint="default" w:eastAsia="宋体"/>
          <w:lang w:val="en-US" w:eastAsia="zh-CN"/>
        </w:rPr>
      </w:pPr>
      <w:r>
        <w:rPr>
          <w:rFonts w:hint="eastAsia"/>
          <w:b/>
          <w:bCs/>
          <w:sz w:val="22"/>
          <w:szCs w:val="21"/>
          <w:lang w:val="en-US" w:eastAsia="zh-CN"/>
        </w:rPr>
        <w:t>表 6-4 消融实验设置</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254"/>
      </w:tblGrid>
      <w:tr w14:paraId="62AB7B4F">
        <w:tc>
          <w:tcPr>
            <w:tcW w:w="2322" w:type="dxa"/>
          </w:tcPr>
          <w:p w14:paraId="67C6F6FA">
            <w:r>
              <w:t>w/o Log-Enhance</w:t>
            </w:r>
          </w:p>
        </w:tc>
        <w:tc>
          <w:tcPr>
            <w:tcW w:w="6853" w:type="dxa"/>
          </w:tcPr>
          <w:p w14:paraId="56FDD399">
            <w:r>
              <w:t>去除日志模态的样本级增强与特征提取，仅保留基础日志图输入</w:t>
            </w:r>
          </w:p>
        </w:tc>
      </w:tr>
      <w:tr w14:paraId="7C14A695">
        <w:tc>
          <w:tcPr>
            <w:tcW w:w="2322" w:type="dxa"/>
          </w:tcPr>
          <w:p w14:paraId="67A660A9">
            <w:r>
              <w:t>w/o Metric-Enhance</w:t>
            </w:r>
          </w:p>
        </w:tc>
        <w:tc>
          <w:tcPr>
            <w:tcW w:w="6853" w:type="dxa"/>
          </w:tcPr>
          <w:p w14:paraId="74D720DD">
            <w:r>
              <w:t>去除指标模态的特征提取过程，仅保留原始指标节点特征</w:t>
            </w:r>
          </w:p>
        </w:tc>
      </w:tr>
      <w:tr w14:paraId="38588B3B">
        <w:tc>
          <w:tcPr>
            <w:tcW w:w="2322" w:type="dxa"/>
          </w:tcPr>
          <w:p w14:paraId="3F479C56">
            <w:r>
              <w:t>w/o Trace-Enhance</w:t>
            </w:r>
          </w:p>
        </w:tc>
        <w:tc>
          <w:tcPr>
            <w:tcW w:w="6853" w:type="dxa"/>
          </w:tcPr>
          <w:p w14:paraId="394572F9">
            <w:r>
              <w:t>去除调用链模态的样本级增强与特征提取，仅保留基础调用链结构信息</w:t>
            </w:r>
          </w:p>
        </w:tc>
      </w:tr>
      <w:tr w14:paraId="5F55988C">
        <w:tc>
          <w:tcPr>
            <w:tcW w:w="2322" w:type="dxa"/>
          </w:tcPr>
          <w:p w14:paraId="37E228EE">
            <w:r>
              <w:t xml:space="preserve">w/o </w:t>
            </w:r>
            <w:r>
              <w:rPr>
                <w:rFonts w:hint="eastAsia"/>
              </w:rPr>
              <w:t>All</w:t>
            </w:r>
            <w:r>
              <w:t>-Enhance</w:t>
            </w:r>
          </w:p>
        </w:tc>
        <w:tc>
          <w:tcPr>
            <w:tcW w:w="6853" w:type="dxa"/>
          </w:tcPr>
          <w:p w14:paraId="7A490BC6">
            <w:r>
              <w:t>去除</w:t>
            </w:r>
            <w:r>
              <w:rPr>
                <w:rFonts w:hint="eastAsia"/>
              </w:rPr>
              <w:t>三个模态的</w:t>
            </w:r>
            <w:r>
              <w:t>样本级增强与特征提取，仅保留基础信息</w:t>
            </w:r>
          </w:p>
        </w:tc>
      </w:tr>
      <w:tr w14:paraId="01EADB06">
        <w:tc>
          <w:tcPr>
            <w:tcW w:w="2322" w:type="dxa"/>
          </w:tcPr>
          <w:p w14:paraId="71CA292B">
            <w:r>
              <w:t>Full Model</w:t>
            </w:r>
          </w:p>
        </w:tc>
        <w:tc>
          <w:tcPr>
            <w:tcW w:w="6853" w:type="dxa"/>
          </w:tcPr>
          <w:p w14:paraId="739A4F8D">
            <w:r>
              <w:t>完整模型</w:t>
            </w:r>
          </w:p>
        </w:tc>
      </w:tr>
    </w:tbl>
    <w:p w14:paraId="3C9415B5"/>
    <w:p w14:paraId="18119C78">
      <w:pPr>
        <w:jc w:val="center"/>
        <w:rPr>
          <w:b/>
          <w:bCs/>
          <w:sz w:val="22"/>
          <w:szCs w:val="21"/>
        </w:rPr>
      </w:pPr>
      <w:r>
        <w:rPr>
          <w:rFonts w:hint="eastAsia"/>
          <w:b/>
          <w:bCs/>
          <w:sz w:val="22"/>
          <w:szCs w:val="21"/>
        </w:rPr>
        <w:t>表6-</w:t>
      </w:r>
      <w:r>
        <w:rPr>
          <w:rFonts w:hint="eastAsia"/>
          <w:b/>
          <w:bCs/>
          <w:sz w:val="22"/>
          <w:szCs w:val="21"/>
          <w:lang w:val="en-US" w:eastAsia="zh-CN"/>
        </w:rPr>
        <w:t>5</w:t>
      </w:r>
      <w:r>
        <w:rPr>
          <w:rFonts w:hint="eastAsia"/>
          <w:b/>
          <w:bCs/>
          <w:sz w:val="22"/>
          <w:szCs w:val="21"/>
        </w:rPr>
        <w:t xml:space="preserve">  </w:t>
      </w:r>
      <w:r>
        <w:rPr>
          <w:rFonts w:hint="eastAsia"/>
          <w:b/>
          <w:bCs/>
          <w:sz w:val="22"/>
          <w:szCs w:val="21"/>
          <w:lang w:val="en-US" w:eastAsia="zh-CN"/>
        </w:rPr>
        <w:t>消融实验</w:t>
      </w:r>
      <w:r>
        <w:rPr>
          <w:rFonts w:hint="eastAsia"/>
          <w:b/>
          <w:bCs/>
          <w:sz w:val="22"/>
          <w:szCs w:val="21"/>
        </w:rPr>
        <w:t>表现对比</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2102"/>
        <w:gridCol w:w="897"/>
        <w:gridCol w:w="1500"/>
        <w:gridCol w:w="1500"/>
        <w:gridCol w:w="1500"/>
      </w:tblGrid>
      <w:tr w14:paraId="4FC3C519">
        <w:trPr>
          <w:jc w:val="center"/>
        </w:trPr>
        <w:tc>
          <w:tcPr>
            <w:tcW w:w="1785" w:type="dxa"/>
            <w:tcBorders>
              <w:top w:val="single" w:color="000000" w:sz="12" w:space="0"/>
              <w:left w:val="nil"/>
              <w:bottom w:val="single" w:color="000000" w:sz="4" w:space="0"/>
              <w:right w:val="nil"/>
              <w:tl2br w:val="nil"/>
            </w:tcBorders>
            <w:shd w:val="clear" w:color="auto" w:fill="FFFFFF"/>
            <w:vAlign w:val="center"/>
          </w:tcPr>
          <w:p w14:paraId="71A39CFE">
            <w:pPr>
              <w:jc w:val="center"/>
              <w:rPr>
                <w:rFonts w:hint="eastAsia" w:eastAsia="宋体"/>
                <w:color w:val="000000"/>
                <w:lang w:val="en-US" w:eastAsia="zh-CN"/>
              </w:rPr>
            </w:pPr>
            <w:r>
              <w:rPr>
                <w:rFonts w:hint="eastAsia"/>
                <w:color w:val="000000"/>
                <w:lang w:val="en-US" w:eastAsia="zh-CN"/>
              </w:rPr>
              <w:t>数据集</w:t>
            </w:r>
          </w:p>
        </w:tc>
        <w:tc>
          <w:tcPr>
            <w:tcW w:w="2102" w:type="dxa"/>
            <w:tcBorders>
              <w:top w:val="single" w:color="000000" w:sz="12" w:space="0"/>
              <w:left w:val="nil"/>
              <w:bottom w:val="single" w:color="000000" w:sz="4" w:space="0"/>
              <w:right w:val="nil"/>
              <w:tl2br w:val="nil"/>
            </w:tcBorders>
            <w:shd w:val="clear" w:color="auto" w:fill="FFFFFF"/>
            <w:vAlign w:val="center"/>
          </w:tcPr>
          <w:p w14:paraId="76AC67A8">
            <w:pPr>
              <w:jc w:val="center"/>
              <w:rPr>
                <w:color w:val="000000"/>
              </w:rPr>
            </w:pPr>
            <w:r>
              <w:rPr>
                <w:rFonts w:hint="eastAsia"/>
                <w:color w:val="000000"/>
              </w:rPr>
              <w:t>模型</w:t>
            </w:r>
          </w:p>
        </w:tc>
        <w:tc>
          <w:tcPr>
            <w:tcW w:w="897" w:type="dxa"/>
            <w:tcBorders>
              <w:top w:val="single" w:color="000000" w:sz="12" w:space="0"/>
              <w:left w:val="nil"/>
              <w:bottom w:val="single" w:color="000000" w:sz="4" w:space="0"/>
              <w:right w:val="nil"/>
            </w:tcBorders>
            <w:shd w:val="clear" w:color="auto" w:fill="FFFFFF"/>
            <w:vAlign w:val="center"/>
          </w:tcPr>
          <w:p w14:paraId="4F117D7C">
            <w:pPr>
              <w:jc w:val="center"/>
              <w:rPr>
                <w:color w:val="000000"/>
              </w:rPr>
            </w:pPr>
            <w:r>
              <w:t>Precision</w:t>
            </w:r>
          </w:p>
        </w:tc>
        <w:tc>
          <w:tcPr>
            <w:tcW w:w="1500" w:type="dxa"/>
            <w:tcBorders>
              <w:top w:val="single" w:color="000000" w:sz="12" w:space="0"/>
              <w:left w:val="nil"/>
              <w:bottom w:val="single" w:color="000000" w:sz="4" w:space="0"/>
              <w:right w:val="nil"/>
            </w:tcBorders>
            <w:shd w:val="clear" w:color="auto" w:fill="FFFFFF"/>
            <w:vAlign w:val="center"/>
          </w:tcPr>
          <w:p w14:paraId="6D07D5C9">
            <w:pPr>
              <w:jc w:val="center"/>
              <w:rPr>
                <w:color w:val="000000"/>
              </w:rPr>
            </w:pPr>
            <w:r>
              <w:t>Recall</w:t>
            </w:r>
          </w:p>
        </w:tc>
        <w:tc>
          <w:tcPr>
            <w:tcW w:w="1500" w:type="dxa"/>
            <w:tcBorders>
              <w:top w:val="single" w:color="000000" w:sz="12" w:space="0"/>
              <w:left w:val="nil"/>
              <w:bottom w:val="single" w:color="000000" w:sz="4" w:space="0"/>
              <w:right w:val="nil"/>
            </w:tcBorders>
            <w:shd w:val="clear" w:color="auto" w:fill="FFFFFF"/>
            <w:vAlign w:val="center"/>
          </w:tcPr>
          <w:p w14:paraId="60A174C2">
            <w:pPr>
              <w:jc w:val="center"/>
              <w:rPr>
                <w:color w:val="000000"/>
              </w:rPr>
            </w:pPr>
            <w:r>
              <w:t>F1-score</w:t>
            </w:r>
          </w:p>
        </w:tc>
        <w:tc>
          <w:tcPr>
            <w:tcW w:w="1500" w:type="dxa"/>
            <w:tcBorders>
              <w:top w:val="single" w:color="000000" w:sz="12" w:space="0"/>
              <w:left w:val="nil"/>
              <w:bottom w:val="single" w:color="000000" w:sz="4" w:space="0"/>
              <w:right w:val="nil"/>
            </w:tcBorders>
            <w:shd w:val="clear" w:color="auto" w:fill="FFFFFF"/>
            <w:vAlign w:val="center"/>
          </w:tcPr>
          <w:p w14:paraId="2D091051">
            <w:pPr>
              <w:jc w:val="center"/>
            </w:pPr>
            <w:r>
              <w:t>Accuracy</w:t>
            </w:r>
          </w:p>
        </w:tc>
      </w:tr>
      <w:tr w14:paraId="7937830C">
        <w:trPr>
          <w:jc w:val="center"/>
        </w:trPr>
        <w:tc>
          <w:tcPr>
            <w:tcW w:w="1785" w:type="dxa"/>
            <w:vMerge w:val="restart"/>
            <w:tcBorders>
              <w:top w:val="single" w:color="000000" w:sz="4" w:space="0"/>
              <w:left w:val="nil"/>
              <w:right w:val="nil"/>
            </w:tcBorders>
            <w:shd w:val="clear" w:color="auto" w:fill="FFFFFF"/>
            <w:vAlign w:val="center"/>
          </w:tcPr>
          <w:p w14:paraId="18DA57B8">
            <w:pPr>
              <w:jc w:val="center"/>
              <w:rPr>
                <w:rFonts w:hint="default" w:eastAsia="宋体"/>
                <w:lang w:val="en-US" w:eastAsia="zh-CN"/>
              </w:rPr>
            </w:pPr>
            <w:r>
              <w:rPr>
                <w:rFonts w:hint="eastAsia"/>
                <w:lang w:val="en-US" w:eastAsia="zh-CN"/>
              </w:rPr>
              <w:t>D1</w:t>
            </w:r>
          </w:p>
        </w:tc>
        <w:tc>
          <w:tcPr>
            <w:tcW w:w="2102" w:type="dxa"/>
            <w:tcBorders>
              <w:top w:val="single" w:color="000000" w:sz="4" w:space="0"/>
              <w:left w:val="nil"/>
              <w:bottom w:val="nil"/>
              <w:right w:val="nil"/>
            </w:tcBorders>
            <w:shd w:val="clear" w:color="auto" w:fill="FFFFFF"/>
          </w:tcPr>
          <w:p w14:paraId="246D2979">
            <w:pPr>
              <w:rPr>
                <w:color w:val="000000"/>
              </w:rPr>
            </w:pPr>
            <w:r>
              <w:t>w/o Log-Enhance</w:t>
            </w:r>
          </w:p>
        </w:tc>
        <w:tc>
          <w:tcPr>
            <w:tcW w:w="897" w:type="dxa"/>
            <w:tcBorders>
              <w:top w:val="single" w:color="000000" w:sz="4" w:space="0"/>
              <w:left w:val="nil"/>
              <w:bottom w:val="nil"/>
              <w:right w:val="nil"/>
            </w:tcBorders>
            <w:shd w:val="clear" w:color="auto" w:fill="FFFFFF"/>
            <w:vAlign w:val="center"/>
          </w:tcPr>
          <w:p w14:paraId="0ADCD530">
            <w:pPr>
              <w:jc w:val="center"/>
              <w:rPr>
                <w:color w:val="000000"/>
              </w:rPr>
            </w:pPr>
          </w:p>
        </w:tc>
        <w:tc>
          <w:tcPr>
            <w:tcW w:w="1500" w:type="dxa"/>
            <w:tcBorders>
              <w:top w:val="single" w:color="000000" w:sz="4" w:space="0"/>
              <w:left w:val="nil"/>
              <w:bottom w:val="nil"/>
              <w:right w:val="nil"/>
            </w:tcBorders>
            <w:shd w:val="clear" w:color="auto" w:fill="FFFFFF"/>
            <w:vAlign w:val="center"/>
          </w:tcPr>
          <w:p w14:paraId="54EB37D3">
            <w:pPr>
              <w:jc w:val="center"/>
              <w:rPr>
                <w:color w:val="000000"/>
              </w:rPr>
            </w:pPr>
          </w:p>
        </w:tc>
        <w:tc>
          <w:tcPr>
            <w:tcW w:w="1500" w:type="dxa"/>
            <w:tcBorders>
              <w:top w:val="single" w:color="000000" w:sz="4" w:space="0"/>
              <w:left w:val="nil"/>
              <w:bottom w:val="nil"/>
              <w:right w:val="nil"/>
            </w:tcBorders>
            <w:shd w:val="clear" w:color="auto" w:fill="FFFFFF"/>
            <w:vAlign w:val="center"/>
          </w:tcPr>
          <w:p w14:paraId="5EC98BFE">
            <w:pPr>
              <w:jc w:val="center"/>
              <w:rPr>
                <w:color w:val="000000"/>
              </w:rPr>
            </w:pPr>
          </w:p>
        </w:tc>
        <w:tc>
          <w:tcPr>
            <w:tcW w:w="1500" w:type="dxa"/>
            <w:tcBorders>
              <w:top w:val="single" w:color="000000" w:sz="4" w:space="0"/>
              <w:left w:val="nil"/>
              <w:bottom w:val="nil"/>
              <w:right w:val="nil"/>
            </w:tcBorders>
            <w:shd w:val="clear" w:color="auto" w:fill="FFFFFF"/>
            <w:vAlign w:val="center"/>
          </w:tcPr>
          <w:p w14:paraId="750C7027">
            <w:pPr>
              <w:jc w:val="center"/>
              <w:rPr>
                <w:color w:val="000000"/>
              </w:rPr>
            </w:pPr>
          </w:p>
        </w:tc>
      </w:tr>
      <w:tr w14:paraId="10495647">
        <w:trPr>
          <w:jc w:val="center"/>
        </w:trPr>
        <w:tc>
          <w:tcPr>
            <w:tcW w:w="1785" w:type="dxa"/>
            <w:vMerge w:val="continue"/>
            <w:tcBorders>
              <w:left w:val="nil"/>
              <w:right w:val="nil"/>
            </w:tcBorders>
            <w:shd w:val="clear" w:color="auto" w:fill="FFFFFF"/>
            <w:vAlign w:val="center"/>
          </w:tcPr>
          <w:p w14:paraId="470BB90B">
            <w:pPr>
              <w:jc w:val="center"/>
            </w:pPr>
          </w:p>
        </w:tc>
        <w:tc>
          <w:tcPr>
            <w:tcW w:w="2102" w:type="dxa"/>
            <w:tcBorders>
              <w:top w:val="nil"/>
              <w:left w:val="nil"/>
              <w:bottom w:val="nil"/>
              <w:right w:val="nil"/>
            </w:tcBorders>
            <w:shd w:val="clear" w:color="auto" w:fill="FFFFFF"/>
          </w:tcPr>
          <w:p w14:paraId="4C20FB91">
            <w:pPr>
              <w:rPr>
                <w:color w:val="000000"/>
              </w:rPr>
            </w:pPr>
            <w:r>
              <w:t>w/o Trace-Enhance</w:t>
            </w:r>
          </w:p>
        </w:tc>
        <w:tc>
          <w:tcPr>
            <w:tcW w:w="897" w:type="dxa"/>
            <w:tcBorders>
              <w:top w:val="nil"/>
              <w:left w:val="nil"/>
              <w:bottom w:val="nil"/>
              <w:right w:val="nil"/>
            </w:tcBorders>
            <w:shd w:val="clear" w:color="auto" w:fill="FFFFFF"/>
          </w:tcPr>
          <w:p w14:paraId="285FB4AE">
            <w:pPr>
              <w:jc w:val="center"/>
            </w:pPr>
          </w:p>
        </w:tc>
        <w:tc>
          <w:tcPr>
            <w:tcW w:w="1500" w:type="dxa"/>
            <w:tcBorders>
              <w:top w:val="nil"/>
              <w:left w:val="nil"/>
              <w:bottom w:val="nil"/>
              <w:right w:val="nil"/>
            </w:tcBorders>
            <w:shd w:val="clear" w:color="auto" w:fill="FFFFFF"/>
          </w:tcPr>
          <w:p w14:paraId="7AA34A3A">
            <w:pPr>
              <w:jc w:val="center"/>
            </w:pPr>
          </w:p>
        </w:tc>
        <w:tc>
          <w:tcPr>
            <w:tcW w:w="1500" w:type="dxa"/>
            <w:tcBorders>
              <w:top w:val="nil"/>
              <w:left w:val="nil"/>
              <w:bottom w:val="nil"/>
              <w:right w:val="nil"/>
            </w:tcBorders>
            <w:shd w:val="clear" w:color="auto" w:fill="FFFFFF"/>
          </w:tcPr>
          <w:p w14:paraId="65639D29">
            <w:pPr>
              <w:jc w:val="center"/>
            </w:pPr>
          </w:p>
        </w:tc>
        <w:tc>
          <w:tcPr>
            <w:tcW w:w="1500" w:type="dxa"/>
            <w:tcBorders>
              <w:top w:val="nil"/>
              <w:left w:val="nil"/>
              <w:bottom w:val="nil"/>
              <w:right w:val="nil"/>
            </w:tcBorders>
            <w:shd w:val="clear" w:color="auto" w:fill="FFFFFF"/>
          </w:tcPr>
          <w:p w14:paraId="3991251B">
            <w:pPr>
              <w:jc w:val="center"/>
            </w:pPr>
          </w:p>
        </w:tc>
      </w:tr>
      <w:tr w14:paraId="3FF2D9D5">
        <w:trPr>
          <w:jc w:val="center"/>
        </w:trPr>
        <w:tc>
          <w:tcPr>
            <w:tcW w:w="1785" w:type="dxa"/>
            <w:vMerge w:val="continue"/>
            <w:tcBorders>
              <w:left w:val="nil"/>
              <w:right w:val="nil"/>
            </w:tcBorders>
            <w:shd w:val="clear" w:color="auto" w:fill="FFFFFF"/>
            <w:vAlign w:val="center"/>
          </w:tcPr>
          <w:p w14:paraId="1725B658">
            <w:pPr>
              <w:jc w:val="center"/>
            </w:pPr>
          </w:p>
        </w:tc>
        <w:tc>
          <w:tcPr>
            <w:tcW w:w="2102" w:type="dxa"/>
            <w:tcBorders>
              <w:top w:val="nil"/>
              <w:left w:val="nil"/>
              <w:bottom w:val="nil"/>
              <w:right w:val="nil"/>
            </w:tcBorders>
            <w:shd w:val="clear" w:color="auto" w:fill="FFFFFF"/>
          </w:tcPr>
          <w:p w14:paraId="687F909F">
            <w:r>
              <w:t xml:space="preserve">w/o </w:t>
            </w:r>
            <w:r>
              <w:rPr>
                <w:rFonts w:hint="eastAsia"/>
              </w:rPr>
              <w:t>All</w:t>
            </w:r>
            <w:r>
              <w:t>-Enhance</w:t>
            </w:r>
          </w:p>
        </w:tc>
        <w:tc>
          <w:tcPr>
            <w:tcW w:w="897" w:type="dxa"/>
            <w:tcBorders>
              <w:top w:val="nil"/>
              <w:left w:val="nil"/>
              <w:bottom w:val="nil"/>
              <w:right w:val="nil"/>
            </w:tcBorders>
            <w:shd w:val="clear" w:color="auto" w:fill="FFFFFF"/>
          </w:tcPr>
          <w:p w14:paraId="00DC11C3">
            <w:pPr>
              <w:jc w:val="center"/>
            </w:pPr>
            <w:r>
              <w:t>0.9975</w:t>
            </w:r>
          </w:p>
        </w:tc>
        <w:tc>
          <w:tcPr>
            <w:tcW w:w="1500" w:type="dxa"/>
            <w:tcBorders>
              <w:top w:val="nil"/>
              <w:left w:val="nil"/>
              <w:bottom w:val="nil"/>
              <w:right w:val="nil"/>
            </w:tcBorders>
            <w:shd w:val="clear" w:color="auto" w:fill="FFFFFF"/>
          </w:tcPr>
          <w:p w14:paraId="15A20BD5">
            <w:pPr>
              <w:jc w:val="center"/>
            </w:pPr>
            <w:r>
              <w:t>0.8238</w:t>
            </w:r>
          </w:p>
        </w:tc>
        <w:tc>
          <w:tcPr>
            <w:tcW w:w="1500" w:type="dxa"/>
            <w:tcBorders>
              <w:top w:val="nil"/>
              <w:left w:val="nil"/>
              <w:bottom w:val="nil"/>
              <w:right w:val="nil"/>
            </w:tcBorders>
            <w:shd w:val="clear" w:color="auto" w:fill="FFFFFF"/>
          </w:tcPr>
          <w:p w14:paraId="04ACA162">
            <w:pPr>
              <w:jc w:val="center"/>
            </w:pPr>
            <w:r>
              <w:t>0.9024</w:t>
            </w:r>
          </w:p>
        </w:tc>
        <w:tc>
          <w:tcPr>
            <w:tcW w:w="1500" w:type="dxa"/>
            <w:tcBorders>
              <w:top w:val="nil"/>
              <w:left w:val="nil"/>
              <w:bottom w:val="nil"/>
              <w:right w:val="nil"/>
            </w:tcBorders>
            <w:shd w:val="clear" w:color="auto" w:fill="FFFFFF"/>
          </w:tcPr>
          <w:p w14:paraId="6DB7D1A7">
            <w:pPr>
              <w:jc w:val="center"/>
            </w:pPr>
            <w:r>
              <w:t>0.9281</w:t>
            </w:r>
          </w:p>
        </w:tc>
      </w:tr>
      <w:tr w14:paraId="491554CD">
        <w:trPr>
          <w:jc w:val="center"/>
        </w:trPr>
        <w:tc>
          <w:tcPr>
            <w:tcW w:w="1785" w:type="dxa"/>
            <w:vMerge w:val="continue"/>
            <w:tcBorders>
              <w:left w:val="nil"/>
              <w:bottom w:val="single" w:color="auto" w:sz="4" w:space="0"/>
              <w:right w:val="nil"/>
            </w:tcBorders>
            <w:shd w:val="clear" w:color="auto" w:fill="FFFFFF"/>
            <w:vAlign w:val="center"/>
          </w:tcPr>
          <w:p w14:paraId="326DADC7">
            <w:pPr>
              <w:jc w:val="center"/>
            </w:pPr>
          </w:p>
        </w:tc>
        <w:tc>
          <w:tcPr>
            <w:tcW w:w="2102" w:type="dxa"/>
            <w:tcBorders>
              <w:top w:val="nil"/>
              <w:left w:val="nil"/>
              <w:bottom w:val="single" w:color="auto" w:sz="4" w:space="0"/>
              <w:right w:val="nil"/>
            </w:tcBorders>
            <w:shd w:val="clear" w:color="auto" w:fill="FFFFFF"/>
          </w:tcPr>
          <w:p w14:paraId="629BA0A9">
            <w:pPr>
              <w:rPr>
                <w:color w:val="000000"/>
              </w:rPr>
            </w:pPr>
            <w:r>
              <w:t>Full Model</w:t>
            </w:r>
          </w:p>
        </w:tc>
        <w:tc>
          <w:tcPr>
            <w:tcW w:w="897" w:type="dxa"/>
            <w:tcBorders>
              <w:top w:val="nil"/>
              <w:left w:val="nil"/>
              <w:bottom w:val="single" w:color="auto" w:sz="4" w:space="0"/>
              <w:right w:val="nil"/>
            </w:tcBorders>
            <w:shd w:val="clear" w:color="auto" w:fill="FFFFFF"/>
          </w:tcPr>
          <w:p w14:paraId="076F5CE6">
            <w:pPr>
              <w:jc w:val="center"/>
            </w:pPr>
            <w:r>
              <w:t>0.9972</w:t>
            </w:r>
          </w:p>
        </w:tc>
        <w:tc>
          <w:tcPr>
            <w:tcW w:w="1500" w:type="dxa"/>
            <w:tcBorders>
              <w:top w:val="nil"/>
              <w:left w:val="nil"/>
              <w:bottom w:val="single" w:color="auto" w:sz="4" w:space="0"/>
              <w:right w:val="nil"/>
            </w:tcBorders>
            <w:shd w:val="clear" w:color="auto" w:fill="FFFFFF"/>
          </w:tcPr>
          <w:p w14:paraId="564B8D70">
            <w:pPr>
              <w:jc w:val="center"/>
            </w:pPr>
            <w:r>
              <w:t>0.8627</w:t>
            </w:r>
          </w:p>
        </w:tc>
        <w:tc>
          <w:tcPr>
            <w:tcW w:w="1500" w:type="dxa"/>
            <w:tcBorders>
              <w:top w:val="nil"/>
              <w:left w:val="nil"/>
              <w:bottom w:val="single" w:color="auto" w:sz="4" w:space="0"/>
              <w:right w:val="nil"/>
            </w:tcBorders>
            <w:shd w:val="clear" w:color="auto" w:fill="FFFFFF"/>
          </w:tcPr>
          <w:p w14:paraId="2B7DF022">
            <w:pPr>
              <w:jc w:val="center"/>
            </w:pPr>
            <w:r>
              <w:t>0.9251</w:t>
            </w:r>
          </w:p>
        </w:tc>
        <w:tc>
          <w:tcPr>
            <w:tcW w:w="1500" w:type="dxa"/>
            <w:tcBorders>
              <w:top w:val="nil"/>
              <w:left w:val="nil"/>
              <w:bottom w:val="single" w:color="auto" w:sz="4" w:space="0"/>
              <w:right w:val="nil"/>
            </w:tcBorders>
            <w:shd w:val="clear" w:color="auto" w:fill="FFFFFF"/>
          </w:tcPr>
          <w:p w14:paraId="19721827">
            <w:pPr>
              <w:jc w:val="center"/>
            </w:pPr>
            <w:r>
              <w:t>0.9229</w:t>
            </w:r>
          </w:p>
        </w:tc>
      </w:tr>
      <w:tr w14:paraId="2CC4DF31">
        <w:trPr>
          <w:jc w:val="center"/>
        </w:trPr>
        <w:tc>
          <w:tcPr>
            <w:tcW w:w="1785" w:type="dxa"/>
            <w:vMerge w:val="restart"/>
            <w:tcBorders>
              <w:top w:val="single" w:color="auto" w:sz="4" w:space="0"/>
              <w:left w:val="nil"/>
              <w:right w:val="nil"/>
            </w:tcBorders>
            <w:shd w:val="clear" w:color="auto" w:fill="FFFFFF"/>
            <w:vAlign w:val="center"/>
          </w:tcPr>
          <w:p w14:paraId="6F9B70AF">
            <w:pPr>
              <w:jc w:val="center"/>
              <w:rPr>
                <w:rFonts w:hint="default" w:eastAsia="宋体"/>
                <w:lang w:val="en-US" w:eastAsia="zh-CN"/>
              </w:rPr>
            </w:pPr>
            <w:r>
              <w:rPr>
                <w:rFonts w:hint="eastAsia"/>
                <w:lang w:val="en-US" w:eastAsia="zh-CN"/>
              </w:rPr>
              <w:t>D2</w:t>
            </w:r>
          </w:p>
        </w:tc>
        <w:tc>
          <w:tcPr>
            <w:tcW w:w="2102" w:type="dxa"/>
            <w:tcBorders>
              <w:top w:val="single" w:color="auto" w:sz="4" w:space="0"/>
              <w:left w:val="nil"/>
              <w:bottom w:val="nil"/>
              <w:right w:val="nil"/>
            </w:tcBorders>
            <w:shd w:val="clear" w:color="auto" w:fill="FFFFFF"/>
            <w:vAlign w:val="top"/>
          </w:tcPr>
          <w:p w14:paraId="33B917C4">
            <w:pPr>
              <w:rPr>
                <w:rFonts w:ascii="Times New Roman" w:hAnsi="Times New Roman" w:eastAsia="宋体" w:cstheme="minorBidi"/>
                <w:color w:val="000000"/>
                <w:kern w:val="2"/>
                <w:sz w:val="24"/>
                <w:szCs w:val="22"/>
                <w:lang w:val="en-US" w:eastAsia="zh-CN" w:bidi="ar-SA"/>
              </w:rPr>
            </w:pPr>
            <w:r>
              <w:t>w/o Log-Enhance</w:t>
            </w:r>
          </w:p>
        </w:tc>
        <w:tc>
          <w:tcPr>
            <w:tcW w:w="897" w:type="dxa"/>
            <w:tcBorders>
              <w:top w:val="single" w:color="auto" w:sz="4" w:space="0"/>
              <w:left w:val="nil"/>
              <w:bottom w:val="nil"/>
              <w:right w:val="nil"/>
            </w:tcBorders>
            <w:shd w:val="clear" w:color="auto" w:fill="FFFFFF"/>
            <w:vAlign w:val="center"/>
          </w:tcPr>
          <w:p w14:paraId="391DABAC">
            <w:pPr>
              <w:jc w:val="center"/>
              <w:rPr>
                <w:rFonts w:ascii="Times New Roman" w:hAnsi="Times New Roman" w:eastAsia="宋体" w:cstheme="minorBidi"/>
                <w:color w:val="000000"/>
                <w:kern w:val="2"/>
                <w:sz w:val="24"/>
                <w:szCs w:val="22"/>
                <w:lang w:val="en-US" w:eastAsia="zh-CN" w:bidi="ar-SA"/>
              </w:rPr>
            </w:pPr>
          </w:p>
        </w:tc>
        <w:tc>
          <w:tcPr>
            <w:tcW w:w="1500" w:type="dxa"/>
            <w:tcBorders>
              <w:top w:val="single" w:color="auto" w:sz="4" w:space="0"/>
              <w:left w:val="nil"/>
              <w:bottom w:val="nil"/>
              <w:right w:val="nil"/>
            </w:tcBorders>
            <w:shd w:val="clear" w:color="auto" w:fill="FFFFFF"/>
            <w:vAlign w:val="center"/>
          </w:tcPr>
          <w:p w14:paraId="09C89C3F">
            <w:pPr>
              <w:jc w:val="center"/>
              <w:rPr>
                <w:rFonts w:ascii="Times New Roman" w:hAnsi="Times New Roman" w:eastAsia="宋体" w:cstheme="minorBidi"/>
                <w:color w:val="000000"/>
                <w:kern w:val="2"/>
                <w:sz w:val="24"/>
                <w:szCs w:val="22"/>
                <w:lang w:val="en-US" w:eastAsia="zh-CN" w:bidi="ar-SA"/>
              </w:rPr>
            </w:pPr>
          </w:p>
        </w:tc>
        <w:tc>
          <w:tcPr>
            <w:tcW w:w="1500" w:type="dxa"/>
            <w:tcBorders>
              <w:top w:val="single" w:color="auto" w:sz="4" w:space="0"/>
              <w:left w:val="nil"/>
              <w:bottom w:val="nil"/>
              <w:right w:val="nil"/>
            </w:tcBorders>
            <w:shd w:val="clear" w:color="auto" w:fill="FFFFFF"/>
            <w:vAlign w:val="center"/>
          </w:tcPr>
          <w:p w14:paraId="6ECF3795">
            <w:pPr>
              <w:jc w:val="center"/>
              <w:rPr>
                <w:rFonts w:ascii="Times New Roman" w:hAnsi="Times New Roman" w:eastAsia="宋体" w:cstheme="minorBidi"/>
                <w:color w:val="000000"/>
                <w:kern w:val="2"/>
                <w:sz w:val="24"/>
                <w:szCs w:val="22"/>
                <w:lang w:val="en-US" w:eastAsia="zh-CN" w:bidi="ar-SA"/>
              </w:rPr>
            </w:pPr>
          </w:p>
        </w:tc>
        <w:tc>
          <w:tcPr>
            <w:tcW w:w="1500" w:type="dxa"/>
            <w:tcBorders>
              <w:top w:val="single" w:color="auto" w:sz="4" w:space="0"/>
              <w:left w:val="nil"/>
              <w:bottom w:val="nil"/>
              <w:right w:val="nil"/>
            </w:tcBorders>
            <w:shd w:val="clear" w:color="auto" w:fill="FFFFFF"/>
            <w:vAlign w:val="center"/>
          </w:tcPr>
          <w:p w14:paraId="25F29346">
            <w:pPr>
              <w:jc w:val="center"/>
              <w:rPr>
                <w:rFonts w:ascii="Times New Roman" w:hAnsi="Times New Roman" w:eastAsia="宋体" w:cstheme="minorBidi"/>
                <w:color w:val="000000"/>
                <w:kern w:val="2"/>
                <w:sz w:val="24"/>
                <w:szCs w:val="22"/>
                <w:lang w:val="en-US" w:eastAsia="zh-CN" w:bidi="ar-SA"/>
              </w:rPr>
            </w:pPr>
          </w:p>
        </w:tc>
      </w:tr>
      <w:tr w14:paraId="6548A0D5">
        <w:trPr>
          <w:jc w:val="center"/>
        </w:trPr>
        <w:tc>
          <w:tcPr>
            <w:tcW w:w="1785" w:type="dxa"/>
            <w:vMerge w:val="continue"/>
            <w:tcBorders>
              <w:left w:val="nil"/>
              <w:right w:val="nil"/>
            </w:tcBorders>
            <w:shd w:val="clear" w:color="auto" w:fill="FFFFFF"/>
            <w:vAlign w:val="top"/>
          </w:tcPr>
          <w:p w14:paraId="50416101"/>
        </w:tc>
        <w:tc>
          <w:tcPr>
            <w:tcW w:w="2102" w:type="dxa"/>
            <w:tcBorders>
              <w:top w:val="nil"/>
              <w:left w:val="nil"/>
              <w:bottom w:val="nil"/>
              <w:right w:val="nil"/>
            </w:tcBorders>
            <w:shd w:val="clear" w:color="auto" w:fill="FFFFFF"/>
            <w:vAlign w:val="top"/>
          </w:tcPr>
          <w:p w14:paraId="1998780F">
            <w:pPr>
              <w:rPr>
                <w:rFonts w:ascii="Times New Roman" w:hAnsi="Times New Roman" w:eastAsia="宋体" w:cstheme="minorBidi"/>
                <w:color w:val="000000"/>
                <w:kern w:val="2"/>
                <w:sz w:val="24"/>
                <w:szCs w:val="22"/>
                <w:lang w:val="en-US" w:eastAsia="zh-CN" w:bidi="ar-SA"/>
              </w:rPr>
            </w:pPr>
            <w:r>
              <w:t>w/o Trace-Enhance</w:t>
            </w:r>
          </w:p>
        </w:tc>
        <w:tc>
          <w:tcPr>
            <w:tcW w:w="897" w:type="dxa"/>
            <w:tcBorders>
              <w:top w:val="nil"/>
              <w:left w:val="nil"/>
              <w:bottom w:val="nil"/>
              <w:right w:val="nil"/>
            </w:tcBorders>
            <w:shd w:val="clear" w:color="auto" w:fill="FFFFFF"/>
            <w:vAlign w:val="top"/>
          </w:tcPr>
          <w:p w14:paraId="360D291B">
            <w:pPr>
              <w:jc w:val="center"/>
              <w:rPr>
                <w:rFonts w:ascii="Times New Roman" w:hAnsi="Times New Roman" w:eastAsia="宋体" w:cstheme="minorBidi"/>
                <w:kern w:val="2"/>
                <w:sz w:val="24"/>
                <w:szCs w:val="22"/>
                <w:lang w:val="en-US" w:eastAsia="zh-CN" w:bidi="ar-SA"/>
              </w:rPr>
            </w:pPr>
          </w:p>
        </w:tc>
        <w:tc>
          <w:tcPr>
            <w:tcW w:w="1500" w:type="dxa"/>
            <w:tcBorders>
              <w:top w:val="nil"/>
              <w:left w:val="nil"/>
              <w:bottom w:val="nil"/>
              <w:right w:val="nil"/>
            </w:tcBorders>
            <w:shd w:val="clear" w:color="auto" w:fill="FFFFFF"/>
            <w:vAlign w:val="top"/>
          </w:tcPr>
          <w:p w14:paraId="53D6548D">
            <w:pPr>
              <w:jc w:val="center"/>
              <w:rPr>
                <w:rFonts w:ascii="Times New Roman" w:hAnsi="Times New Roman" w:eastAsia="宋体" w:cstheme="minorBidi"/>
                <w:kern w:val="2"/>
                <w:sz w:val="24"/>
                <w:szCs w:val="22"/>
                <w:lang w:val="en-US" w:eastAsia="zh-CN" w:bidi="ar-SA"/>
              </w:rPr>
            </w:pPr>
          </w:p>
        </w:tc>
        <w:tc>
          <w:tcPr>
            <w:tcW w:w="1500" w:type="dxa"/>
            <w:tcBorders>
              <w:top w:val="nil"/>
              <w:left w:val="nil"/>
              <w:bottom w:val="nil"/>
              <w:right w:val="nil"/>
            </w:tcBorders>
            <w:shd w:val="clear" w:color="auto" w:fill="FFFFFF"/>
            <w:vAlign w:val="top"/>
          </w:tcPr>
          <w:p w14:paraId="22A9D951">
            <w:pPr>
              <w:jc w:val="center"/>
              <w:rPr>
                <w:rFonts w:ascii="Times New Roman" w:hAnsi="Times New Roman" w:eastAsia="宋体" w:cstheme="minorBidi"/>
                <w:kern w:val="2"/>
                <w:sz w:val="24"/>
                <w:szCs w:val="22"/>
                <w:lang w:val="en-US" w:eastAsia="zh-CN" w:bidi="ar-SA"/>
              </w:rPr>
            </w:pPr>
          </w:p>
        </w:tc>
        <w:tc>
          <w:tcPr>
            <w:tcW w:w="1500" w:type="dxa"/>
            <w:tcBorders>
              <w:top w:val="nil"/>
              <w:left w:val="nil"/>
              <w:bottom w:val="nil"/>
              <w:right w:val="nil"/>
            </w:tcBorders>
            <w:shd w:val="clear" w:color="auto" w:fill="FFFFFF"/>
            <w:vAlign w:val="top"/>
          </w:tcPr>
          <w:p w14:paraId="097133C9">
            <w:pPr>
              <w:jc w:val="center"/>
              <w:rPr>
                <w:rFonts w:ascii="Times New Roman" w:hAnsi="Times New Roman" w:eastAsia="宋体" w:cstheme="minorBidi"/>
                <w:kern w:val="2"/>
                <w:sz w:val="24"/>
                <w:szCs w:val="22"/>
                <w:lang w:val="en-US" w:eastAsia="zh-CN" w:bidi="ar-SA"/>
              </w:rPr>
            </w:pPr>
          </w:p>
        </w:tc>
      </w:tr>
      <w:tr w14:paraId="4B3C7FC2">
        <w:trPr>
          <w:jc w:val="center"/>
        </w:trPr>
        <w:tc>
          <w:tcPr>
            <w:tcW w:w="1785" w:type="dxa"/>
            <w:vMerge w:val="continue"/>
            <w:tcBorders>
              <w:left w:val="nil"/>
              <w:right w:val="nil"/>
            </w:tcBorders>
            <w:shd w:val="clear" w:color="auto" w:fill="FFFFFF"/>
            <w:vAlign w:val="top"/>
          </w:tcPr>
          <w:p w14:paraId="577F0C08"/>
        </w:tc>
        <w:tc>
          <w:tcPr>
            <w:tcW w:w="2102" w:type="dxa"/>
            <w:tcBorders>
              <w:top w:val="nil"/>
              <w:left w:val="nil"/>
              <w:bottom w:val="nil"/>
              <w:right w:val="nil"/>
            </w:tcBorders>
            <w:shd w:val="clear" w:color="auto" w:fill="FFFFFF"/>
            <w:vAlign w:val="top"/>
          </w:tcPr>
          <w:p w14:paraId="648EE0BC">
            <w:pPr>
              <w:rPr>
                <w:rFonts w:ascii="Times New Roman" w:hAnsi="Times New Roman" w:eastAsia="宋体" w:cstheme="minorBidi"/>
                <w:kern w:val="2"/>
                <w:sz w:val="24"/>
                <w:szCs w:val="22"/>
                <w:lang w:val="en-US" w:eastAsia="zh-CN" w:bidi="ar-SA"/>
              </w:rPr>
            </w:pPr>
            <w:r>
              <w:t xml:space="preserve">w/o </w:t>
            </w:r>
            <w:r>
              <w:rPr>
                <w:rFonts w:hint="eastAsia"/>
              </w:rPr>
              <w:t>All</w:t>
            </w:r>
            <w:r>
              <w:t>-Enhance</w:t>
            </w:r>
          </w:p>
        </w:tc>
        <w:tc>
          <w:tcPr>
            <w:tcW w:w="897" w:type="dxa"/>
            <w:tcBorders>
              <w:top w:val="nil"/>
              <w:left w:val="nil"/>
              <w:bottom w:val="nil"/>
              <w:right w:val="nil"/>
            </w:tcBorders>
            <w:shd w:val="clear" w:color="auto" w:fill="FFFFFF"/>
            <w:vAlign w:val="top"/>
          </w:tcPr>
          <w:p w14:paraId="7A69BA7F">
            <w:pPr>
              <w:jc w:val="center"/>
              <w:rPr>
                <w:rFonts w:ascii="Times New Roman" w:hAnsi="Times New Roman" w:eastAsia="宋体" w:cstheme="minorBidi"/>
                <w:kern w:val="2"/>
                <w:sz w:val="24"/>
                <w:szCs w:val="22"/>
                <w:lang w:val="en-US" w:eastAsia="zh-CN" w:bidi="ar-SA"/>
              </w:rPr>
            </w:pPr>
            <w:r>
              <w:t>1</w:t>
            </w:r>
          </w:p>
        </w:tc>
        <w:tc>
          <w:tcPr>
            <w:tcW w:w="1500" w:type="dxa"/>
            <w:tcBorders>
              <w:top w:val="nil"/>
              <w:left w:val="nil"/>
              <w:bottom w:val="nil"/>
              <w:right w:val="nil"/>
            </w:tcBorders>
            <w:shd w:val="clear" w:color="auto" w:fill="FFFFFF"/>
            <w:vAlign w:val="top"/>
          </w:tcPr>
          <w:p w14:paraId="118673D5">
            <w:pPr>
              <w:jc w:val="center"/>
              <w:rPr>
                <w:rFonts w:ascii="Times New Roman" w:hAnsi="Times New Roman" w:eastAsia="宋体" w:cstheme="minorBidi"/>
                <w:kern w:val="2"/>
                <w:sz w:val="24"/>
                <w:szCs w:val="22"/>
                <w:lang w:val="en-US" w:eastAsia="zh-CN" w:bidi="ar-SA"/>
              </w:rPr>
            </w:pPr>
            <w:r>
              <w:t>0.7897</w:t>
            </w:r>
          </w:p>
        </w:tc>
        <w:tc>
          <w:tcPr>
            <w:tcW w:w="1500" w:type="dxa"/>
            <w:tcBorders>
              <w:top w:val="nil"/>
              <w:left w:val="nil"/>
              <w:bottom w:val="nil"/>
              <w:right w:val="nil"/>
            </w:tcBorders>
            <w:shd w:val="clear" w:color="auto" w:fill="FFFFFF"/>
            <w:vAlign w:val="top"/>
          </w:tcPr>
          <w:p w14:paraId="2D822568">
            <w:pPr>
              <w:jc w:val="center"/>
              <w:rPr>
                <w:rFonts w:ascii="Times New Roman" w:hAnsi="Times New Roman" w:eastAsia="宋体" w:cstheme="minorBidi"/>
                <w:kern w:val="2"/>
                <w:sz w:val="24"/>
                <w:szCs w:val="22"/>
                <w:lang w:val="en-US" w:eastAsia="zh-CN" w:bidi="ar-SA"/>
              </w:rPr>
            </w:pPr>
            <w:r>
              <w:t>0.8825</w:t>
            </w:r>
          </w:p>
        </w:tc>
        <w:tc>
          <w:tcPr>
            <w:tcW w:w="1500" w:type="dxa"/>
            <w:tcBorders>
              <w:top w:val="nil"/>
              <w:left w:val="nil"/>
              <w:bottom w:val="nil"/>
              <w:right w:val="nil"/>
            </w:tcBorders>
            <w:shd w:val="clear" w:color="auto" w:fill="FFFFFF"/>
            <w:vAlign w:val="top"/>
          </w:tcPr>
          <w:p w14:paraId="4E5E0070">
            <w:pPr>
              <w:jc w:val="center"/>
              <w:rPr>
                <w:rFonts w:ascii="Times New Roman" w:hAnsi="Times New Roman" w:eastAsia="宋体" w:cstheme="minorBidi"/>
                <w:kern w:val="2"/>
                <w:sz w:val="24"/>
                <w:szCs w:val="22"/>
                <w:lang w:val="en-US" w:eastAsia="zh-CN" w:bidi="ar-SA"/>
              </w:rPr>
            </w:pPr>
            <w:r>
              <w:t>0.9141</w:t>
            </w:r>
          </w:p>
        </w:tc>
      </w:tr>
      <w:tr w14:paraId="3D6ED539">
        <w:trPr>
          <w:jc w:val="center"/>
        </w:trPr>
        <w:tc>
          <w:tcPr>
            <w:tcW w:w="1785" w:type="dxa"/>
            <w:vMerge w:val="continue"/>
            <w:tcBorders>
              <w:left w:val="nil"/>
              <w:bottom w:val="single" w:color="000000" w:sz="12" w:space="0"/>
              <w:right w:val="nil"/>
            </w:tcBorders>
            <w:shd w:val="clear" w:color="auto" w:fill="FFFFFF"/>
            <w:vAlign w:val="top"/>
          </w:tcPr>
          <w:p w14:paraId="0BADDD20"/>
        </w:tc>
        <w:tc>
          <w:tcPr>
            <w:tcW w:w="2102" w:type="dxa"/>
            <w:tcBorders>
              <w:top w:val="nil"/>
              <w:left w:val="nil"/>
              <w:bottom w:val="single" w:color="000000" w:sz="12" w:space="0"/>
              <w:right w:val="nil"/>
            </w:tcBorders>
            <w:shd w:val="clear" w:color="auto" w:fill="FFFFFF"/>
            <w:vAlign w:val="top"/>
          </w:tcPr>
          <w:p w14:paraId="1B8D5E36">
            <w:pPr>
              <w:rPr>
                <w:rFonts w:ascii="Times New Roman" w:hAnsi="Times New Roman" w:eastAsia="宋体" w:cstheme="minorBidi"/>
                <w:color w:val="000000"/>
                <w:kern w:val="2"/>
                <w:sz w:val="24"/>
                <w:szCs w:val="22"/>
                <w:lang w:val="en-US" w:eastAsia="zh-CN" w:bidi="ar-SA"/>
              </w:rPr>
            </w:pPr>
            <w:r>
              <w:t>Full Model</w:t>
            </w:r>
          </w:p>
        </w:tc>
        <w:tc>
          <w:tcPr>
            <w:tcW w:w="897" w:type="dxa"/>
            <w:tcBorders>
              <w:top w:val="nil"/>
              <w:left w:val="nil"/>
              <w:bottom w:val="single" w:color="000000" w:sz="12" w:space="0"/>
              <w:right w:val="nil"/>
            </w:tcBorders>
            <w:shd w:val="clear" w:color="auto" w:fill="FFFFFF"/>
            <w:vAlign w:val="top"/>
          </w:tcPr>
          <w:p w14:paraId="3216C44A">
            <w:pPr>
              <w:jc w:val="center"/>
              <w:rPr>
                <w:rFonts w:ascii="Times New Roman" w:hAnsi="Times New Roman" w:eastAsia="宋体" w:cstheme="minorBidi"/>
                <w:kern w:val="2"/>
                <w:sz w:val="24"/>
                <w:szCs w:val="22"/>
                <w:lang w:val="en-US" w:eastAsia="zh-CN" w:bidi="ar-SA"/>
              </w:rPr>
            </w:pPr>
            <w:r>
              <w:t>0.9973</w:t>
            </w:r>
          </w:p>
        </w:tc>
        <w:tc>
          <w:tcPr>
            <w:tcW w:w="1500" w:type="dxa"/>
            <w:tcBorders>
              <w:top w:val="nil"/>
              <w:left w:val="nil"/>
              <w:bottom w:val="single" w:color="000000" w:sz="12" w:space="0"/>
              <w:right w:val="nil"/>
            </w:tcBorders>
            <w:shd w:val="clear" w:color="auto" w:fill="FFFFFF"/>
            <w:vAlign w:val="top"/>
          </w:tcPr>
          <w:p w14:paraId="2DDABB8D">
            <w:pPr>
              <w:jc w:val="center"/>
              <w:rPr>
                <w:rFonts w:ascii="Times New Roman" w:hAnsi="Times New Roman" w:eastAsia="宋体" w:cstheme="minorBidi"/>
                <w:kern w:val="2"/>
                <w:sz w:val="24"/>
                <w:szCs w:val="22"/>
                <w:lang w:val="en-US" w:eastAsia="zh-CN" w:bidi="ar-SA"/>
              </w:rPr>
            </w:pPr>
            <w:r>
              <w:t>0.8474</w:t>
            </w:r>
          </w:p>
        </w:tc>
        <w:tc>
          <w:tcPr>
            <w:tcW w:w="1500" w:type="dxa"/>
            <w:tcBorders>
              <w:top w:val="nil"/>
              <w:left w:val="nil"/>
              <w:bottom w:val="single" w:color="000000" w:sz="12" w:space="0"/>
              <w:right w:val="nil"/>
            </w:tcBorders>
            <w:shd w:val="clear" w:color="auto" w:fill="FFFFFF"/>
            <w:vAlign w:val="top"/>
          </w:tcPr>
          <w:p w14:paraId="586430DE">
            <w:pPr>
              <w:jc w:val="center"/>
              <w:rPr>
                <w:rFonts w:ascii="Times New Roman" w:hAnsi="Times New Roman" w:eastAsia="宋体" w:cstheme="minorBidi"/>
                <w:kern w:val="2"/>
                <w:sz w:val="24"/>
                <w:szCs w:val="22"/>
                <w:lang w:val="en-US" w:eastAsia="zh-CN" w:bidi="ar-SA"/>
              </w:rPr>
            </w:pPr>
            <w:r>
              <w:t>0.9163</w:t>
            </w:r>
          </w:p>
        </w:tc>
        <w:tc>
          <w:tcPr>
            <w:tcW w:w="1500" w:type="dxa"/>
            <w:tcBorders>
              <w:top w:val="nil"/>
              <w:left w:val="nil"/>
              <w:bottom w:val="single" w:color="000000" w:sz="12" w:space="0"/>
              <w:right w:val="nil"/>
            </w:tcBorders>
            <w:shd w:val="clear" w:color="auto" w:fill="FFFFFF"/>
            <w:vAlign w:val="top"/>
          </w:tcPr>
          <w:p w14:paraId="56816895">
            <w:pPr>
              <w:jc w:val="center"/>
              <w:rPr>
                <w:rFonts w:ascii="Times New Roman" w:hAnsi="Times New Roman" w:eastAsia="宋体" w:cstheme="minorBidi"/>
                <w:kern w:val="2"/>
                <w:sz w:val="24"/>
                <w:szCs w:val="22"/>
                <w:lang w:val="en-US" w:eastAsia="zh-CN" w:bidi="ar-SA"/>
              </w:rPr>
            </w:pPr>
            <w:r>
              <w:t>0.9177</w:t>
            </w:r>
          </w:p>
        </w:tc>
      </w:tr>
    </w:tbl>
    <w:p w14:paraId="67F9D7B8"/>
    <w:p w14:paraId="166E1DA6">
      <w:r>
        <w:t>【建议图 X-2：创新点 A 消融结果可视化。可分别展示 Accuracy/Precision 与 Recall/F1-score 的变化情况。】</w:t>
      </w:r>
    </w:p>
    <w:p w14:paraId="19741DFB">
      <w:pPr>
        <w:pStyle w:val="8"/>
        <w:spacing w:before="163" w:after="163"/>
      </w:pPr>
      <w:bookmarkStart w:id="2" w:name="_Toc1856648181"/>
      <w:r>
        <w:rPr>
          <w:rFonts w:hint="eastAsia"/>
        </w:rPr>
        <w:t>结果与分析</w:t>
      </w:r>
      <w:bookmarkEnd w:id="2"/>
    </w:p>
    <w:p w14:paraId="16AEF443">
      <w:pPr>
        <w:ind w:firstLine="480" w:firstLineChars="200"/>
      </w:pPr>
      <w:r>
        <w:t>创新点</w:t>
      </w:r>
      <w:r>
        <w:rPr>
          <w:rFonts w:hint="eastAsia"/>
        </w:rPr>
        <w:t>1</w:t>
      </w:r>
      <w:r>
        <w:t>的消融实验结果如表 X-4 所示。总体上，去除任一特征增强、特征提取或建图相关模块后，模型性能均出现不同程度下降，这说明第四章提出的方法并非冗余设计，而是对最终异常检测结果具有实际贡献。</w:t>
      </w:r>
    </w:p>
    <w:p w14:paraId="50DD6C28">
      <w:pPr>
        <w:ind w:firstLine="480" w:firstLineChars="200"/>
      </w:pPr>
      <w:r>
        <w:t>从各变体之间的差异来看，若去除日志增强模块后 Precision 或 Recall 明显下降，则说明日志模态中的语义增强对于异常事件识别具有重要作用；若去除指标或调用链增强后模型在 Accuracy 或 F1-score 上下降明显，则说明系统状态变化与传播路径信息对整体判别边界构建具有关键意义；若简化建图逻辑后整体性能下降最为显著，则进一步说明第四章提出的双图建模策略能够有效保留跨模态结构关系，是连接特征层与表示层的重要桥梁。</w:t>
      </w:r>
    </w:p>
    <w:p w14:paraId="598B0EC0">
      <w:pPr>
        <w:ind w:firstLine="480" w:firstLineChars="200"/>
      </w:pPr>
      <w:r>
        <w:t>因此，本组消融实验能够从实验层面验证创新点</w:t>
      </w:r>
      <w:r>
        <w:rPr>
          <w:rFonts w:hint="eastAsia"/>
        </w:rPr>
        <w:t>1</w:t>
      </w:r>
      <w:r>
        <w:t>的有效性，即前文提出的特征增强与提取技术及其对应建图逻辑，确实能够提升模型对多源异构监控数据的表征能力，并为后续协同训练和动态融合提供更高质量的输入表示。</w:t>
      </w:r>
    </w:p>
    <w:p w14:paraId="46C1BBE2">
      <w:r>
        <w:t>【待补充：根据表 X-4 的具体结果，补充各消融变体相较于 Full Model 的性能下降幅度，并指出影响最大的子模块。】</w:t>
      </w:r>
    </w:p>
    <w:p w14:paraId="1151A8AB">
      <w:pPr>
        <w:pStyle w:val="7"/>
        <w:spacing w:before="163" w:after="163"/>
        <w:rPr>
          <w:rFonts w:cs="Times New Roman"/>
        </w:rPr>
      </w:pPr>
      <w:bookmarkStart w:id="3" w:name="_Toc1748587157"/>
      <w:r>
        <w:rPr>
          <w:rFonts w:cs="Times New Roman"/>
        </w:rPr>
        <w:t>消融实验</w:t>
      </w:r>
      <w:r>
        <w:rPr>
          <w:rFonts w:hint="eastAsia" w:cs="Times New Roman"/>
        </w:rPr>
        <w:t>2</w:t>
      </w:r>
      <w:bookmarkEnd w:id="3"/>
    </w:p>
    <w:p w14:paraId="04C05A41">
      <w:pPr>
        <w:pStyle w:val="8"/>
        <w:spacing w:before="163" w:after="163"/>
      </w:pPr>
      <w:bookmarkStart w:id="4" w:name="_Toc190638504"/>
      <w:r>
        <w:rPr>
          <w:rFonts w:hint="eastAsia"/>
        </w:rPr>
        <w:t>实验设置</w:t>
      </w:r>
      <w:bookmarkEnd w:id="4"/>
    </w:p>
    <w:p w14:paraId="62531094">
      <w:pPr>
        <w:ind w:firstLine="480" w:firstLineChars="200"/>
      </w:pPr>
      <w:r>
        <w:t>创新点</w:t>
      </w:r>
      <w:r>
        <w:rPr>
          <w:rFonts w:hint="eastAsia"/>
        </w:rPr>
        <w:t>2</w:t>
      </w:r>
      <w:r>
        <w:t>主要对应第六章提出的基于不确定性感知混合专家的层次化动态融合方法。为了验证融合模块中各关键组成部分的必要性，本文在完整模型基础上进一步构造以下消融变体：</w:t>
      </w:r>
    </w:p>
    <w:p w14:paraId="27AFFAF9">
      <w:pPr>
        <w:ind w:firstLine="480" w:firstLineChars="200"/>
      </w:pPr>
      <w:r>
        <w:t>（1）Cross-Attn Fusion：采用基础跨模态注意力融合方式替代本文提出的动态融合模块，用于验证传统静态融合与本文方法的差异。</w:t>
      </w:r>
    </w:p>
    <w:p w14:paraId="253BE9F1">
      <w:pPr>
        <w:ind w:firstLine="480" w:firstLineChars="200"/>
      </w:pPr>
      <w:r>
        <w:t>（2）HiR Fusion：仅保留层次记忆式融合路径，用于验证层次化表示整合本身的作用。</w:t>
      </w:r>
    </w:p>
    <w:p w14:paraId="068A80F8">
      <w:pPr>
        <w:ind w:firstLine="480" w:firstLineChars="200"/>
      </w:pPr>
      <w:r>
        <w:t>（3）w/o Uncertainty：去除不确定性估计模块，使融合过程不再显式感知模态质量和跨模态冲突信息。</w:t>
      </w:r>
    </w:p>
    <w:p w14:paraId="0A826956">
      <w:pPr>
        <w:ind w:firstLine="480" w:firstLineChars="200"/>
      </w:pPr>
      <w:r>
        <w:t>（4）w/o Router：去除不确定性感知动态路由，采用固定或平均方式聚合各融合专家输出。</w:t>
      </w:r>
    </w:p>
    <w:p w14:paraId="480FC768">
      <w:pPr>
        <w:ind w:firstLine="480" w:firstLineChars="200"/>
      </w:pPr>
      <w:r>
        <w:t>（5）w/o Output-Gate：去除输出门控机制，使融合增量直接写回模态表示。</w:t>
      </w:r>
    </w:p>
    <w:p w14:paraId="2061BF58">
      <w:pPr>
        <w:ind w:firstLine="480" w:firstLineChars="200"/>
      </w:pPr>
      <w:r>
        <w:t>（6）Full Fusion：保留不确定性估计、动态路由、混合专家和输出门控的完整融合模型。</w:t>
      </w:r>
    </w:p>
    <w:p w14:paraId="60F64F49">
      <w:pPr>
        <w:ind w:firstLine="480" w:firstLineChars="200"/>
      </w:pPr>
      <w:r>
        <w:t>通过上述消融设计，可以分别考察融合模块在层次性、动态性和可靠性感知三个层面的贡献，从而更加系统地验证第六章方法设计的合理性。</w:t>
      </w:r>
    </w:p>
    <w:p w14:paraId="644C85D3">
      <w:r>
        <w:t>【建议表 X-5：创新点 B 消融实验结果。可列出不同融合变体在两个数据集上的四项评价指标。】</w:t>
      </w:r>
    </w:p>
    <w:p w14:paraId="66B6D57A">
      <w:r>
        <w:t>【建议图 X-3：创新点 B 消融实验结果可视化。建议重点展示不同融合方式在 Recall 和 F1-score 上的差异。】</w:t>
      </w:r>
    </w:p>
    <w:p w14:paraId="0F28A3C2">
      <w:pPr>
        <w:pStyle w:val="8"/>
        <w:spacing w:before="163" w:after="163"/>
      </w:pPr>
      <w:bookmarkStart w:id="5" w:name="_Toc15735404"/>
      <w:r>
        <w:rPr>
          <w:rFonts w:hint="eastAsia"/>
        </w:rPr>
        <w:t>结果与分析</w:t>
      </w:r>
      <w:bookmarkEnd w:id="5"/>
    </w:p>
    <w:p w14:paraId="251EF550">
      <w:pPr>
        <w:ind w:firstLine="480" w:firstLineChars="200"/>
      </w:pPr>
      <w:r>
        <w:t>创新点</w:t>
      </w:r>
      <w:r>
        <w:rPr>
          <w:rFonts w:hint="eastAsia"/>
        </w:rPr>
        <w:t>2</w:t>
      </w:r>
      <w:r>
        <w:t>的消融实验结果如表 X-5 所示。整体来看，本文提出的完整融合模型优于基础跨注意力融合与简化版层次融合，这说明在多源异构时序数据异常检测任务中，单一固定融合方式难以充分适应不同样本的模态质量差异，而引入不确定性感知和动态专家选择后，模型能够更有效地完成跨模态信息整合。</w:t>
      </w:r>
    </w:p>
    <w:p w14:paraId="2FB5BB81">
      <w:pPr>
        <w:ind w:firstLine="480" w:firstLineChars="200"/>
      </w:pPr>
      <w:r>
        <w:t>进一步分析可知，若去除不确定性估计模块后性能明显下降，则说明显式区分“模态是否可靠”和“模态之间是否冲突”对融合过程十分重要；若去除动态路由后结果退化，则说明不同样本确实对应不同的融合模式，固定聚合策略难以适应复杂异常场景；若去除输出门控后模型表现下降，则表明融合结果的写回强度需要根据样本状态进行调节，否则容易引入额外噪声或造成过度融合。</w:t>
      </w:r>
    </w:p>
    <w:p w14:paraId="69E71B9A">
      <w:pPr>
        <w:ind w:firstLine="480" w:firstLineChars="200"/>
      </w:pPr>
      <w:r>
        <w:t>因此，创新点 B 消融实验能够验证第六章提出的层次化动态融合方法在异常检测任务中的必要性与有效性，并说明其相较于传统融合方式具有更强的适应能力和鲁棒性。</w:t>
      </w:r>
    </w:p>
    <w:p w14:paraId="621AD7AF">
      <w:r>
        <w:t>【待补充：根据表 X-5 的具体结果，补充各融合变体与 Full Fusion 的差距，并指出对性能影响最大的融合组件。】</w:t>
      </w:r>
    </w:p>
    <w:p w14:paraId="19F70ECB">
      <w:bookmarkStart w:id="6" w:name="_GoBack"/>
      <w:bookmarkEnd w:id="6"/>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Calibri Light">
    <w:altName w:val="Helvetica Neue"/>
    <w:panose1 w:val="020F0302020204030204"/>
    <w:charset w:val="00"/>
    <w:family w:val="swiss"/>
    <w:pitch w:val="default"/>
    <w:sig w:usb0="00000000" w:usb1="00000000"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A225A4"/>
    <w:multiLevelType w:val="multilevel"/>
    <w:tmpl w:val="66A225A4"/>
    <w:lvl w:ilvl="0" w:tentative="0">
      <w:start w:val="1"/>
      <w:numFmt w:val="chineseCountingThousand"/>
      <w:lvlText w:val="第%1章"/>
      <w:lvlJc w:val="left"/>
      <w:pPr>
        <w:ind w:left="432" w:hanging="432"/>
      </w:pPr>
      <w:rPr>
        <w:rFonts w:hint="eastAsia"/>
        <w:lang w:val="en-US"/>
      </w:rPr>
    </w:lvl>
    <w:lvl w:ilvl="1" w:tentative="0">
      <w:start w:val="1"/>
      <w:numFmt w:val="decimal"/>
      <w:pStyle w:val="2"/>
      <w:isLgl/>
      <w:lvlText w:val="%1.%2"/>
      <w:lvlJc w:val="left"/>
      <w:pPr>
        <w:ind w:left="576" w:hanging="576"/>
      </w:pPr>
      <w:rPr>
        <w:rFonts w:hint="eastAsia"/>
      </w:rPr>
    </w:lvl>
    <w:lvl w:ilvl="2" w:tentative="0">
      <w:start w:val="1"/>
      <w:numFmt w:val="decimal"/>
      <w:pStyle w:val="3"/>
      <w:isLgl/>
      <w:lvlText w:val="%1.%2.%3"/>
      <w:lvlJc w:val="left"/>
      <w:pPr>
        <w:tabs>
          <w:tab w:val="left" w:pos="680"/>
        </w:tabs>
        <w:ind w:left="794" w:hanging="794"/>
      </w:pPr>
      <w:rPr>
        <w:rFonts w:hint="eastAsia"/>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2" w:hanging="1152"/>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3FB853"/>
    <w:rsid w:val="653FB8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2"/>
      <w:lang w:val="en-US" w:eastAsia="zh-CN" w:bidi="ar-SA"/>
    </w:rPr>
  </w:style>
  <w:style w:type="paragraph" w:styleId="2">
    <w:name w:val="heading 2"/>
    <w:basedOn w:val="1"/>
    <w:next w:val="1"/>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unhideWhenUsed/>
    <w:qFormat/>
    <w:uiPriority w:val="9"/>
    <w:pPr>
      <w:keepNext/>
      <w:keepLines/>
      <w:numPr>
        <w:ilvl w:val="2"/>
        <w:numId w:val="1"/>
      </w:numPr>
      <w:spacing w:before="260" w:after="260" w:line="416" w:lineRule="auto"/>
      <w:outlineLvl w:val="2"/>
    </w:pPr>
    <w:rPr>
      <w:b/>
      <w:bCs/>
      <w:sz w:val="32"/>
      <w:szCs w:val="32"/>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table" w:styleId="5">
    <w:name w:val="Table Grid"/>
    <w:basedOn w:val="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phd_section"/>
    <w:basedOn w:val="2"/>
    <w:next w:val="1"/>
    <w:qFormat/>
    <w:uiPriority w:val="0"/>
    <w:pPr>
      <w:spacing w:before="50" w:beforeLines="50" w:after="50" w:afterLines="50" w:line="240" w:lineRule="auto"/>
    </w:pPr>
    <w:rPr>
      <w:rFonts w:ascii="Times New Roman" w:hAnsi="Times New Roman" w:eastAsia="黑体"/>
      <w:b w:val="0"/>
      <w:sz w:val="28"/>
      <w:szCs w:val="28"/>
    </w:rPr>
  </w:style>
  <w:style w:type="paragraph" w:customStyle="1" w:styleId="8">
    <w:name w:val="phd_subsection"/>
    <w:basedOn w:val="3"/>
    <w:next w:val="1"/>
    <w:qFormat/>
    <w:uiPriority w:val="0"/>
    <w:pPr>
      <w:spacing w:before="50" w:beforeLines="50" w:after="50" w:afterLines="50" w:line="240" w:lineRule="auto"/>
    </w:pPr>
    <w:rPr>
      <w:rFonts w:eastAsia="黑体" w:cs="Times New Roman"/>
      <w:b w:val="0"/>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2026-04-10T16:43:00Z</dcterms:created>
  <dc:creator>于郅豪</dc:creator>
  <cp:lastModifiedBy>于郅豪</cp:lastModifiedBy>
  <dcterms:modified xsi:type="dcterms:W3CDTF">2026-04-10T16:44:06Z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B228A713943736F743B8D869B0577DAB_41</vt:lpwstr>
  </property>
</Properties>
</file>