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EC5EA" w14:textId="7569C03A" w:rsidR="002902C6" w:rsidRPr="005C21D1" w:rsidRDefault="00A844B4">
      <w:pPr>
        <w:rPr>
          <w:rFonts w:ascii="Times" w:hAnsi="Times"/>
          <w:b/>
        </w:rPr>
      </w:pPr>
      <w:r>
        <w:rPr>
          <w:rFonts w:ascii="Times" w:hAnsi="Times"/>
          <w:b/>
        </w:rPr>
        <w:t xml:space="preserve">Core-shell structure of </w:t>
      </w:r>
      <w:r w:rsidR="005C21D1" w:rsidRPr="005C21D1">
        <w:rPr>
          <w:rFonts w:ascii="Times" w:hAnsi="Times"/>
          <w:b/>
        </w:rPr>
        <w:t>Pt-doped Co cluster coated by single carbon layer for HER</w:t>
      </w:r>
    </w:p>
    <w:p w14:paraId="371B4F7D" w14:textId="77777777" w:rsidR="005C21D1" w:rsidRDefault="005C21D1">
      <w:pPr>
        <w:rPr>
          <w:rFonts w:ascii="Times" w:hAnsi="Times"/>
        </w:rPr>
      </w:pPr>
    </w:p>
    <w:p w14:paraId="05EA1FFC" w14:textId="6A78539C" w:rsidR="008A0FB1" w:rsidRDefault="008A0FB1">
      <w:pPr>
        <w:rPr>
          <w:rFonts w:ascii="Times" w:hAnsi="Times"/>
          <w:i/>
        </w:rPr>
      </w:pPr>
      <w:r>
        <w:rPr>
          <w:rFonts w:ascii="Times" w:hAnsi="Times"/>
          <w:i/>
        </w:rPr>
        <w:t>Results and Discussions</w:t>
      </w:r>
    </w:p>
    <w:p w14:paraId="252C6DE0" w14:textId="77777777" w:rsidR="00DE5C17" w:rsidRDefault="00DE5C17">
      <w:pPr>
        <w:rPr>
          <w:rFonts w:ascii="Times" w:hAnsi="Times"/>
        </w:rPr>
      </w:pPr>
    </w:p>
    <w:p w14:paraId="347FFAED" w14:textId="0FD5A4D2" w:rsidR="00DE5C17" w:rsidRDefault="00DE5C17" w:rsidP="00372CF7">
      <w:pPr>
        <w:jc w:val="both"/>
        <w:rPr>
          <w:rFonts w:ascii="Times" w:hAnsi="Times"/>
        </w:rPr>
      </w:pPr>
      <w:r>
        <w:rPr>
          <w:rFonts w:ascii="Times" w:hAnsi="Times"/>
        </w:rPr>
        <w:t xml:space="preserve">For the cobalt metal, it exists two different geometries, </w:t>
      </w:r>
      <w:r w:rsidR="0037365C">
        <w:rPr>
          <w:rFonts w:ascii="Times" w:hAnsi="Times"/>
        </w:rPr>
        <w:t>in P6_3/mmc</w:t>
      </w:r>
      <w:r w:rsidR="00EF0113" w:rsidRPr="00EF0113">
        <w:rPr>
          <w:rFonts w:ascii="Times" w:hAnsi="Times"/>
        </w:rPr>
        <w:t xml:space="preserve"> </w:t>
      </w:r>
      <w:r w:rsidR="00EF0113">
        <w:rPr>
          <w:rFonts w:ascii="Times" w:hAnsi="Times"/>
        </w:rPr>
        <w:t>and Fm3m</w:t>
      </w:r>
      <w:r w:rsidR="005A6E7E">
        <w:rPr>
          <w:rFonts w:ascii="Times" w:hAnsi="Times"/>
        </w:rPr>
        <w:t xml:space="preserve"> space group</w:t>
      </w:r>
      <w:r w:rsidR="00EF0113">
        <w:rPr>
          <w:rStyle w:val="EndnoteReference"/>
          <w:rFonts w:ascii="Times" w:hAnsi="Times"/>
        </w:rPr>
        <w:t xml:space="preserve"> </w:t>
      </w:r>
      <w:r w:rsidR="0037365C">
        <w:rPr>
          <w:rStyle w:val="EndnoteReference"/>
          <w:rFonts w:ascii="Times" w:hAnsi="Times"/>
        </w:rPr>
        <w:endnoteReference w:id="1"/>
      </w:r>
      <w:r w:rsidR="00B739BC">
        <w:rPr>
          <w:rFonts w:ascii="Times" w:hAnsi="Times"/>
        </w:rPr>
        <w:t xml:space="preserve">, </w:t>
      </w:r>
      <w:r w:rsidR="00B739BC" w:rsidRPr="00F3316C">
        <w:rPr>
          <w:rFonts w:ascii="Times" w:hAnsi="Times"/>
        </w:rPr>
        <w:t xml:space="preserve">Fig. </w:t>
      </w:r>
      <w:r w:rsidR="00F3316C" w:rsidRPr="00F3316C">
        <w:rPr>
          <w:rFonts w:ascii="Times" w:hAnsi="Times"/>
        </w:rPr>
        <w:t>1</w:t>
      </w:r>
      <w:r>
        <w:rPr>
          <w:rFonts w:ascii="Times" w:hAnsi="Times"/>
        </w:rPr>
        <w:t>. Accord</w:t>
      </w:r>
      <w:r w:rsidR="00BB24ED">
        <w:rPr>
          <w:rFonts w:ascii="Times" w:hAnsi="Times"/>
        </w:rPr>
        <w:t xml:space="preserve">ing to our simulation results, </w:t>
      </w:r>
      <w:r w:rsidR="006240CE">
        <w:rPr>
          <w:rFonts w:ascii="Times" w:hAnsi="Times"/>
        </w:rPr>
        <w:t>the later one</w:t>
      </w:r>
      <w:r w:rsidR="00E27ABA">
        <w:rPr>
          <w:rFonts w:ascii="Times" w:hAnsi="Times"/>
        </w:rPr>
        <w:t xml:space="preserve"> </w:t>
      </w:r>
      <w:r w:rsidR="002A0322">
        <w:rPr>
          <w:rFonts w:ascii="Times" w:hAnsi="Times"/>
        </w:rPr>
        <w:t>possess</w:t>
      </w:r>
      <w:r w:rsidR="00E27ABA">
        <w:rPr>
          <w:rFonts w:ascii="Times" w:hAnsi="Times"/>
        </w:rPr>
        <w:t>es</w:t>
      </w:r>
      <w:r w:rsidR="002A0322">
        <w:rPr>
          <w:rFonts w:ascii="Times" w:hAnsi="Times"/>
        </w:rPr>
        <w:t xml:space="preserve"> the more stable </w:t>
      </w:r>
      <w:r w:rsidR="00E27ABA">
        <w:rPr>
          <w:rFonts w:ascii="Times" w:hAnsi="Times"/>
        </w:rPr>
        <w:t xml:space="preserve">configuration </w:t>
      </w:r>
      <w:r w:rsidR="00E27ABA" w:rsidRPr="00593FA3">
        <w:rPr>
          <w:rFonts w:ascii="Times" w:hAnsi="Times"/>
        </w:rPr>
        <w:t xml:space="preserve">by </w:t>
      </w:r>
      <w:r w:rsidR="00593FA3" w:rsidRPr="00593FA3">
        <w:rPr>
          <w:rFonts w:ascii="Times" w:hAnsi="Times"/>
        </w:rPr>
        <w:t>0.16</w:t>
      </w:r>
      <w:r w:rsidR="00E27ABA" w:rsidRPr="00593FA3">
        <w:rPr>
          <w:rFonts w:ascii="Times" w:hAnsi="Times"/>
        </w:rPr>
        <w:t xml:space="preserve"> eV</w:t>
      </w:r>
      <w:r w:rsidR="00E27ABA">
        <w:rPr>
          <w:rFonts w:ascii="Times" w:hAnsi="Times"/>
        </w:rPr>
        <w:t xml:space="preserve"> per atom. </w:t>
      </w:r>
      <w:r w:rsidR="00B739BC">
        <w:rPr>
          <w:rFonts w:ascii="Times" w:hAnsi="Times"/>
        </w:rPr>
        <w:t xml:space="preserve">This conclusion is also in line with previous </w:t>
      </w:r>
      <w:r w:rsidR="00372CF7">
        <w:rPr>
          <w:rFonts w:ascii="Times" w:hAnsi="Times"/>
        </w:rPr>
        <w:t>observation</w:t>
      </w:r>
      <w:r w:rsidR="00B739BC">
        <w:rPr>
          <w:rFonts w:ascii="Times" w:hAnsi="Times"/>
        </w:rPr>
        <w:t>.</w:t>
      </w:r>
      <w:r w:rsidR="00372CF7">
        <w:rPr>
          <w:rStyle w:val="EndnoteReference"/>
          <w:rFonts w:ascii="Times" w:hAnsi="Times"/>
        </w:rPr>
        <w:endnoteReference w:id="2"/>
      </w:r>
    </w:p>
    <w:p w14:paraId="14CDB299" w14:textId="77777777" w:rsidR="00B739BC" w:rsidRDefault="00B739BC" w:rsidP="005A6E7E">
      <w:pPr>
        <w:jc w:val="both"/>
        <w:rPr>
          <w:rFonts w:ascii="Times" w:hAnsi="Times"/>
        </w:rPr>
      </w:pPr>
    </w:p>
    <w:p w14:paraId="7607DFEB" w14:textId="77777777" w:rsidR="006757FA" w:rsidRDefault="00D235E7" w:rsidP="006757FA">
      <w:pPr>
        <w:keepNext/>
        <w:jc w:val="center"/>
      </w:pPr>
      <w:r>
        <w:rPr>
          <w:rFonts w:ascii="Times" w:hAnsi="Times"/>
          <w:noProof/>
        </w:rPr>
        <w:drawing>
          <wp:inline distT="0" distB="0" distL="0" distR="0" wp14:anchorId="658ABD06" wp14:editId="3AF05373">
            <wp:extent cx="4106333" cy="16332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_structures.jpg"/>
                    <pic:cNvPicPr/>
                  </pic:nvPicPr>
                  <pic:blipFill rotWithShape="1">
                    <a:blip r:embed="rId7">
                      <a:extLst>
                        <a:ext uri="{28A0092B-C50C-407E-A947-70E740481C1C}">
                          <a14:useLocalDpi xmlns:a14="http://schemas.microsoft.com/office/drawing/2010/main" val="0"/>
                        </a:ext>
                      </a:extLst>
                    </a:blip>
                    <a:srcRect l="6802" t="19969" r="21477" b="29341"/>
                    <a:stretch/>
                  </pic:blipFill>
                  <pic:spPr bwMode="auto">
                    <a:xfrm>
                      <a:off x="0" y="0"/>
                      <a:ext cx="4107972" cy="1633872"/>
                    </a:xfrm>
                    <a:prstGeom prst="rect">
                      <a:avLst/>
                    </a:prstGeom>
                    <a:ln>
                      <a:noFill/>
                    </a:ln>
                    <a:extLst>
                      <a:ext uri="{53640926-AAD7-44D8-BBD7-CCE9431645EC}">
                        <a14:shadowObscured xmlns:a14="http://schemas.microsoft.com/office/drawing/2010/main"/>
                      </a:ext>
                    </a:extLst>
                  </pic:spPr>
                </pic:pic>
              </a:graphicData>
            </a:graphic>
          </wp:inline>
        </w:drawing>
      </w:r>
    </w:p>
    <w:p w14:paraId="2CC344C6" w14:textId="6A284CCF" w:rsidR="005562CA" w:rsidRPr="006757FA" w:rsidRDefault="006757FA" w:rsidP="006757FA">
      <w:pPr>
        <w:pStyle w:val="Caption"/>
        <w:jc w:val="center"/>
        <w:rPr>
          <w:rFonts w:ascii="Times" w:hAnsi="Times"/>
          <w:i w:val="0"/>
        </w:rPr>
      </w:pPr>
      <w:r w:rsidRPr="006757FA">
        <w:rPr>
          <w:rFonts w:ascii="Times" w:hAnsi="Times"/>
          <w:i w:val="0"/>
        </w:rPr>
        <w:t xml:space="preserve">Figure </w:t>
      </w:r>
      <w:r w:rsidRPr="006757FA">
        <w:rPr>
          <w:rFonts w:ascii="Times" w:hAnsi="Times"/>
          <w:i w:val="0"/>
        </w:rPr>
        <w:fldChar w:fldCharType="begin"/>
      </w:r>
      <w:r w:rsidRPr="006757FA">
        <w:rPr>
          <w:rFonts w:ascii="Times" w:hAnsi="Times"/>
          <w:i w:val="0"/>
        </w:rPr>
        <w:instrText xml:space="preserve"> SEQ Figure \* ARABIC </w:instrText>
      </w:r>
      <w:r w:rsidRPr="006757FA">
        <w:rPr>
          <w:rFonts w:ascii="Times" w:hAnsi="Times"/>
          <w:i w:val="0"/>
        </w:rPr>
        <w:fldChar w:fldCharType="separate"/>
      </w:r>
      <w:r w:rsidR="00825096">
        <w:rPr>
          <w:rFonts w:ascii="Times" w:hAnsi="Times"/>
          <w:i w:val="0"/>
          <w:noProof/>
        </w:rPr>
        <w:t>1</w:t>
      </w:r>
      <w:r w:rsidRPr="006757FA">
        <w:rPr>
          <w:rFonts w:ascii="Times" w:hAnsi="Times"/>
          <w:i w:val="0"/>
        </w:rPr>
        <w:fldChar w:fldCharType="end"/>
      </w:r>
      <w:r w:rsidRPr="006757FA">
        <w:rPr>
          <w:rFonts w:ascii="Times" w:hAnsi="Times"/>
          <w:i w:val="0"/>
        </w:rPr>
        <w:t xml:space="preserve"> </w:t>
      </w:r>
      <w:r>
        <w:rPr>
          <w:rFonts w:ascii="Times" w:hAnsi="Times"/>
          <w:i w:val="0"/>
        </w:rPr>
        <w:t>Two existing structures for cobalt metal,</w:t>
      </w:r>
      <w:r w:rsidR="00746A7C">
        <w:rPr>
          <w:rFonts w:ascii="Times" w:hAnsi="Times"/>
          <w:i w:val="0"/>
        </w:rPr>
        <w:t xml:space="preserve"> Fm3m and P6_3mmc, respectively.</w:t>
      </w:r>
      <w:r>
        <w:rPr>
          <w:rFonts w:ascii="Times" w:hAnsi="Times"/>
          <w:i w:val="0"/>
        </w:rPr>
        <w:t xml:space="preserve"> </w:t>
      </w:r>
    </w:p>
    <w:p w14:paraId="50FE90AE" w14:textId="0CB9ED77" w:rsidR="00BE4CF2" w:rsidRPr="00A52847" w:rsidRDefault="0005583C" w:rsidP="000E243C">
      <w:pPr>
        <w:jc w:val="both"/>
        <w:rPr>
          <w:rFonts w:ascii="Times" w:hAnsi="Times"/>
        </w:rPr>
      </w:pPr>
      <w:r>
        <w:rPr>
          <w:rFonts w:ascii="Times" w:hAnsi="Times"/>
        </w:rPr>
        <w:t>The cobalt cluster</w:t>
      </w:r>
      <w:r w:rsidR="00C7682E">
        <w:rPr>
          <w:rFonts w:ascii="Times" w:hAnsi="Times"/>
        </w:rPr>
        <w:t xml:space="preserve"> Co</w:t>
      </w:r>
      <w:r w:rsidR="00C7682E" w:rsidRPr="00C7682E">
        <w:rPr>
          <w:rFonts w:ascii="Times" w:hAnsi="Times"/>
          <w:vertAlign w:val="subscript"/>
        </w:rPr>
        <w:t>55</w:t>
      </w:r>
      <w:r w:rsidR="00C7682E">
        <w:rPr>
          <w:rFonts w:ascii="Times" w:hAnsi="Times"/>
        </w:rPr>
        <w:t xml:space="preserve">, </w:t>
      </w:r>
      <w:r>
        <w:rPr>
          <w:rFonts w:ascii="Times" w:hAnsi="Times"/>
        </w:rPr>
        <w:t>consisted of 55 atoms was adopted from the previous study and placed in a 25*25*25 box</w:t>
      </w:r>
      <w:r w:rsidR="00473849">
        <w:rPr>
          <w:rFonts w:ascii="Times" w:hAnsi="Times"/>
        </w:rPr>
        <w:t xml:space="preserve">, as shown in Fig. </w:t>
      </w:r>
      <w:r w:rsidR="00091B15">
        <w:rPr>
          <w:rFonts w:ascii="Times" w:hAnsi="Times"/>
        </w:rPr>
        <w:t>2</w:t>
      </w:r>
      <w:r>
        <w:rPr>
          <w:rFonts w:ascii="Times" w:hAnsi="Times"/>
        </w:rPr>
        <w:t>.</w:t>
      </w:r>
      <w:bookmarkStart w:id="0" w:name="_Ref484024028"/>
      <w:r w:rsidR="00A1047E">
        <w:rPr>
          <w:rStyle w:val="EndnoteReference"/>
          <w:rFonts w:ascii="Times" w:hAnsi="Times"/>
        </w:rPr>
        <w:endnoteReference w:id="3"/>
      </w:r>
      <w:bookmarkEnd w:id="0"/>
      <w:r>
        <w:rPr>
          <w:rFonts w:ascii="Times" w:hAnsi="Times"/>
        </w:rPr>
        <w:t xml:space="preserve"> </w:t>
      </w:r>
      <w:r w:rsidR="00BE4CF2">
        <w:rPr>
          <w:rFonts w:ascii="Times" w:hAnsi="Times"/>
        </w:rPr>
        <w:t xml:space="preserve">The corner, edge and body sites were select for Pt replacement. </w:t>
      </w:r>
      <w:r w:rsidR="00DD2618">
        <w:rPr>
          <w:rFonts w:ascii="Times" w:hAnsi="Times"/>
        </w:rPr>
        <w:t xml:space="preserve">Those </w:t>
      </w:r>
      <w:r w:rsidR="000E243C">
        <w:rPr>
          <w:rFonts w:ascii="Times" w:hAnsi="Times"/>
        </w:rPr>
        <w:t xml:space="preserve">possessed the lowest energy will be adopted for further study. </w:t>
      </w:r>
    </w:p>
    <w:p w14:paraId="5957B601" w14:textId="77777777" w:rsidR="00A52847" w:rsidRDefault="00A52847" w:rsidP="00372CF7">
      <w:pPr>
        <w:jc w:val="both"/>
        <w:rPr>
          <w:rFonts w:ascii="Times" w:hAnsi="Times"/>
        </w:rPr>
      </w:pPr>
    </w:p>
    <w:p w14:paraId="02166F31" w14:textId="24413866" w:rsidR="00A52847" w:rsidRDefault="002639DA" w:rsidP="00A52847">
      <w:pPr>
        <w:keepNext/>
        <w:jc w:val="center"/>
      </w:pPr>
      <w:r>
        <w:rPr>
          <w:noProof/>
        </w:rPr>
        <w:drawing>
          <wp:inline distT="0" distB="0" distL="0" distR="0" wp14:anchorId="751D76FF" wp14:editId="6DA00185">
            <wp:extent cx="5727272" cy="193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s.jpg"/>
                    <pic:cNvPicPr/>
                  </pic:nvPicPr>
                  <pic:blipFill rotWithShape="1">
                    <a:blip r:embed="rId8">
                      <a:extLst>
                        <a:ext uri="{28A0092B-C50C-407E-A947-70E740481C1C}">
                          <a14:useLocalDpi xmlns:a14="http://schemas.microsoft.com/office/drawing/2010/main" val="0"/>
                        </a:ext>
                      </a:extLst>
                    </a:blip>
                    <a:srcRect t="12346" b="27760"/>
                    <a:stretch/>
                  </pic:blipFill>
                  <pic:spPr bwMode="auto">
                    <a:xfrm>
                      <a:off x="0" y="0"/>
                      <a:ext cx="5727700" cy="1930544"/>
                    </a:xfrm>
                    <a:prstGeom prst="rect">
                      <a:avLst/>
                    </a:prstGeom>
                    <a:ln>
                      <a:noFill/>
                    </a:ln>
                    <a:extLst>
                      <a:ext uri="{53640926-AAD7-44D8-BBD7-CCE9431645EC}">
                        <a14:shadowObscured xmlns:a14="http://schemas.microsoft.com/office/drawing/2010/main"/>
                      </a:ext>
                    </a:extLst>
                  </pic:spPr>
                </pic:pic>
              </a:graphicData>
            </a:graphic>
          </wp:inline>
        </w:drawing>
      </w:r>
    </w:p>
    <w:p w14:paraId="14EE2C4B" w14:textId="25C13EBA" w:rsidR="00A52847" w:rsidRPr="00A52847" w:rsidRDefault="00A52847" w:rsidP="00A52847">
      <w:pPr>
        <w:pStyle w:val="Caption"/>
        <w:jc w:val="center"/>
        <w:rPr>
          <w:rFonts w:ascii="Times" w:hAnsi="Times"/>
          <w:i w:val="0"/>
        </w:rPr>
      </w:pPr>
      <w:r w:rsidRPr="00A52847">
        <w:rPr>
          <w:rFonts w:ascii="Times" w:hAnsi="Times"/>
        </w:rPr>
        <w:t xml:space="preserve">Figure </w:t>
      </w:r>
      <w:r w:rsidRPr="00A52847">
        <w:rPr>
          <w:rFonts w:ascii="Times" w:hAnsi="Times"/>
        </w:rPr>
        <w:fldChar w:fldCharType="begin"/>
      </w:r>
      <w:r w:rsidRPr="00A52847">
        <w:rPr>
          <w:rFonts w:ascii="Times" w:hAnsi="Times"/>
        </w:rPr>
        <w:instrText xml:space="preserve"> SEQ Figure \* ARABIC </w:instrText>
      </w:r>
      <w:r w:rsidRPr="00A52847">
        <w:rPr>
          <w:rFonts w:ascii="Times" w:hAnsi="Times"/>
        </w:rPr>
        <w:fldChar w:fldCharType="separate"/>
      </w:r>
      <w:r w:rsidR="00825096">
        <w:rPr>
          <w:rFonts w:ascii="Times" w:hAnsi="Times"/>
          <w:noProof/>
        </w:rPr>
        <w:t>2</w:t>
      </w:r>
      <w:r w:rsidRPr="00A52847">
        <w:rPr>
          <w:rFonts w:ascii="Times" w:hAnsi="Times"/>
        </w:rPr>
        <w:fldChar w:fldCharType="end"/>
      </w:r>
      <w:r>
        <w:rPr>
          <w:rFonts w:ascii="Times" w:hAnsi="Times"/>
          <w:i w:val="0"/>
        </w:rPr>
        <w:t xml:space="preserve"> </w:t>
      </w:r>
      <w:r w:rsidR="00B91BE1">
        <w:rPr>
          <w:rFonts w:ascii="Times" w:hAnsi="Times"/>
          <w:i w:val="0"/>
        </w:rPr>
        <w:t>The C</w:t>
      </w:r>
      <w:r w:rsidR="00B91BE1" w:rsidRPr="00B91BE1">
        <w:rPr>
          <w:rFonts w:ascii="Times" w:hAnsi="Times"/>
          <w:i w:val="0"/>
          <w:vertAlign w:val="subscript"/>
        </w:rPr>
        <w:t>55</w:t>
      </w:r>
      <w:r w:rsidR="00B91BE1">
        <w:rPr>
          <w:rFonts w:ascii="Times" w:hAnsi="Times"/>
          <w:i w:val="0"/>
        </w:rPr>
        <w:t>, Pt@Co</w:t>
      </w:r>
      <w:r w:rsidR="00B91BE1" w:rsidRPr="00B91BE1">
        <w:rPr>
          <w:rFonts w:ascii="Times" w:hAnsi="Times"/>
          <w:i w:val="0"/>
          <w:vertAlign w:val="subscript"/>
        </w:rPr>
        <w:t>54</w:t>
      </w:r>
      <w:r w:rsidR="00B91BE1">
        <w:rPr>
          <w:rFonts w:ascii="Times" w:hAnsi="Times"/>
          <w:i w:val="0"/>
        </w:rPr>
        <w:t>, and 2Pt@Co</w:t>
      </w:r>
      <w:r w:rsidR="00B91BE1" w:rsidRPr="00B91BE1">
        <w:rPr>
          <w:rFonts w:ascii="Times" w:hAnsi="Times"/>
          <w:i w:val="0"/>
          <w:vertAlign w:val="subscript"/>
        </w:rPr>
        <w:t>53</w:t>
      </w:r>
      <w:r w:rsidR="00B91BE1">
        <w:rPr>
          <w:rFonts w:ascii="Times" w:hAnsi="Times"/>
          <w:i w:val="0"/>
        </w:rPr>
        <w:t xml:space="preserve"> cluster</w:t>
      </w:r>
      <w:r w:rsidR="00B45787">
        <w:rPr>
          <w:rFonts w:ascii="Times" w:hAnsi="Times"/>
          <w:i w:val="0"/>
        </w:rPr>
        <w:t>s</w:t>
      </w:r>
      <w:r w:rsidR="00BE08BB">
        <w:rPr>
          <w:rFonts w:ascii="Times" w:hAnsi="Times"/>
          <w:i w:val="0"/>
        </w:rPr>
        <w:t>, respectively.</w:t>
      </w:r>
    </w:p>
    <w:p w14:paraId="3323C063" w14:textId="7D987319" w:rsidR="006B1A5D" w:rsidRDefault="00B739BC" w:rsidP="00372CF7">
      <w:pPr>
        <w:jc w:val="both"/>
        <w:rPr>
          <w:rFonts w:ascii="Times" w:hAnsi="Times"/>
        </w:rPr>
      </w:pPr>
      <w:r>
        <w:rPr>
          <w:rFonts w:ascii="Times" w:hAnsi="Times"/>
        </w:rPr>
        <w:t xml:space="preserve">For single and double Pt atoms doping, </w:t>
      </w:r>
      <w:r w:rsidR="000E243C">
        <w:rPr>
          <w:rFonts w:ascii="Times" w:hAnsi="Times"/>
        </w:rPr>
        <w:t>t</w:t>
      </w:r>
      <w:r>
        <w:rPr>
          <w:rFonts w:ascii="Times" w:hAnsi="Times"/>
        </w:rPr>
        <w:t xml:space="preserve">he most stable configurations were shown </w:t>
      </w:r>
      <w:r w:rsidRPr="00A16733">
        <w:rPr>
          <w:rFonts w:ascii="Times" w:hAnsi="Times"/>
        </w:rPr>
        <w:t xml:space="preserve">in Fig. </w:t>
      </w:r>
      <w:r w:rsidR="00F8348D" w:rsidRPr="00A16733">
        <w:rPr>
          <w:rFonts w:ascii="Times" w:hAnsi="Times"/>
        </w:rPr>
        <w:t>2</w:t>
      </w:r>
      <w:r w:rsidRPr="00A16733">
        <w:rPr>
          <w:rFonts w:ascii="Times" w:hAnsi="Times"/>
        </w:rPr>
        <w:t>,</w:t>
      </w:r>
      <w:r>
        <w:rPr>
          <w:rFonts w:ascii="Times" w:hAnsi="Times"/>
        </w:rPr>
        <w:t xml:space="preserve"> denoted as Pt@Co</w:t>
      </w:r>
      <w:r w:rsidR="00E90A0E" w:rsidRPr="00E90A0E">
        <w:rPr>
          <w:rFonts w:ascii="Times" w:hAnsi="Times"/>
          <w:vertAlign w:val="subscript"/>
        </w:rPr>
        <w:t>54</w:t>
      </w:r>
      <w:r>
        <w:rPr>
          <w:rFonts w:ascii="Times" w:hAnsi="Times"/>
        </w:rPr>
        <w:t xml:space="preserve"> and 2Pt@Co</w:t>
      </w:r>
      <w:r w:rsidR="00E90A0E" w:rsidRPr="00E90A0E">
        <w:rPr>
          <w:rFonts w:ascii="Times" w:hAnsi="Times"/>
          <w:vertAlign w:val="subscript"/>
        </w:rPr>
        <w:t>53</w:t>
      </w:r>
      <w:r>
        <w:rPr>
          <w:rFonts w:ascii="Times" w:hAnsi="Times"/>
        </w:rPr>
        <w:t>, respectively.</w:t>
      </w:r>
      <w:r w:rsidR="005A6E7E">
        <w:rPr>
          <w:rFonts w:ascii="Times" w:hAnsi="Times"/>
        </w:rPr>
        <w:t xml:space="preserve"> For </w:t>
      </w:r>
      <w:r w:rsidR="00AC4D0E">
        <w:rPr>
          <w:rFonts w:ascii="Times" w:hAnsi="Times"/>
        </w:rPr>
        <w:t xml:space="preserve">single </w:t>
      </w:r>
      <w:r w:rsidR="005A6E7E">
        <w:rPr>
          <w:rFonts w:ascii="Times" w:hAnsi="Times"/>
        </w:rPr>
        <w:t>Pt doping</w:t>
      </w:r>
      <w:r w:rsidR="007259CE">
        <w:rPr>
          <w:rFonts w:ascii="Times" w:hAnsi="Times"/>
        </w:rPr>
        <w:t>, Pt@C</w:t>
      </w:r>
      <w:r w:rsidR="007259CE" w:rsidRPr="007259CE">
        <w:rPr>
          <w:rFonts w:ascii="Times" w:hAnsi="Times"/>
          <w:vertAlign w:val="subscript"/>
        </w:rPr>
        <w:t>54</w:t>
      </w:r>
      <w:r w:rsidR="005A6E7E">
        <w:rPr>
          <w:rFonts w:ascii="Times" w:hAnsi="Times"/>
        </w:rPr>
        <w:t xml:space="preserve">, the </w:t>
      </w:r>
      <w:r w:rsidR="00AC4D0E" w:rsidRPr="00AC4D0E">
        <w:rPr>
          <w:rFonts w:ascii="Times" w:hAnsi="Times"/>
        </w:rPr>
        <w:t>edge</w:t>
      </w:r>
      <w:r w:rsidR="005A6E7E" w:rsidRPr="00AC4D0E">
        <w:rPr>
          <w:rFonts w:ascii="Times" w:hAnsi="Times"/>
        </w:rPr>
        <w:t xml:space="preserve"> site</w:t>
      </w:r>
      <w:r w:rsidR="005A6E7E">
        <w:rPr>
          <w:rFonts w:ascii="Times" w:hAnsi="Times"/>
        </w:rPr>
        <w:t xml:space="preserve"> is the most favourite site, </w:t>
      </w:r>
      <w:r w:rsidR="00AC4D0E">
        <w:rPr>
          <w:rFonts w:ascii="Times" w:hAnsi="Times"/>
        </w:rPr>
        <w:t>by lower the second lowest, the corner site, by 0.15 eV. The le</w:t>
      </w:r>
      <w:r w:rsidR="009526CF">
        <w:rPr>
          <w:rFonts w:ascii="Times" w:hAnsi="Times"/>
        </w:rPr>
        <w:t>a</w:t>
      </w:r>
      <w:r w:rsidR="00AC4D0E">
        <w:rPr>
          <w:rFonts w:ascii="Times" w:hAnsi="Times"/>
        </w:rPr>
        <w:t>st favourite site</w:t>
      </w:r>
      <w:r w:rsidR="00FA11E5">
        <w:rPr>
          <w:rFonts w:ascii="Times" w:hAnsi="Times"/>
        </w:rPr>
        <w:t xml:space="preserve"> is the body site. A</w:t>
      </w:r>
      <w:r w:rsidR="00B61978">
        <w:rPr>
          <w:rFonts w:ascii="Times" w:hAnsi="Times"/>
        </w:rPr>
        <w:t xml:space="preserve">s the doping ratio increases, the most stable 2Pt@Co configuration is the one where two Pt atoms doping at both edge and body site. Hence, </w:t>
      </w:r>
      <w:r w:rsidR="0018341D">
        <w:rPr>
          <w:rFonts w:ascii="Times" w:hAnsi="Times"/>
        </w:rPr>
        <w:t xml:space="preserve">for more than one Pt atoms doped </w:t>
      </w:r>
      <w:proofErr w:type="spellStart"/>
      <w:r w:rsidR="0018341D">
        <w:rPr>
          <w:rFonts w:ascii="Times" w:hAnsi="Times"/>
        </w:rPr>
        <w:t>Pt@Co</w:t>
      </w:r>
      <w:proofErr w:type="spellEnd"/>
      <w:r w:rsidR="0018341D">
        <w:rPr>
          <w:rFonts w:ascii="Times" w:hAnsi="Times"/>
        </w:rPr>
        <w:t xml:space="preserve"> alloy cluster, </w:t>
      </w:r>
      <w:r w:rsidR="007259CE">
        <w:rPr>
          <w:rFonts w:ascii="Times" w:hAnsi="Times"/>
        </w:rPr>
        <w:t xml:space="preserve">only one </w:t>
      </w:r>
      <w:r w:rsidR="002D1F53">
        <w:rPr>
          <w:rFonts w:ascii="Times" w:hAnsi="Times"/>
        </w:rPr>
        <w:t xml:space="preserve">Pt </w:t>
      </w:r>
      <w:r w:rsidR="007259CE">
        <w:rPr>
          <w:rFonts w:ascii="Times" w:hAnsi="Times"/>
        </w:rPr>
        <w:t xml:space="preserve">atom </w:t>
      </w:r>
      <w:r w:rsidR="002D1F53">
        <w:rPr>
          <w:rFonts w:ascii="Times" w:hAnsi="Times"/>
        </w:rPr>
        <w:t xml:space="preserve">tends to dope on the </w:t>
      </w:r>
      <w:r w:rsidR="007259CE">
        <w:rPr>
          <w:rFonts w:ascii="Times" w:hAnsi="Times"/>
        </w:rPr>
        <w:t xml:space="preserve">outer </w:t>
      </w:r>
      <w:r w:rsidR="002D1F53">
        <w:rPr>
          <w:rFonts w:ascii="Times" w:hAnsi="Times"/>
        </w:rPr>
        <w:t>surface of the cluster</w:t>
      </w:r>
      <w:r w:rsidR="00B61978">
        <w:rPr>
          <w:rFonts w:ascii="Times" w:hAnsi="Times"/>
        </w:rPr>
        <w:t xml:space="preserve">. </w:t>
      </w:r>
      <w:r w:rsidR="0018341D">
        <w:rPr>
          <w:rFonts w:ascii="Times" w:hAnsi="Times"/>
        </w:rPr>
        <w:t xml:space="preserve">Others choose the body sites to dope. </w:t>
      </w:r>
      <w:r w:rsidR="00B61978">
        <w:rPr>
          <w:rFonts w:ascii="Times" w:hAnsi="Times"/>
        </w:rPr>
        <w:t xml:space="preserve">Obviously, only the outer doped Pt could provide active site for HER. </w:t>
      </w:r>
      <w:r w:rsidR="0018341D">
        <w:rPr>
          <w:rFonts w:ascii="Times" w:hAnsi="Times"/>
        </w:rPr>
        <w:t xml:space="preserve">It could be concluded that the HER performance would not </w:t>
      </w:r>
      <w:r w:rsidR="0080213F">
        <w:rPr>
          <w:rFonts w:ascii="Times" w:hAnsi="Times"/>
        </w:rPr>
        <w:t>be linear enhanced</w:t>
      </w:r>
      <w:r w:rsidR="0018341D">
        <w:rPr>
          <w:rFonts w:ascii="Times" w:hAnsi="Times"/>
        </w:rPr>
        <w:t xml:space="preserve"> as the Pt doping ratio increases.</w:t>
      </w:r>
      <w:r w:rsidR="0080213F">
        <w:rPr>
          <w:rFonts w:ascii="Times" w:hAnsi="Times"/>
        </w:rPr>
        <w:t xml:space="preserve"> This is also in line with the experimental observations in our study.</w:t>
      </w:r>
    </w:p>
    <w:p w14:paraId="27B9AD09" w14:textId="77777777" w:rsidR="0047387C" w:rsidRDefault="0047387C" w:rsidP="00372CF7">
      <w:pPr>
        <w:jc w:val="both"/>
        <w:rPr>
          <w:rFonts w:ascii="Times" w:hAnsi="Times"/>
        </w:rPr>
      </w:pPr>
    </w:p>
    <w:p w14:paraId="192FE9CB" w14:textId="1DB1F8AD" w:rsidR="0047387C" w:rsidRDefault="0047387C" w:rsidP="00372CF7">
      <w:pPr>
        <w:jc w:val="both"/>
        <w:rPr>
          <w:rFonts w:ascii="Times" w:hAnsi="Times"/>
        </w:rPr>
      </w:pPr>
      <w:r>
        <w:rPr>
          <w:rFonts w:ascii="Times" w:hAnsi="Times"/>
        </w:rPr>
        <w:t>The core-shell structure</w:t>
      </w:r>
      <w:r w:rsidR="00E1515F">
        <w:rPr>
          <w:rFonts w:ascii="Times" w:hAnsi="Times"/>
        </w:rPr>
        <w:t xml:space="preserve">, </w:t>
      </w:r>
      <w:proofErr w:type="spellStart"/>
      <w:r w:rsidR="00E1515F">
        <w:rPr>
          <w:rFonts w:ascii="Times" w:hAnsi="Times"/>
        </w:rPr>
        <w:t>Pt@Co@C</w:t>
      </w:r>
      <w:proofErr w:type="spellEnd"/>
      <w:r w:rsidR="00E1515F">
        <w:rPr>
          <w:rFonts w:ascii="Times" w:hAnsi="Times"/>
        </w:rPr>
        <w:t>,</w:t>
      </w:r>
      <w:r>
        <w:rPr>
          <w:rFonts w:ascii="Times" w:hAnsi="Times"/>
        </w:rPr>
        <w:t xml:space="preserve"> was built </w:t>
      </w:r>
      <w:r w:rsidR="005A6E7E">
        <w:rPr>
          <w:rFonts w:ascii="Times" w:hAnsi="Times"/>
        </w:rPr>
        <w:t>using C</w:t>
      </w:r>
      <w:r w:rsidR="005A6E7E" w:rsidRPr="005A6E7E">
        <w:rPr>
          <w:rFonts w:ascii="Times" w:hAnsi="Times"/>
          <w:vertAlign w:val="subscript"/>
        </w:rPr>
        <w:t>240</w:t>
      </w:r>
      <w:r w:rsidR="005A6E7E">
        <w:rPr>
          <w:rFonts w:ascii="Times" w:hAnsi="Times"/>
        </w:rPr>
        <w:t xml:space="preserve"> as the shell and the alloy cluster </w:t>
      </w:r>
      <w:r w:rsidR="00372CF7">
        <w:rPr>
          <w:rFonts w:ascii="Times" w:hAnsi="Times"/>
        </w:rPr>
        <w:t xml:space="preserve">as the core </w:t>
      </w:r>
      <w:r w:rsidR="005A6E7E">
        <w:rPr>
          <w:rFonts w:ascii="Times" w:hAnsi="Times"/>
        </w:rPr>
        <w:t>in the mass-centred position. The</w:t>
      </w:r>
      <w:r w:rsidR="00DD244D">
        <w:rPr>
          <w:rFonts w:ascii="Times" w:hAnsi="Times"/>
        </w:rPr>
        <w:t xml:space="preserve"> charge difference</w:t>
      </w:r>
      <w:r w:rsidR="0080213F">
        <w:rPr>
          <w:rFonts w:ascii="Times" w:hAnsi="Times"/>
        </w:rPr>
        <w:t>s</w:t>
      </w:r>
      <w:r w:rsidR="00DD244D">
        <w:rPr>
          <w:rFonts w:ascii="Times" w:hAnsi="Times"/>
        </w:rPr>
        <w:t xml:space="preserve"> of the</w:t>
      </w:r>
      <w:r w:rsidR="005A6E7E">
        <w:rPr>
          <w:rFonts w:ascii="Times" w:hAnsi="Times"/>
        </w:rPr>
        <w:t xml:space="preserve"> relaxed core-shell structure</w:t>
      </w:r>
      <w:r w:rsidR="0080213F">
        <w:rPr>
          <w:rFonts w:ascii="Times" w:hAnsi="Times"/>
        </w:rPr>
        <w:t>s were</w:t>
      </w:r>
      <w:r w:rsidR="005A6E7E">
        <w:rPr>
          <w:rFonts w:ascii="Times" w:hAnsi="Times"/>
        </w:rPr>
        <w:t xml:space="preserve"> shown </w:t>
      </w:r>
      <w:r w:rsidR="005A6E7E" w:rsidRPr="00825096">
        <w:rPr>
          <w:rFonts w:ascii="Times" w:hAnsi="Times"/>
        </w:rPr>
        <w:t xml:space="preserve">in Fig. </w:t>
      </w:r>
      <w:r w:rsidR="00825096" w:rsidRPr="00825096">
        <w:rPr>
          <w:rFonts w:ascii="Times" w:hAnsi="Times"/>
        </w:rPr>
        <w:t>4</w:t>
      </w:r>
      <w:r w:rsidR="005A6E7E" w:rsidRPr="00825096">
        <w:rPr>
          <w:rFonts w:ascii="Times" w:hAnsi="Times"/>
        </w:rPr>
        <w:t>.</w:t>
      </w:r>
      <w:r w:rsidR="00372CF7" w:rsidRPr="00825096">
        <w:rPr>
          <w:rFonts w:ascii="Times" w:hAnsi="Times"/>
        </w:rPr>
        <w:t xml:space="preserve"> The possible</w:t>
      </w:r>
      <w:r w:rsidR="00372CF7">
        <w:rPr>
          <w:rFonts w:ascii="Times" w:hAnsi="Times"/>
        </w:rPr>
        <w:t xml:space="preserve"> reaction site</w:t>
      </w:r>
      <w:r w:rsidR="00FC63E6">
        <w:rPr>
          <w:rFonts w:ascii="Times" w:hAnsi="Times"/>
        </w:rPr>
        <w:t>s</w:t>
      </w:r>
      <w:r w:rsidR="00372CF7">
        <w:rPr>
          <w:rFonts w:ascii="Times" w:hAnsi="Times"/>
        </w:rPr>
        <w:t xml:space="preserve"> (*)</w:t>
      </w:r>
      <w:r w:rsidR="0080213F">
        <w:rPr>
          <w:rFonts w:ascii="Times" w:hAnsi="Times"/>
        </w:rPr>
        <w:t xml:space="preserve"> were</w:t>
      </w:r>
      <w:r w:rsidR="00372CF7">
        <w:rPr>
          <w:rFonts w:ascii="Times" w:hAnsi="Times"/>
        </w:rPr>
        <w:t xml:space="preserve"> denoted in </w:t>
      </w:r>
      <w:r w:rsidR="00372CF7" w:rsidRPr="006D4713">
        <w:rPr>
          <w:rFonts w:ascii="Times" w:hAnsi="Times"/>
        </w:rPr>
        <w:t xml:space="preserve">Fig. </w:t>
      </w:r>
      <w:r w:rsidR="006D4713" w:rsidRPr="006D4713">
        <w:rPr>
          <w:rFonts w:ascii="Times" w:hAnsi="Times"/>
        </w:rPr>
        <w:t>3</w:t>
      </w:r>
      <w:r w:rsidR="00372CF7" w:rsidRPr="006D4713">
        <w:rPr>
          <w:rFonts w:ascii="Times" w:hAnsi="Times"/>
        </w:rPr>
        <w:t>.</w:t>
      </w:r>
      <w:r w:rsidR="00372CF7">
        <w:rPr>
          <w:rFonts w:ascii="Times" w:hAnsi="Times"/>
        </w:rPr>
        <w:t xml:space="preserve"> </w:t>
      </w:r>
    </w:p>
    <w:p w14:paraId="01D9B6CE" w14:textId="53E15B31" w:rsidR="008A0FB1" w:rsidRDefault="00B739BC">
      <w:pPr>
        <w:rPr>
          <w:rFonts w:ascii="Times" w:hAnsi="Times"/>
        </w:rPr>
      </w:pPr>
      <w:r>
        <w:rPr>
          <w:rFonts w:ascii="Times" w:hAnsi="Times"/>
        </w:rPr>
        <w:t xml:space="preserve"> </w:t>
      </w:r>
    </w:p>
    <w:p w14:paraId="6A0120D7" w14:textId="3ED2E895" w:rsidR="00FC63E6" w:rsidRDefault="002E48A5" w:rsidP="00FC63E6">
      <w:pPr>
        <w:keepNext/>
        <w:jc w:val="center"/>
      </w:pPr>
      <w:r>
        <w:rPr>
          <w:noProof/>
        </w:rPr>
        <w:lastRenderedPageBreak/>
        <w:drawing>
          <wp:inline distT="0" distB="0" distL="0" distR="0" wp14:anchorId="3C316C61" wp14:editId="101F091C">
            <wp:extent cx="3361267" cy="153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ctive sites.jpg"/>
                    <pic:cNvPicPr/>
                  </pic:nvPicPr>
                  <pic:blipFill rotWithShape="1">
                    <a:blip r:embed="rId9">
                      <a:extLst>
                        <a:ext uri="{28A0092B-C50C-407E-A947-70E740481C1C}">
                          <a14:useLocalDpi xmlns:a14="http://schemas.microsoft.com/office/drawing/2010/main" val="0"/>
                        </a:ext>
                      </a:extLst>
                    </a:blip>
                    <a:srcRect l="17298" t="20489" r="24004" b="31968"/>
                    <a:stretch/>
                  </pic:blipFill>
                  <pic:spPr bwMode="auto">
                    <a:xfrm>
                      <a:off x="0" y="0"/>
                      <a:ext cx="3362071" cy="1532467"/>
                    </a:xfrm>
                    <a:prstGeom prst="rect">
                      <a:avLst/>
                    </a:prstGeom>
                    <a:ln>
                      <a:noFill/>
                    </a:ln>
                    <a:extLst>
                      <a:ext uri="{53640926-AAD7-44D8-BBD7-CCE9431645EC}">
                        <a14:shadowObscured xmlns:a14="http://schemas.microsoft.com/office/drawing/2010/main"/>
                      </a:ext>
                    </a:extLst>
                  </pic:spPr>
                </pic:pic>
              </a:graphicData>
            </a:graphic>
          </wp:inline>
        </w:drawing>
      </w:r>
    </w:p>
    <w:p w14:paraId="2B63EEF1" w14:textId="7672B6AA" w:rsidR="002400C7" w:rsidRPr="00FC63E6" w:rsidRDefault="00FC63E6" w:rsidP="00FC63E6">
      <w:pPr>
        <w:pStyle w:val="Caption"/>
        <w:jc w:val="both"/>
        <w:rPr>
          <w:rFonts w:ascii="Times" w:hAnsi="Times"/>
          <w:i w:val="0"/>
        </w:rPr>
      </w:pPr>
      <w:r w:rsidRPr="00FC63E6">
        <w:rPr>
          <w:rFonts w:ascii="Times" w:hAnsi="Times"/>
        </w:rPr>
        <w:t xml:space="preserve">Figure </w:t>
      </w:r>
      <w:r w:rsidRPr="00FC63E6">
        <w:rPr>
          <w:rFonts w:ascii="Times" w:hAnsi="Times"/>
        </w:rPr>
        <w:fldChar w:fldCharType="begin"/>
      </w:r>
      <w:r w:rsidRPr="00FC63E6">
        <w:rPr>
          <w:rFonts w:ascii="Times" w:hAnsi="Times"/>
        </w:rPr>
        <w:instrText xml:space="preserve"> SEQ Figure \* ARABIC </w:instrText>
      </w:r>
      <w:r w:rsidRPr="00FC63E6">
        <w:rPr>
          <w:rFonts w:ascii="Times" w:hAnsi="Times"/>
        </w:rPr>
        <w:fldChar w:fldCharType="separate"/>
      </w:r>
      <w:r w:rsidR="00825096">
        <w:rPr>
          <w:rFonts w:ascii="Times" w:hAnsi="Times"/>
          <w:noProof/>
        </w:rPr>
        <w:t>3</w:t>
      </w:r>
      <w:r w:rsidRPr="00FC63E6">
        <w:rPr>
          <w:rFonts w:ascii="Times" w:hAnsi="Times"/>
        </w:rPr>
        <w:fldChar w:fldCharType="end"/>
      </w:r>
      <w:r>
        <w:rPr>
          <w:rFonts w:ascii="Times" w:hAnsi="Times"/>
          <w:i w:val="0"/>
        </w:rPr>
        <w:t xml:space="preserve"> The possible reaction sites for C</w:t>
      </w:r>
      <w:r w:rsidRPr="00FC63E6">
        <w:rPr>
          <w:rFonts w:ascii="Times" w:hAnsi="Times"/>
          <w:i w:val="0"/>
          <w:vertAlign w:val="subscript"/>
        </w:rPr>
        <w:t>240</w:t>
      </w:r>
      <w:r>
        <w:rPr>
          <w:rFonts w:ascii="Times" w:hAnsi="Times"/>
          <w:i w:val="0"/>
        </w:rPr>
        <w:t xml:space="preserve"> and </w:t>
      </w:r>
      <w:proofErr w:type="spellStart"/>
      <w:r>
        <w:rPr>
          <w:rFonts w:ascii="Times" w:hAnsi="Times"/>
          <w:i w:val="0"/>
        </w:rPr>
        <w:t>Pt@Co@C</w:t>
      </w:r>
      <w:proofErr w:type="spellEnd"/>
      <w:r>
        <w:rPr>
          <w:rFonts w:ascii="Times" w:hAnsi="Times"/>
          <w:i w:val="0"/>
        </w:rPr>
        <w:t>, respectively. The equivalent sites are denoted in the same colour.</w:t>
      </w:r>
    </w:p>
    <w:p w14:paraId="5C847DD1" w14:textId="77777777" w:rsidR="006B1A5D" w:rsidRDefault="006B1A5D">
      <w:pPr>
        <w:rPr>
          <w:rFonts w:ascii="Times" w:hAnsi="Times"/>
          <w:i/>
        </w:rPr>
      </w:pPr>
    </w:p>
    <w:p w14:paraId="4DB61346" w14:textId="77777777" w:rsidR="00825096" w:rsidRDefault="006B1A5D" w:rsidP="00825096">
      <w:pPr>
        <w:keepNext/>
      </w:pPr>
      <w:r>
        <w:rPr>
          <w:rFonts w:ascii="Times" w:hAnsi="Times"/>
          <w:noProof/>
        </w:rPr>
        <w:drawing>
          <wp:inline distT="0" distB="0" distL="0" distR="0" wp14:anchorId="59C6DF01" wp14:editId="6C97E316">
            <wp:extent cx="572674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g_diff.jpg"/>
                    <pic:cNvPicPr/>
                  </pic:nvPicPr>
                  <pic:blipFill rotWithShape="1">
                    <a:blip r:embed="rId10">
                      <a:extLst>
                        <a:ext uri="{28A0092B-C50C-407E-A947-70E740481C1C}">
                          <a14:useLocalDpi xmlns:a14="http://schemas.microsoft.com/office/drawing/2010/main" val="0"/>
                        </a:ext>
                      </a:extLst>
                    </a:blip>
                    <a:srcRect t="21539" b="19349"/>
                    <a:stretch/>
                  </pic:blipFill>
                  <pic:spPr bwMode="auto">
                    <a:xfrm>
                      <a:off x="0" y="0"/>
                      <a:ext cx="5727700" cy="1905319"/>
                    </a:xfrm>
                    <a:prstGeom prst="rect">
                      <a:avLst/>
                    </a:prstGeom>
                    <a:ln>
                      <a:noFill/>
                    </a:ln>
                    <a:extLst>
                      <a:ext uri="{53640926-AAD7-44D8-BBD7-CCE9431645EC}">
                        <a14:shadowObscured xmlns:a14="http://schemas.microsoft.com/office/drawing/2010/main"/>
                      </a:ext>
                    </a:extLst>
                  </pic:spPr>
                </pic:pic>
              </a:graphicData>
            </a:graphic>
          </wp:inline>
        </w:drawing>
      </w:r>
    </w:p>
    <w:p w14:paraId="61DB9EF4" w14:textId="355F9DC3" w:rsidR="006B1A5D" w:rsidRDefault="00825096" w:rsidP="00825096">
      <w:pPr>
        <w:pStyle w:val="Caption"/>
        <w:rPr>
          <w:rFonts w:ascii="Times" w:hAnsi="Times"/>
          <w:i w:val="0"/>
        </w:rPr>
      </w:pPr>
      <w:r w:rsidRPr="00825096">
        <w:rPr>
          <w:rFonts w:ascii="Times" w:hAnsi="Times"/>
        </w:rPr>
        <w:t xml:space="preserve">Figure </w:t>
      </w:r>
      <w:r w:rsidRPr="00825096">
        <w:rPr>
          <w:rFonts w:ascii="Times" w:hAnsi="Times"/>
        </w:rPr>
        <w:fldChar w:fldCharType="begin"/>
      </w:r>
      <w:r w:rsidRPr="00825096">
        <w:rPr>
          <w:rFonts w:ascii="Times" w:hAnsi="Times"/>
        </w:rPr>
        <w:instrText xml:space="preserve"> SEQ Figure \* ARABIC </w:instrText>
      </w:r>
      <w:r w:rsidRPr="00825096">
        <w:rPr>
          <w:rFonts w:ascii="Times" w:hAnsi="Times"/>
        </w:rPr>
        <w:fldChar w:fldCharType="separate"/>
      </w:r>
      <w:r w:rsidRPr="00825096">
        <w:rPr>
          <w:rFonts w:ascii="Times" w:hAnsi="Times"/>
          <w:noProof/>
        </w:rPr>
        <w:t>4</w:t>
      </w:r>
      <w:r w:rsidRPr="00825096">
        <w:rPr>
          <w:rFonts w:ascii="Times" w:hAnsi="Times"/>
        </w:rPr>
        <w:fldChar w:fldCharType="end"/>
      </w:r>
      <w:r w:rsidRPr="00825096">
        <w:rPr>
          <w:rFonts w:ascii="Times" w:hAnsi="Times"/>
        </w:rPr>
        <w:t xml:space="preserve"> </w:t>
      </w:r>
      <w:r w:rsidRPr="00825096">
        <w:rPr>
          <w:rFonts w:ascii="Times" w:hAnsi="Times"/>
          <w:i w:val="0"/>
        </w:rPr>
        <w:t>The charge difference of core-shell structures for Co</w:t>
      </w:r>
      <w:r w:rsidRPr="00825096">
        <w:rPr>
          <w:rFonts w:ascii="Times" w:hAnsi="Times"/>
          <w:i w:val="0"/>
          <w:vertAlign w:val="subscript"/>
        </w:rPr>
        <w:t>55</w:t>
      </w:r>
      <w:r w:rsidRPr="00825096">
        <w:rPr>
          <w:rFonts w:ascii="Times" w:hAnsi="Times"/>
          <w:i w:val="0"/>
        </w:rPr>
        <w:t>@C</w:t>
      </w:r>
      <w:r w:rsidRPr="00825096">
        <w:rPr>
          <w:rFonts w:ascii="Times" w:hAnsi="Times"/>
          <w:i w:val="0"/>
          <w:vertAlign w:val="subscript"/>
        </w:rPr>
        <w:t>240</w:t>
      </w:r>
      <w:r w:rsidRPr="00825096">
        <w:rPr>
          <w:rFonts w:ascii="Times" w:hAnsi="Times"/>
          <w:i w:val="0"/>
        </w:rPr>
        <w:t>, PtCo</w:t>
      </w:r>
      <w:r w:rsidRPr="00825096">
        <w:rPr>
          <w:rFonts w:ascii="Times" w:hAnsi="Times"/>
          <w:i w:val="0"/>
          <w:vertAlign w:val="subscript"/>
        </w:rPr>
        <w:t>54</w:t>
      </w:r>
      <w:r w:rsidRPr="00825096">
        <w:rPr>
          <w:rFonts w:ascii="Times" w:hAnsi="Times"/>
          <w:i w:val="0"/>
        </w:rPr>
        <w:t>@C</w:t>
      </w:r>
      <w:r w:rsidRPr="00825096">
        <w:rPr>
          <w:rFonts w:ascii="Times" w:hAnsi="Times"/>
          <w:i w:val="0"/>
          <w:vertAlign w:val="subscript"/>
        </w:rPr>
        <w:t>240</w:t>
      </w:r>
      <w:r w:rsidRPr="00825096">
        <w:rPr>
          <w:rFonts w:ascii="Times" w:hAnsi="Times"/>
          <w:i w:val="0"/>
        </w:rPr>
        <w:t xml:space="preserve"> and Pt</w:t>
      </w:r>
      <w:r w:rsidRPr="00825096">
        <w:rPr>
          <w:rFonts w:ascii="Times" w:hAnsi="Times"/>
          <w:i w:val="0"/>
          <w:vertAlign w:val="subscript"/>
        </w:rPr>
        <w:t>2</w:t>
      </w:r>
      <w:r w:rsidRPr="00825096">
        <w:rPr>
          <w:rFonts w:ascii="Times" w:hAnsi="Times"/>
          <w:i w:val="0"/>
        </w:rPr>
        <w:t>Co</w:t>
      </w:r>
      <w:r w:rsidRPr="00825096">
        <w:rPr>
          <w:rFonts w:ascii="Times" w:hAnsi="Times"/>
          <w:i w:val="0"/>
          <w:vertAlign w:val="subscript"/>
        </w:rPr>
        <w:t>53</w:t>
      </w:r>
      <w:r w:rsidRPr="00825096">
        <w:rPr>
          <w:rFonts w:ascii="Times" w:hAnsi="Times"/>
          <w:i w:val="0"/>
        </w:rPr>
        <w:t>@C</w:t>
      </w:r>
      <w:r w:rsidRPr="00825096">
        <w:rPr>
          <w:rFonts w:ascii="Times" w:hAnsi="Times"/>
          <w:i w:val="0"/>
          <w:vertAlign w:val="subscript"/>
        </w:rPr>
        <w:t>240</w:t>
      </w:r>
      <w:r w:rsidRPr="00825096">
        <w:rPr>
          <w:rFonts w:ascii="Times" w:hAnsi="Times"/>
          <w:i w:val="0"/>
        </w:rPr>
        <w:t xml:space="preserve">, respectively. The </w:t>
      </w:r>
      <w:proofErr w:type="spellStart"/>
      <w:r w:rsidRPr="00825096">
        <w:rPr>
          <w:rFonts w:ascii="Times" w:hAnsi="Times"/>
          <w:i w:val="0"/>
        </w:rPr>
        <w:t>isosurface</w:t>
      </w:r>
      <w:proofErr w:type="spellEnd"/>
      <w:r w:rsidRPr="00825096">
        <w:rPr>
          <w:rFonts w:ascii="Times" w:hAnsi="Times"/>
          <w:i w:val="0"/>
        </w:rPr>
        <w:t xml:space="preserve"> is set to 0.001 e/Bohr</w:t>
      </w:r>
      <w:r w:rsidRPr="00825096">
        <w:rPr>
          <w:rFonts w:ascii="Times" w:hAnsi="Times"/>
          <w:i w:val="0"/>
          <w:vertAlign w:val="superscript"/>
        </w:rPr>
        <w:t>3</w:t>
      </w:r>
      <w:r w:rsidRPr="00825096">
        <w:rPr>
          <w:rFonts w:ascii="Times" w:hAnsi="Times"/>
          <w:i w:val="0"/>
        </w:rPr>
        <w:t>.</w:t>
      </w:r>
    </w:p>
    <w:p w14:paraId="603570E3" w14:textId="77777777" w:rsidR="00221675" w:rsidRDefault="00221675" w:rsidP="00221675"/>
    <w:p w14:paraId="7D38A5FA" w14:textId="68989639" w:rsidR="00221675" w:rsidRDefault="00221675" w:rsidP="00221675">
      <w:pPr>
        <w:rPr>
          <w:sz w:val="36"/>
        </w:rPr>
      </w:pPr>
      <w:r w:rsidRPr="00221675">
        <w:rPr>
          <w:sz w:val="36"/>
          <w:highlight w:val="lightGray"/>
        </w:rPr>
        <w:t>FOR THE JOURNAL PAPER</w:t>
      </w:r>
    </w:p>
    <w:p w14:paraId="396893B7" w14:textId="77777777" w:rsidR="00221675" w:rsidRPr="00221675" w:rsidRDefault="00221675" w:rsidP="00221675">
      <w:pPr>
        <w:rPr>
          <w:rFonts w:ascii="Arial" w:hAnsi="Arial" w:cs="Arial"/>
          <w:b/>
          <w:sz w:val="56"/>
        </w:rPr>
      </w:pPr>
    </w:p>
    <w:p w14:paraId="6B01352C" w14:textId="543B9B81" w:rsidR="00440B2C" w:rsidRPr="00E80FE8" w:rsidRDefault="00F92173" w:rsidP="00440B2C">
      <w:pPr>
        <w:jc w:val="both"/>
        <w:rPr>
          <w:rFonts w:ascii="Times" w:hAnsi="Times"/>
        </w:rPr>
      </w:pPr>
      <w:r>
        <w:rPr>
          <w:rFonts w:ascii="Times" w:hAnsi="Times"/>
        </w:rPr>
        <w:t xml:space="preserve">Density Functional </w:t>
      </w:r>
      <w:r w:rsidR="00675948">
        <w:rPr>
          <w:rFonts w:ascii="Times" w:hAnsi="Times"/>
        </w:rPr>
        <w:t xml:space="preserve">Theory (DFT) </w:t>
      </w:r>
      <w:r w:rsidR="00E80FE8">
        <w:rPr>
          <w:rFonts w:ascii="Times" w:hAnsi="Times"/>
        </w:rPr>
        <w:t>calculations were</w:t>
      </w:r>
      <w:r w:rsidR="00675948">
        <w:rPr>
          <w:rFonts w:ascii="Times" w:hAnsi="Times"/>
        </w:rPr>
        <w:t xml:space="preserve"> adopted to screen out go</w:t>
      </w:r>
      <w:r w:rsidR="00CE377F">
        <w:rPr>
          <w:rFonts w:ascii="Times" w:hAnsi="Times"/>
        </w:rPr>
        <w:t>od catalysts of Pt dop</w:t>
      </w:r>
      <w:r w:rsidR="00C2177B">
        <w:rPr>
          <w:rFonts w:ascii="Times" w:hAnsi="Times"/>
        </w:rPr>
        <w:t>ed</w:t>
      </w:r>
      <w:r w:rsidR="00CE377F">
        <w:rPr>
          <w:rFonts w:ascii="Times" w:hAnsi="Times"/>
        </w:rPr>
        <w:t xml:space="preserve"> Co clusters</w:t>
      </w:r>
      <w:r w:rsidR="00675948">
        <w:rPr>
          <w:rFonts w:ascii="Times" w:hAnsi="Times"/>
        </w:rPr>
        <w:t xml:space="preserve"> and </w:t>
      </w:r>
      <w:r w:rsidR="00CE377F">
        <w:rPr>
          <w:rFonts w:ascii="Times" w:hAnsi="Times"/>
        </w:rPr>
        <w:t xml:space="preserve">further modification of </w:t>
      </w:r>
      <w:r w:rsidR="00675948">
        <w:rPr>
          <w:rFonts w:ascii="Times" w:hAnsi="Times"/>
        </w:rPr>
        <w:t>carbon coating.</w:t>
      </w:r>
      <w:r w:rsidR="00440B2C">
        <w:rPr>
          <w:rFonts w:ascii="Times" w:hAnsi="Times"/>
        </w:rPr>
        <w:t xml:space="preserve"> Predominately,</w:t>
      </w:r>
      <w:r w:rsidR="00675948">
        <w:rPr>
          <w:rFonts w:ascii="Times" w:hAnsi="Times"/>
        </w:rPr>
        <w:t xml:space="preserve"> </w:t>
      </w:r>
      <w:r w:rsidR="00ED0AA2">
        <w:rPr>
          <w:rFonts w:ascii="Times" w:hAnsi="Times"/>
        </w:rPr>
        <w:t>|</w:t>
      </w:r>
      <w:r w:rsidR="00327052">
        <w:rPr>
          <w:rFonts w:ascii="Times" w:hAnsi="Times"/>
        </w:rPr>
        <w:t>∆G(H</w:t>
      </w:r>
      <w:proofErr w:type="gramStart"/>
      <w:r w:rsidR="00327052" w:rsidRPr="00327052">
        <w:rPr>
          <w:rFonts w:ascii="Times" w:hAnsi="Times"/>
          <w:vertAlign w:val="superscript"/>
        </w:rPr>
        <w:t>*</w:t>
      </w:r>
      <w:r w:rsidR="00327052">
        <w:rPr>
          <w:rFonts w:ascii="Times" w:hAnsi="Times"/>
        </w:rPr>
        <w:t>)</w:t>
      </w:r>
      <w:r w:rsidR="00ED0AA2">
        <w:rPr>
          <w:rFonts w:ascii="Times" w:hAnsi="Times"/>
        </w:rPr>
        <w:t>|</w:t>
      </w:r>
      <w:proofErr w:type="gramEnd"/>
      <w:r w:rsidR="00ED0AA2">
        <w:rPr>
          <w:rFonts w:ascii="Times" w:hAnsi="Times"/>
        </w:rPr>
        <w:t xml:space="preserve"> </w:t>
      </w:r>
      <w:r w:rsidR="00CE377F">
        <w:rPr>
          <w:rFonts w:ascii="Times" w:hAnsi="Times"/>
        </w:rPr>
        <w:t xml:space="preserve">is a good descriptor for the HER and it </w:t>
      </w:r>
      <w:r w:rsidR="00ED0AA2">
        <w:rPr>
          <w:rFonts w:ascii="Times" w:hAnsi="Times"/>
        </w:rPr>
        <w:t>should be closed to zero to compromise for H</w:t>
      </w:r>
      <w:r w:rsidR="00ED0AA2" w:rsidRPr="00ED0AA2">
        <w:rPr>
          <w:rFonts w:ascii="Times" w:hAnsi="Times"/>
          <w:vertAlign w:val="superscript"/>
        </w:rPr>
        <w:t>*</w:t>
      </w:r>
      <w:r w:rsidR="00ED0AA2">
        <w:rPr>
          <w:rFonts w:ascii="Times" w:hAnsi="Times"/>
        </w:rPr>
        <w:t xml:space="preserve"> adsorption and desorption</w:t>
      </w:r>
      <w:r>
        <w:rPr>
          <w:rFonts w:ascii="Times" w:hAnsi="Times"/>
        </w:rPr>
        <w:t xml:space="preserve"> </w:t>
      </w:r>
      <w:r w:rsidR="00440B2C">
        <w:rPr>
          <w:rFonts w:ascii="Times" w:hAnsi="Times"/>
        </w:rPr>
        <w:t xml:space="preserve">within the </w:t>
      </w:r>
      <w:r>
        <w:rPr>
          <w:rFonts w:ascii="Times" w:hAnsi="Times"/>
        </w:rPr>
        <w:t>reactions</w:t>
      </w:r>
      <w:r w:rsidR="00ED0AA2">
        <w:rPr>
          <w:rFonts w:ascii="Times" w:hAnsi="Times"/>
        </w:rPr>
        <w:t>.</w:t>
      </w:r>
      <w:r w:rsidRPr="00F92173">
        <w:rPr>
          <w:rStyle w:val="EndnoteReference"/>
          <w:rFonts w:ascii="Times" w:hAnsi="Times"/>
        </w:rPr>
        <w:t xml:space="preserve"> </w:t>
      </w:r>
      <w:r>
        <w:rPr>
          <w:rStyle w:val="EndnoteReference"/>
          <w:rFonts w:ascii="Times" w:hAnsi="Times"/>
        </w:rPr>
        <w:endnoteReference w:id="4"/>
      </w:r>
      <w:r>
        <w:rPr>
          <w:rFonts w:ascii="Times" w:hAnsi="Times"/>
        </w:rPr>
        <w:t xml:space="preserve"> </w:t>
      </w:r>
      <w:r w:rsidR="00ED0AA2">
        <w:rPr>
          <w:rFonts w:ascii="Times" w:hAnsi="Times"/>
        </w:rPr>
        <w:t xml:space="preserve"> Our model</w:t>
      </w:r>
      <w:r w:rsidR="00440B2C">
        <w:rPr>
          <w:rFonts w:ascii="Times" w:hAnsi="Times"/>
        </w:rPr>
        <w:t>s</w:t>
      </w:r>
      <w:r w:rsidR="00ED0AA2">
        <w:rPr>
          <w:rFonts w:ascii="Times" w:hAnsi="Times"/>
        </w:rPr>
        <w:t xml:space="preserve"> </w:t>
      </w:r>
      <w:r w:rsidR="00E80FE8">
        <w:rPr>
          <w:rFonts w:ascii="Times" w:hAnsi="Times"/>
        </w:rPr>
        <w:t xml:space="preserve">have </w:t>
      </w:r>
      <w:bookmarkStart w:id="1" w:name="_GoBack"/>
      <w:bookmarkEnd w:id="1"/>
      <w:r w:rsidR="00440B2C">
        <w:rPr>
          <w:rFonts w:ascii="Times" w:hAnsi="Times"/>
        </w:rPr>
        <w:t>included</w:t>
      </w:r>
      <w:r w:rsidR="00ED0AA2">
        <w:rPr>
          <w:rFonts w:ascii="Times" w:hAnsi="Times"/>
        </w:rPr>
        <w:t xml:space="preserve"> the metal clusters, </w:t>
      </w:r>
      <w:r w:rsidR="00440B2C">
        <w:rPr>
          <w:rFonts w:ascii="Times" w:hAnsi="Times"/>
          <w:i/>
        </w:rPr>
        <w:t>i.e.</w:t>
      </w:r>
      <w:r w:rsidR="00ED0AA2">
        <w:rPr>
          <w:rFonts w:ascii="Times" w:hAnsi="Times"/>
        </w:rPr>
        <w:t xml:space="preserve"> Co cluster, and Pt doped Co clusters</w:t>
      </w:r>
      <w:r>
        <w:rPr>
          <w:rFonts w:ascii="Times" w:hAnsi="Times"/>
        </w:rPr>
        <w:t xml:space="preserve"> in different ratio</w:t>
      </w:r>
      <w:r w:rsidR="00ED0AA2">
        <w:rPr>
          <w:rFonts w:ascii="Times" w:hAnsi="Times"/>
        </w:rPr>
        <w:t xml:space="preserve">. </w:t>
      </w:r>
      <w:r w:rsidR="00C2177B">
        <w:rPr>
          <w:rFonts w:ascii="Times" w:hAnsi="Times"/>
        </w:rPr>
        <w:t>And t</w:t>
      </w:r>
      <w:r w:rsidR="00ED0AA2">
        <w:rPr>
          <w:rFonts w:ascii="Times" w:hAnsi="Times"/>
        </w:rPr>
        <w:t>he C</w:t>
      </w:r>
      <w:r w:rsidR="00ED0AA2" w:rsidRPr="00F92173">
        <w:rPr>
          <w:rFonts w:ascii="Times" w:hAnsi="Times"/>
          <w:vertAlign w:val="subscript"/>
        </w:rPr>
        <w:t>240</w:t>
      </w:r>
      <w:r w:rsidR="00F034A7">
        <w:rPr>
          <w:rFonts w:ascii="Times" w:hAnsi="Times"/>
        </w:rPr>
        <w:t xml:space="preserve"> fullerene ball to mimic the </w:t>
      </w:r>
      <w:r w:rsidR="00ED0AA2">
        <w:rPr>
          <w:rFonts w:ascii="Times" w:hAnsi="Times"/>
        </w:rPr>
        <w:t xml:space="preserve">outer carbon coating </w:t>
      </w:r>
      <w:r w:rsidR="00F034A7">
        <w:rPr>
          <w:rFonts w:ascii="Times" w:hAnsi="Times"/>
        </w:rPr>
        <w:t>for the metal clusters</w:t>
      </w:r>
      <w:r>
        <w:rPr>
          <w:rFonts w:ascii="Times" w:hAnsi="Times"/>
        </w:rPr>
        <w:t>, as previous studies</w:t>
      </w:r>
      <w:r w:rsidR="00F034A7">
        <w:rPr>
          <w:rFonts w:ascii="Times" w:hAnsi="Times"/>
        </w:rPr>
        <w:t>.</w:t>
      </w:r>
      <w:r>
        <w:rPr>
          <w:rStyle w:val="EndnoteReference"/>
          <w:rFonts w:ascii="Times" w:hAnsi="Times"/>
        </w:rPr>
        <w:endnoteReference w:id="5"/>
      </w:r>
      <w:r w:rsidRPr="00452EF7">
        <w:rPr>
          <w:rFonts w:ascii="Times" w:hAnsi="Times"/>
          <w:vertAlign w:val="superscript"/>
        </w:rPr>
        <w:t>,</w:t>
      </w:r>
      <w:r>
        <w:rPr>
          <w:rStyle w:val="EndnoteReference"/>
          <w:rFonts w:ascii="Times" w:hAnsi="Times"/>
        </w:rPr>
        <w:endnoteReference w:id="6"/>
      </w:r>
      <w:r w:rsidR="00F034A7">
        <w:rPr>
          <w:rFonts w:ascii="Times" w:hAnsi="Times"/>
        </w:rPr>
        <w:t xml:space="preserve"> </w:t>
      </w:r>
      <w:r w:rsidR="00452EF7">
        <w:rPr>
          <w:rFonts w:ascii="Times" w:hAnsi="Times"/>
        </w:rPr>
        <w:t xml:space="preserve">Unlike </w:t>
      </w:r>
      <w:r w:rsidR="00440B2C">
        <w:rPr>
          <w:rFonts w:ascii="Times" w:hAnsi="Times"/>
        </w:rPr>
        <w:t xml:space="preserve">the metal clusters used in </w:t>
      </w:r>
      <w:r w:rsidR="00452EF7">
        <w:rPr>
          <w:rFonts w:ascii="Times" w:hAnsi="Times"/>
        </w:rPr>
        <w:t>previous studies, which are simple cubic C</w:t>
      </w:r>
      <w:r w:rsidR="00452EF7" w:rsidRPr="00452EF7">
        <w:rPr>
          <w:rFonts w:ascii="Times" w:hAnsi="Times"/>
          <w:vertAlign w:val="subscript"/>
        </w:rPr>
        <w:t>55</w:t>
      </w:r>
      <w:r w:rsidR="00452EF7">
        <w:rPr>
          <w:rFonts w:ascii="Times" w:hAnsi="Times"/>
        </w:rPr>
        <w:t xml:space="preserve"> clusters, the Co</w:t>
      </w:r>
      <w:r w:rsidR="00452EF7" w:rsidRPr="00452EF7">
        <w:rPr>
          <w:rFonts w:ascii="Times" w:hAnsi="Times"/>
          <w:vertAlign w:val="subscript"/>
        </w:rPr>
        <w:t>55</w:t>
      </w:r>
      <w:r w:rsidR="00452EF7">
        <w:rPr>
          <w:rFonts w:ascii="Times" w:hAnsi="Times"/>
        </w:rPr>
        <w:t xml:space="preserve"> clusters in our study was adopted the global minima with the Gupta potential</w:t>
      </w:r>
      <w:r w:rsidR="00440B2C">
        <w:rPr>
          <w:rFonts w:ascii="Times" w:hAnsi="Times"/>
        </w:rPr>
        <w:t xml:space="preserve">, as shown in </w:t>
      </w:r>
      <w:r w:rsidR="00440B2C" w:rsidRPr="00440B2C">
        <w:rPr>
          <w:rFonts w:ascii="Times" w:hAnsi="Times"/>
          <w:highlight w:val="yellow"/>
        </w:rPr>
        <w:t>Fig. XX</w:t>
      </w:r>
      <w:r w:rsidR="00452EF7">
        <w:rPr>
          <w:rFonts w:ascii="Times" w:hAnsi="Times"/>
        </w:rPr>
        <w:t>.</w:t>
      </w:r>
      <w:r w:rsidR="00440B2C" w:rsidRPr="00440B2C">
        <w:rPr>
          <w:rFonts w:ascii="Times" w:hAnsi="Times"/>
          <w:vertAlign w:val="superscript"/>
        </w:rPr>
        <w:fldChar w:fldCharType="begin"/>
      </w:r>
      <w:r w:rsidR="00440B2C" w:rsidRPr="00440B2C">
        <w:rPr>
          <w:rFonts w:ascii="Times" w:hAnsi="Times"/>
          <w:vertAlign w:val="superscript"/>
        </w:rPr>
        <w:instrText xml:space="preserve"> NOTEREF _Ref484024028 \h </w:instrText>
      </w:r>
      <w:r w:rsidR="00440B2C" w:rsidRPr="00440B2C">
        <w:rPr>
          <w:rFonts w:ascii="Times" w:hAnsi="Times"/>
          <w:vertAlign w:val="superscript"/>
        </w:rPr>
      </w:r>
      <w:r w:rsidR="00440B2C">
        <w:rPr>
          <w:rFonts w:ascii="Times" w:hAnsi="Times"/>
          <w:vertAlign w:val="superscript"/>
        </w:rPr>
        <w:instrText xml:space="preserve"> \* MERGEFORMAT </w:instrText>
      </w:r>
      <w:r w:rsidR="00440B2C" w:rsidRPr="00440B2C">
        <w:rPr>
          <w:rFonts w:ascii="Times" w:hAnsi="Times"/>
          <w:vertAlign w:val="superscript"/>
        </w:rPr>
        <w:fldChar w:fldCharType="separate"/>
      </w:r>
      <w:r w:rsidR="00440B2C" w:rsidRPr="00440B2C">
        <w:rPr>
          <w:rFonts w:ascii="Times" w:hAnsi="Times"/>
          <w:vertAlign w:val="superscript"/>
        </w:rPr>
        <w:t>3</w:t>
      </w:r>
      <w:r w:rsidR="00440B2C" w:rsidRPr="00440B2C">
        <w:rPr>
          <w:rFonts w:ascii="Times" w:hAnsi="Times"/>
          <w:vertAlign w:val="superscript"/>
        </w:rPr>
        <w:fldChar w:fldCharType="end"/>
      </w:r>
      <w:r w:rsidR="00452EF7">
        <w:rPr>
          <w:rFonts w:ascii="Times" w:hAnsi="Times"/>
        </w:rPr>
        <w:t xml:space="preserve"> The energy difference of those two clusters was </w:t>
      </w:r>
      <w:r w:rsidR="00440B2C">
        <w:rPr>
          <w:rFonts w:ascii="Times" w:hAnsi="Times"/>
        </w:rPr>
        <w:t>1.05 eV/atom, which is too enormous to be ignored. Further Pt doping positions were also considered. According to our results, single Pt atom tends to dope on the edge position, whereas adding another Pt atom in Co clusters, the dual Pt atom prefer doping on edge and body position.</w:t>
      </w:r>
      <w:r w:rsidR="00440B2C" w:rsidRPr="00440B2C">
        <w:rPr>
          <w:rFonts w:ascii="Times" w:hAnsi="Times"/>
        </w:rPr>
        <w:t xml:space="preserve"> </w:t>
      </w:r>
      <w:r w:rsidR="00440B2C">
        <w:rPr>
          <w:rFonts w:ascii="Times" w:hAnsi="Times"/>
        </w:rPr>
        <w:t>Obviously, only the outer doped Pt could provide active site for HER. It could be concluded that the HER performance would not be linear enhanced as the Pt doping ratio increases. This is also in line with the experimental observations in our study.</w:t>
      </w:r>
      <w:r w:rsidR="00ED1DBA">
        <w:rPr>
          <w:rFonts w:ascii="Times" w:hAnsi="Times"/>
        </w:rPr>
        <w:t xml:space="preserve"> Further</w:t>
      </w:r>
      <w:r w:rsidR="002E18C2">
        <w:rPr>
          <w:rFonts w:ascii="Times" w:hAnsi="Times"/>
        </w:rPr>
        <w:t xml:space="preserve">more, </w:t>
      </w:r>
      <w:r w:rsidR="00C0544B">
        <w:rPr>
          <w:rFonts w:ascii="Times" w:hAnsi="Times"/>
        </w:rPr>
        <w:t xml:space="preserve">to avoid the </w:t>
      </w:r>
      <w:r w:rsidR="00E80FE8">
        <w:rPr>
          <w:rFonts w:ascii="Times" w:hAnsi="Times"/>
        </w:rPr>
        <w:t xml:space="preserve">DFT description failure on the open shell d-electrons of the transition metal, DFT+U, originally proposed by </w:t>
      </w:r>
      <w:proofErr w:type="spellStart"/>
      <w:r w:rsidR="00E80FE8">
        <w:rPr>
          <w:rFonts w:ascii="Times" w:hAnsi="Times"/>
        </w:rPr>
        <w:t>Anisimov</w:t>
      </w:r>
      <w:proofErr w:type="spellEnd"/>
      <w:r w:rsidR="00E80FE8">
        <w:rPr>
          <w:rFonts w:ascii="Times" w:hAnsi="Times"/>
        </w:rPr>
        <w:t xml:space="preserve"> </w:t>
      </w:r>
      <w:r w:rsidR="00E80FE8">
        <w:rPr>
          <w:rFonts w:ascii="Times" w:hAnsi="Times"/>
          <w:i/>
        </w:rPr>
        <w:t>et al.</w:t>
      </w:r>
      <w:r w:rsidR="00E80FE8">
        <w:rPr>
          <w:rFonts w:ascii="Times" w:hAnsi="Times"/>
        </w:rPr>
        <w:t>,</w:t>
      </w:r>
      <w:r w:rsidR="00E80FE8">
        <w:rPr>
          <w:rStyle w:val="EndnoteReference"/>
          <w:rFonts w:ascii="Times" w:hAnsi="Times"/>
        </w:rPr>
        <w:endnoteReference w:id="7"/>
      </w:r>
      <w:r w:rsidR="00E80FE8">
        <w:rPr>
          <w:rFonts w:ascii="Times" w:hAnsi="Times"/>
        </w:rPr>
        <w:t xml:space="preserve"> is adopted to treat the strongly correlated electron intra-atomic Coulomb (U) and exchange (J) interactions properly within a HF-like theory, while the rest of the system with pure DFT. </w:t>
      </w:r>
    </w:p>
    <w:p w14:paraId="176A074F" w14:textId="77777777" w:rsidR="00676529" w:rsidRDefault="00676529" w:rsidP="00440B2C">
      <w:pPr>
        <w:jc w:val="both"/>
        <w:rPr>
          <w:rFonts w:ascii="Times" w:hAnsi="Times"/>
        </w:rPr>
      </w:pPr>
    </w:p>
    <w:p w14:paraId="2AA58699" w14:textId="4874A380" w:rsidR="00AA3D44" w:rsidRPr="00D4326B" w:rsidRDefault="00AA3D44" w:rsidP="00ED0AA2">
      <w:pPr>
        <w:jc w:val="both"/>
        <w:rPr>
          <w:rFonts w:ascii="Times" w:hAnsi="Times"/>
        </w:rPr>
      </w:pPr>
    </w:p>
    <w:p w14:paraId="2B295FC5" w14:textId="77777777" w:rsidR="00AA3D44" w:rsidRPr="00AA3D44" w:rsidRDefault="00AA3D44" w:rsidP="00ED0AA2">
      <w:pPr>
        <w:jc w:val="both"/>
      </w:pPr>
    </w:p>
    <w:p w14:paraId="1846AF6A" w14:textId="77777777" w:rsidR="005C21D1" w:rsidRPr="008A0FB1" w:rsidRDefault="005C21D1">
      <w:pPr>
        <w:rPr>
          <w:rFonts w:ascii="Times" w:hAnsi="Times"/>
          <w:i/>
        </w:rPr>
      </w:pPr>
      <w:r w:rsidRPr="008A0FB1">
        <w:rPr>
          <w:rFonts w:ascii="Times" w:hAnsi="Times"/>
          <w:i/>
        </w:rPr>
        <w:t>Calculation details</w:t>
      </w:r>
    </w:p>
    <w:p w14:paraId="6AC44049" w14:textId="77777777" w:rsidR="005C21D1" w:rsidRPr="005C21D1" w:rsidRDefault="005C21D1">
      <w:pPr>
        <w:rPr>
          <w:rFonts w:ascii="Times" w:hAnsi="Times"/>
        </w:rPr>
      </w:pPr>
    </w:p>
    <w:p w14:paraId="05E32C01" w14:textId="406AE73A" w:rsidR="005C21D1" w:rsidRDefault="005C21D1" w:rsidP="00372CF7">
      <w:pPr>
        <w:jc w:val="both"/>
        <w:rPr>
          <w:rFonts w:ascii="Times" w:hAnsi="Times"/>
        </w:rPr>
      </w:pPr>
      <w:r w:rsidRPr="005C21D1">
        <w:rPr>
          <w:rFonts w:ascii="Times" w:hAnsi="Times"/>
        </w:rPr>
        <w:t xml:space="preserve">All the calculations were carried out based on Density Functional Theory, implanted in Vienna </w:t>
      </w:r>
      <w:r w:rsidRPr="005C21D1">
        <w:rPr>
          <w:rFonts w:ascii="Times" w:hAnsi="Times"/>
          <w:i/>
        </w:rPr>
        <w:t xml:space="preserve">ab-initio </w:t>
      </w:r>
      <w:r w:rsidRPr="005C21D1">
        <w:rPr>
          <w:rFonts w:ascii="Times" w:hAnsi="Times"/>
        </w:rPr>
        <w:t>Package (VASP).</w:t>
      </w:r>
      <w:r w:rsidR="00CC3D35">
        <w:rPr>
          <w:rStyle w:val="EndnoteReference"/>
          <w:rFonts w:ascii="Times" w:hAnsi="Times"/>
        </w:rPr>
        <w:endnoteReference w:id="8"/>
      </w:r>
      <w:r w:rsidR="003A3504" w:rsidRPr="003A3504">
        <w:rPr>
          <w:rFonts w:ascii="Times" w:hAnsi="Times"/>
          <w:vertAlign w:val="superscript"/>
        </w:rPr>
        <w:t>,</w:t>
      </w:r>
      <w:r w:rsidR="003A3504">
        <w:rPr>
          <w:rStyle w:val="EndnoteReference"/>
          <w:rFonts w:ascii="Times" w:hAnsi="Times"/>
        </w:rPr>
        <w:endnoteReference w:id="9"/>
      </w:r>
      <w:r w:rsidR="002255E4">
        <w:rPr>
          <w:rFonts w:ascii="Times" w:hAnsi="Times"/>
        </w:rPr>
        <w:t xml:space="preserve"> </w:t>
      </w:r>
      <w:r w:rsidR="00E54C38">
        <w:rPr>
          <w:rFonts w:ascii="Times" w:hAnsi="Times"/>
        </w:rPr>
        <w:t xml:space="preserve">The </w:t>
      </w:r>
      <w:proofErr w:type="spellStart"/>
      <w:r w:rsidR="0092177C">
        <w:rPr>
          <w:rFonts w:ascii="Times" w:hAnsi="Times"/>
        </w:rPr>
        <w:t>Perdew</w:t>
      </w:r>
      <w:proofErr w:type="spellEnd"/>
      <w:r w:rsidR="0092177C">
        <w:rPr>
          <w:rFonts w:ascii="Times" w:hAnsi="Times"/>
        </w:rPr>
        <w:t>-Burke-</w:t>
      </w:r>
      <w:proofErr w:type="spellStart"/>
      <w:r w:rsidR="0092177C">
        <w:rPr>
          <w:rFonts w:ascii="Times" w:hAnsi="Times"/>
        </w:rPr>
        <w:t>Ernzerhof</w:t>
      </w:r>
      <w:proofErr w:type="spellEnd"/>
      <w:r w:rsidR="0092177C">
        <w:rPr>
          <w:rFonts w:ascii="Times" w:hAnsi="Times"/>
        </w:rPr>
        <w:t xml:space="preserve"> (</w:t>
      </w:r>
      <w:r w:rsidR="003A3FD2">
        <w:rPr>
          <w:rFonts w:ascii="Times" w:hAnsi="Times"/>
        </w:rPr>
        <w:t>PBE</w:t>
      </w:r>
      <w:r w:rsidR="0092177C">
        <w:rPr>
          <w:rFonts w:ascii="Times" w:hAnsi="Times"/>
        </w:rPr>
        <w:t>)</w:t>
      </w:r>
      <w:r w:rsidR="003A3FD2">
        <w:rPr>
          <w:rFonts w:ascii="Times" w:hAnsi="Times"/>
        </w:rPr>
        <w:t xml:space="preserve"> functional</w:t>
      </w:r>
      <w:r w:rsidR="003A3504">
        <w:rPr>
          <w:rFonts w:ascii="Times" w:hAnsi="Times"/>
        </w:rPr>
        <w:t xml:space="preserve"> </w:t>
      </w:r>
      <w:r w:rsidR="003A3504">
        <w:rPr>
          <w:rStyle w:val="EndnoteReference"/>
          <w:rFonts w:ascii="Times" w:hAnsi="Times"/>
        </w:rPr>
        <w:endnoteReference w:id="10"/>
      </w:r>
      <w:r w:rsidR="003A3504" w:rsidRPr="003A3504">
        <w:rPr>
          <w:rFonts w:ascii="Times" w:hAnsi="Times"/>
          <w:vertAlign w:val="superscript"/>
        </w:rPr>
        <w:t>,</w:t>
      </w:r>
      <w:r w:rsidR="003A3504">
        <w:rPr>
          <w:rStyle w:val="EndnoteReference"/>
          <w:rFonts w:ascii="Times" w:hAnsi="Times"/>
        </w:rPr>
        <w:endnoteReference w:id="11"/>
      </w:r>
      <w:r w:rsidR="003A3FD2">
        <w:rPr>
          <w:rFonts w:ascii="Times" w:hAnsi="Times"/>
        </w:rPr>
        <w:t xml:space="preserve"> </w:t>
      </w:r>
      <w:r w:rsidR="0092177C">
        <w:rPr>
          <w:rFonts w:ascii="Times" w:hAnsi="Times"/>
        </w:rPr>
        <w:t>for the exchange-correlation term was used with the projector augmented wave method.</w:t>
      </w:r>
      <w:r w:rsidR="003A3504">
        <w:rPr>
          <w:rFonts w:ascii="Times" w:hAnsi="Times"/>
        </w:rPr>
        <w:t xml:space="preserve"> </w:t>
      </w:r>
      <w:r w:rsidR="003A3504">
        <w:rPr>
          <w:rStyle w:val="EndnoteReference"/>
          <w:rFonts w:ascii="Times" w:hAnsi="Times"/>
        </w:rPr>
        <w:endnoteReference w:id="12"/>
      </w:r>
      <w:r w:rsidR="003A3504" w:rsidRPr="003A3504">
        <w:rPr>
          <w:rFonts w:ascii="Times" w:hAnsi="Times"/>
          <w:vertAlign w:val="superscript"/>
        </w:rPr>
        <w:t>,</w:t>
      </w:r>
      <w:r w:rsidR="003A3504">
        <w:rPr>
          <w:rStyle w:val="EndnoteReference"/>
          <w:rFonts w:ascii="Times" w:hAnsi="Times"/>
        </w:rPr>
        <w:endnoteReference w:id="13"/>
      </w:r>
      <w:r w:rsidR="003A3504">
        <w:rPr>
          <w:rFonts w:ascii="Times" w:hAnsi="Times"/>
        </w:rPr>
        <w:t xml:space="preserve"> </w:t>
      </w:r>
      <w:r w:rsidR="00581167">
        <w:rPr>
          <w:rFonts w:ascii="Times" w:hAnsi="Times"/>
        </w:rPr>
        <w:t xml:space="preserve">A </w:t>
      </w:r>
      <w:r w:rsidR="00354A89">
        <w:rPr>
          <w:rFonts w:ascii="Times" w:hAnsi="Times"/>
        </w:rPr>
        <w:t xml:space="preserve">plane wave </w:t>
      </w:r>
      <w:proofErr w:type="spellStart"/>
      <w:r w:rsidR="00581167">
        <w:rPr>
          <w:rFonts w:ascii="Times" w:hAnsi="Times"/>
        </w:rPr>
        <w:t>cutoff</w:t>
      </w:r>
      <w:proofErr w:type="spellEnd"/>
      <w:r w:rsidR="00581167">
        <w:rPr>
          <w:rFonts w:ascii="Times" w:hAnsi="Times"/>
        </w:rPr>
        <w:t xml:space="preserve"> of 500 eV </w:t>
      </w:r>
      <w:r w:rsidR="00354A89">
        <w:rPr>
          <w:rFonts w:ascii="Times" w:hAnsi="Times"/>
        </w:rPr>
        <w:t>with forces converged to 0.01 eV/Å.</w:t>
      </w:r>
      <w:r w:rsidR="00670335">
        <w:rPr>
          <w:rFonts w:ascii="Times" w:hAnsi="Times"/>
        </w:rPr>
        <w:t xml:space="preserve"> </w:t>
      </w:r>
      <w:r w:rsidR="00117EA4">
        <w:rPr>
          <w:rFonts w:ascii="Times" w:hAnsi="Times"/>
        </w:rPr>
        <w:t xml:space="preserve">On-site Hubbard </w:t>
      </w:r>
      <w:r w:rsidR="00117EA4">
        <w:rPr>
          <w:rFonts w:ascii="Times" w:hAnsi="Times"/>
          <w:i/>
        </w:rPr>
        <w:t>U</w:t>
      </w:r>
      <w:r w:rsidR="00117EA4">
        <w:rPr>
          <w:rFonts w:ascii="Times" w:hAnsi="Times"/>
        </w:rPr>
        <w:t xml:space="preserve"> corrections, 3.3, were employed for the Co metal d electrons.</w:t>
      </w:r>
      <w:r w:rsidR="00117EA4">
        <w:rPr>
          <w:rStyle w:val="EndnoteReference"/>
          <w:rFonts w:ascii="Times" w:hAnsi="Times"/>
        </w:rPr>
        <w:endnoteReference w:id="14"/>
      </w:r>
      <w:r w:rsidR="00117EA4" w:rsidRPr="00820E9F">
        <w:rPr>
          <w:rFonts w:ascii="Times" w:hAnsi="Times"/>
          <w:vertAlign w:val="superscript"/>
        </w:rPr>
        <w:t>,</w:t>
      </w:r>
      <w:r w:rsidR="00117EA4">
        <w:rPr>
          <w:rStyle w:val="EndnoteReference"/>
          <w:rFonts w:ascii="Times" w:hAnsi="Times"/>
        </w:rPr>
        <w:endnoteReference w:id="15"/>
      </w:r>
      <w:r w:rsidR="00117EA4">
        <w:rPr>
          <w:rFonts w:ascii="Times" w:hAnsi="Times"/>
        </w:rPr>
        <w:t xml:space="preserve"> </w:t>
      </w:r>
      <w:r w:rsidR="00551317">
        <w:rPr>
          <w:rFonts w:ascii="Times" w:hAnsi="Times"/>
        </w:rPr>
        <w:t xml:space="preserve">Spin </w:t>
      </w:r>
      <w:r w:rsidR="00DD2E55">
        <w:rPr>
          <w:rFonts w:ascii="Times" w:hAnsi="Times"/>
        </w:rPr>
        <w:t>polarisation was counted in all the calculations.</w:t>
      </w:r>
      <w:r w:rsidR="00551317">
        <w:rPr>
          <w:rFonts w:ascii="Times" w:hAnsi="Times"/>
        </w:rPr>
        <w:t xml:space="preserve"> </w:t>
      </w:r>
      <w:r w:rsidR="00DD2E55">
        <w:rPr>
          <w:rFonts w:ascii="Times" w:hAnsi="Times"/>
        </w:rPr>
        <w:t>Gamma only was selected for the K</w:t>
      </w:r>
      <w:r w:rsidR="00221675">
        <w:rPr>
          <w:rFonts w:ascii="Times" w:hAnsi="Times"/>
        </w:rPr>
        <w:t>-</w:t>
      </w:r>
      <w:r w:rsidR="00DD2E55">
        <w:rPr>
          <w:rFonts w:ascii="Times" w:hAnsi="Times"/>
        </w:rPr>
        <w:t>point sampling, due to the size of our models.</w:t>
      </w:r>
    </w:p>
    <w:p w14:paraId="50F7619D" w14:textId="77777777" w:rsidR="00F01A7D" w:rsidRDefault="00F01A7D">
      <w:pPr>
        <w:rPr>
          <w:rFonts w:ascii="Times" w:hAnsi="Times"/>
        </w:rPr>
      </w:pPr>
    </w:p>
    <w:p w14:paraId="0DAC3639" w14:textId="44AE0F71" w:rsidR="00F01A7D" w:rsidRDefault="00F01A7D" w:rsidP="00372CF7">
      <w:pPr>
        <w:jc w:val="both"/>
        <w:rPr>
          <w:rFonts w:ascii="Times" w:hAnsi="Times"/>
        </w:rPr>
      </w:pPr>
      <w:r>
        <w:rPr>
          <w:rFonts w:ascii="Times" w:hAnsi="Times"/>
        </w:rPr>
        <w:t xml:space="preserve">The </w:t>
      </w:r>
      <w:r w:rsidR="00A25F66">
        <w:rPr>
          <w:rFonts w:ascii="Times" w:hAnsi="Times"/>
        </w:rPr>
        <w:t>free energies of the interm</w:t>
      </w:r>
      <w:r w:rsidR="003A0150">
        <w:rPr>
          <w:rFonts w:ascii="Times" w:hAnsi="Times"/>
        </w:rPr>
        <w:t>ediates were obtained by</w:t>
      </w:r>
    </w:p>
    <w:p w14:paraId="4EB65A2B" w14:textId="53666B24" w:rsidR="003A0150" w:rsidRPr="003A0150" w:rsidRDefault="003A0150" w:rsidP="00372CF7">
      <w:pPr>
        <w:jc w:val="both"/>
        <w:rPr>
          <w:rFonts w:ascii="Times" w:hAnsi="Times"/>
        </w:rPr>
      </w:pPr>
      <m:oMathPara>
        <m:oMath>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+∆ZPE-T∆S</m:t>
          </m:r>
        </m:oMath>
      </m:oMathPara>
    </w:p>
    <w:p w14:paraId="1B2920C4" w14:textId="398E68D8" w:rsidR="003A0150" w:rsidRDefault="003A0150" w:rsidP="00372CF7">
      <w:pPr>
        <w:jc w:val="both"/>
        <w:rPr>
          <w:rFonts w:ascii="Times" w:hAnsi="Times"/>
        </w:rPr>
      </w:pPr>
      <w:r w:rsidRPr="003A0150">
        <w:rPr>
          <w:rFonts w:ascii="Times" w:hAnsi="Times"/>
        </w:rPr>
        <w:t xml:space="preserve">where </w:t>
      </w:r>
      <w:r w:rsidRPr="003A0150">
        <w:rPr>
          <w:rFonts w:ascii="Times" w:hAnsi="Times"/>
          <w:i/>
        </w:rPr>
        <w:t>∆E(H*)</w:t>
      </w:r>
      <w:r>
        <w:rPr>
          <w:rFonts w:ascii="Times" w:hAnsi="Times"/>
        </w:rPr>
        <w:t xml:space="preserve"> is the adsorption energy </w:t>
      </w:r>
      <w:r w:rsidR="00DE5C17">
        <w:rPr>
          <w:rFonts w:ascii="Times" w:hAnsi="Times"/>
        </w:rPr>
        <w:t xml:space="preserve">calculated by </w:t>
      </w:r>
    </w:p>
    <w:p w14:paraId="42F02AE3" w14:textId="12AA1A2A" w:rsidR="00DE5C17" w:rsidRPr="00DE5C17" w:rsidRDefault="00DE5C17" w:rsidP="00372CF7">
      <w:pPr>
        <w:jc w:val="both"/>
        <w:rPr>
          <w:rFonts w:ascii="Times" w:hAnsi="Times"/>
          <w:i/>
        </w:rPr>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H@core-shell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core-shell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H</m:t>
                  </m:r>
                </m:e>
                <m:sub>
                  <m:r>
                    <w:rPr>
                      <w:rFonts w:ascii="Cambria Math" w:hAnsi="Cambria Math"/>
                    </w:rPr>
                    <m:t>2</m:t>
                  </m:r>
                </m:sub>
              </m:sSub>
            </m:sub>
          </m:sSub>
        </m:oMath>
      </m:oMathPara>
    </w:p>
    <w:p w14:paraId="22BA6C9D" w14:textId="117EEB04" w:rsidR="00DE5C17" w:rsidRPr="007715D3" w:rsidRDefault="00DE5C17" w:rsidP="007715D3">
      <w:pPr>
        <w:jc w:val="both"/>
        <w:rPr>
          <w:rFonts w:ascii="Times" w:hAnsi="Times"/>
        </w:rPr>
      </w:pPr>
      <w:r w:rsidRPr="007715D3">
        <w:rPr>
          <w:rFonts w:ascii="Times" w:hAnsi="Times"/>
          <w:i/>
        </w:rPr>
        <w:t>∆ZPE</w:t>
      </w:r>
      <w:r w:rsidRPr="007715D3">
        <w:rPr>
          <w:rFonts w:ascii="Times" w:hAnsi="Times"/>
        </w:rPr>
        <w:t xml:space="preserve"> is the zero-point energy change, and </w:t>
      </w:r>
      <w:r w:rsidRPr="007715D3">
        <w:rPr>
          <w:rFonts w:ascii="Times" w:hAnsi="Times"/>
          <w:i/>
        </w:rPr>
        <w:t xml:space="preserve">∆S </w:t>
      </w:r>
      <w:r w:rsidRPr="007715D3">
        <w:rPr>
          <w:rFonts w:ascii="Times" w:hAnsi="Times"/>
        </w:rPr>
        <w:t>is the entropy change of adsorption H. All the analysis with</w:t>
      </w:r>
      <w:r w:rsidR="006240CE" w:rsidRPr="007715D3">
        <w:rPr>
          <w:rFonts w:ascii="Times" w:hAnsi="Times"/>
        </w:rPr>
        <w:t>in</w:t>
      </w:r>
      <w:r w:rsidRPr="007715D3">
        <w:rPr>
          <w:rFonts w:ascii="Times" w:hAnsi="Times"/>
        </w:rPr>
        <w:t xml:space="preserve"> DFT </w:t>
      </w:r>
      <w:r w:rsidR="006240CE" w:rsidRPr="007715D3">
        <w:rPr>
          <w:rFonts w:ascii="Times" w:hAnsi="Times"/>
        </w:rPr>
        <w:t>scope</w:t>
      </w:r>
      <w:r w:rsidRPr="007715D3">
        <w:rPr>
          <w:rFonts w:ascii="Times" w:hAnsi="Times"/>
        </w:rPr>
        <w:t xml:space="preserve"> were using normal-mode analysis, proposed by </w:t>
      </w:r>
      <w:proofErr w:type="spellStart"/>
      <w:r w:rsidRPr="007715D3">
        <w:rPr>
          <w:rFonts w:ascii="Times" w:hAnsi="Times"/>
        </w:rPr>
        <w:t>N</w:t>
      </w:r>
      <w:r w:rsidR="0014421E" w:rsidRPr="007715D3">
        <w:rPr>
          <w:rFonts w:ascii="Times" w:hAnsi="Times"/>
        </w:rPr>
        <w:t>ø</w:t>
      </w:r>
      <w:r w:rsidRPr="007715D3">
        <w:rPr>
          <w:rFonts w:ascii="Times" w:hAnsi="Times"/>
        </w:rPr>
        <w:t>rskov</w:t>
      </w:r>
      <w:proofErr w:type="spellEnd"/>
      <w:r w:rsidRPr="007715D3">
        <w:rPr>
          <w:rFonts w:ascii="Times" w:hAnsi="Times"/>
        </w:rPr>
        <w:t>.</w:t>
      </w:r>
      <w:bookmarkStart w:id="2" w:name="_Ref482642826"/>
      <w:r w:rsidR="0014421E" w:rsidRPr="007715D3">
        <w:rPr>
          <w:rStyle w:val="EndnoteReference"/>
          <w:rFonts w:ascii="Times" w:hAnsi="Times"/>
        </w:rPr>
        <w:endnoteReference w:id="16"/>
      </w:r>
      <w:bookmarkEnd w:id="2"/>
      <w:r w:rsidRPr="007715D3">
        <w:rPr>
          <w:rFonts w:ascii="Times" w:hAnsi="Times"/>
        </w:rPr>
        <w:t xml:space="preserve"> </w:t>
      </w:r>
    </w:p>
    <w:p w14:paraId="4D0AB871" w14:textId="5533D3A7" w:rsidR="006240CE" w:rsidRPr="007715D3" w:rsidRDefault="00522F19" w:rsidP="007715D3">
      <w:pPr>
        <w:jc w:val="both"/>
        <w:rPr>
          <w:rFonts w:ascii="Times" w:hAnsi="Times"/>
        </w:rPr>
      </w:pPr>
      <m:oMathPara>
        <m:oMath>
          <m:r>
            <w:rPr>
              <w:rFonts w:ascii="Cambria Math" w:hAnsi="Cambria Math"/>
            </w:rPr>
            <m:t>∆ZPE</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=ZPE</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ZPE(</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oMath>
      </m:oMathPara>
    </w:p>
    <w:p w14:paraId="12648FCD" w14:textId="1EE4769F" w:rsidR="005500C4" w:rsidRPr="00A37281" w:rsidRDefault="005500C4" w:rsidP="007715D3">
      <w:pPr>
        <w:jc w:val="both"/>
        <w:rPr>
          <w:rFonts w:ascii="Times" w:hAnsi="Times"/>
        </w:rPr>
      </w:pPr>
      <w:r w:rsidRPr="007715D3">
        <w:rPr>
          <w:rFonts w:ascii="Times" w:hAnsi="Times"/>
        </w:rPr>
        <w:t xml:space="preserve">where, </w:t>
      </w:r>
      <w:r w:rsidRPr="007715D3">
        <w:rPr>
          <w:rFonts w:ascii="Times" w:hAnsi="Times"/>
          <w:i/>
        </w:rPr>
        <w:t>ZPE(H</w:t>
      </w:r>
      <w:r w:rsidRPr="007715D3">
        <w:rPr>
          <w:rFonts w:ascii="Times" w:hAnsi="Times"/>
          <w:i/>
          <w:vertAlign w:val="subscript"/>
        </w:rPr>
        <w:t>2</w:t>
      </w:r>
      <w:r w:rsidRPr="007715D3">
        <w:rPr>
          <w:rFonts w:ascii="Times" w:hAnsi="Times"/>
          <w:i/>
        </w:rPr>
        <w:t xml:space="preserve">) </w:t>
      </w:r>
      <w:r w:rsidRPr="007715D3">
        <w:rPr>
          <w:rFonts w:ascii="Times" w:hAnsi="Times"/>
        </w:rPr>
        <w:t>is 0.27 eV.</w:t>
      </w:r>
      <w:r w:rsidRPr="007715D3">
        <w:rPr>
          <w:rFonts w:ascii="Times" w:hAnsi="Times"/>
          <w:vertAlign w:val="superscript"/>
        </w:rPr>
        <w:fldChar w:fldCharType="begin"/>
      </w:r>
      <w:r w:rsidRPr="007715D3">
        <w:rPr>
          <w:rFonts w:ascii="Times" w:hAnsi="Times"/>
          <w:vertAlign w:val="superscript"/>
        </w:rPr>
        <w:instrText xml:space="preserve"> NOTEREF _Ref482642826 \h  \* MERGEFORMAT </w:instrText>
      </w:r>
      <w:r w:rsidRPr="007715D3">
        <w:rPr>
          <w:rFonts w:ascii="Times" w:hAnsi="Times"/>
          <w:vertAlign w:val="superscript"/>
        </w:rPr>
      </w:r>
      <w:r w:rsidRPr="007715D3">
        <w:rPr>
          <w:rFonts w:ascii="Times" w:hAnsi="Times"/>
          <w:vertAlign w:val="superscript"/>
        </w:rPr>
        <w:fldChar w:fldCharType="separate"/>
      </w:r>
      <w:r w:rsidRPr="007715D3">
        <w:rPr>
          <w:rFonts w:ascii="Times" w:hAnsi="Times"/>
          <w:vertAlign w:val="superscript"/>
        </w:rPr>
        <w:t>12</w:t>
      </w:r>
      <w:r w:rsidRPr="007715D3">
        <w:rPr>
          <w:rFonts w:ascii="Times" w:hAnsi="Times"/>
          <w:vertAlign w:val="superscript"/>
        </w:rPr>
        <w:fldChar w:fldCharType="end"/>
      </w:r>
      <w:r w:rsidRPr="007715D3">
        <w:rPr>
          <w:rFonts w:ascii="Times" w:hAnsi="Times"/>
        </w:rPr>
        <w:t xml:space="preserve"> </w:t>
      </w:r>
      <w:r w:rsidR="00571E36" w:rsidRPr="007715D3">
        <w:rPr>
          <w:rFonts w:ascii="Times" w:hAnsi="Times"/>
        </w:rPr>
        <w:t xml:space="preserve">Since the vibration frequency of H is less than 1 </w:t>
      </w:r>
      <w:proofErr w:type="spellStart"/>
      <w:r w:rsidR="00571E36" w:rsidRPr="007715D3">
        <w:rPr>
          <w:rFonts w:ascii="Times" w:hAnsi="Times"/>
        </w:rPr>
        <w:t>meV</w:t>
      </w:r>
      <w:proofErr w:type="spellEnd"/>
      <w:r w:rsidR="00571E36" w:rsidRPr="007715D3">
        <w:rPr>
          <w:rFonts w:ascii="Times" w:hAnsi="Times"/>
        </w:rPr>
        <w:t xml:space="preserve">, </w:t>
      </w:r>
      <w:r w:rsidR="00571E36" w:rsidRPr="007715D3">
        <w:rPr>
          <w:rFonts w:ascii="Times" w:hAnsi="Times"/>
          <w:i/>
        </w:rPr>
        <w:t>∆S=S(H*)-0.5*S(H</w:t>
      </w:r>
      <w:r w:rsidR="00571E36" w:rsidRPr="007715D3">
        <w:rPr>
          <w:rFonts w:ascii="Times" w:hAnsi="Times"/>
          <w:i/>
          <w:vertAlign w:val="subscript"/>
        </w:rPr>
        <w:t>2</w:t>
      </w:r>
      <w:r w:rsidR="00571E36" w:rsidRPr="007715D3">
        <w:rPr>
          <w:rFonts w:ascii="Times" w:hAnsi="Times"/>
          <w:i/>
        </w:rPr>
        <w:t>)</w:t>
      </w:r>
      <w:r w:rsidR="007715D3">
        <w:rPr>
          <w:rFonts w:ascii="Times" w:hAnsi="Times"/>
          <w:i/>
        </w:rPr>
        <w:t xml:space="preserve"> </w:t>
      </w:r>
      <w:r w:rsidR="00571E36" w:rsidRPr="007715D3">
        <w:rPr>
          <w:rFonts w:ascii="Times" w:hAnsi="Times"/>
          <w:i/>
        </w:rPr>
        <w:t>≈</w:t>
      </w:r>
      <w:r w:rsidR="007715D3">
        <w:rPr>
          <w:rFonts w:ascii="Times" w:hAnsi="Times"/>
          <w:i/>
        </w:rPr>
        <w:t xml:space="preserve"> </w:t>
      </w:r>
      <w:r w:rsidR="00571E36" w:rsidRPr="007715D3">
        <w:rPr>
          <w:rFonts w:ascii="Times" w:hAnsi="Times"/>
          <w:i/>
        </w:rPr>
        <w:t>-0.5S(H</w:t>
      </w:r>
      <w:r w:rsidR="00571E36" w:rsidRPr="007715D3">
        <w:rPr>
          <w:rFonts w:ascii="Times" w:hAnsi="Times"/>
          <w:i/>
          <w:vertAlign w:val="subscript"/>
        </w:rPr>
        <w:t>2</w:t>
      </w:r>
      <w:r w:rsidR="00571E36" w:rsidRPr="007715D3">
        <w:rPr>
          <w:rFonts w:ascii="Times" w:hAnsi="Times"/>
          <w:i/>
        </w:rPr>
        <w:t>)</w:t>
      </w:r>
      <w:r w:rsidR="00320ED9" w:rsidRPr="007715D3">
        <w:rPr>
          <w:rFonts w:ascii="Times" w:hAnsi="Times"/>
        </w:rPr>
        <w:t xml:space="preserve">. </w:t>
      </w:r>
      <w:r w:rsidR="005B5861">
        <w:rPr>
          <w:rFonts w:ascii="Times" w:hAnsi="Times"/>
        </w:rPr>
        <w:t>For H</w:t>
      </w:r>
      <w:r w:rsidR="005B5861" w:rsidRPr="00A37281">
        <w:rPr>
          <w:rFonts w:ascii="Times" w:hAnsi="Times"/>
          <w:vertAlign w:val="subscript"/>
        </w:rPr>
        <w:t>2</w:t>
      </w:r>
      <w:r w:rsidR="005B5861">
        <w:rPr>
          <w:rFonts w:ascii="Times" w:hAnsi="Times"/>
        </w:rPr>
        <w:t xml:space="preserve"> at 300K and 1 </w:t>
      </w:r>
      <w:proofErr w:type="spellStart"/>
      <w:r w:rsidR="005B5861">
        <w:rPr>
          <w:rFonts w:ascii="Times" w:hAnsi="Times"/>
        </w:rPr>
        <w:t>atm</w:t>
      </w:r>
      <w:proofErr w:type="spellEnd"/>
      <w:r w:rsidR="005B5861">
        <w:rPr>
          <w:rFonts w:ascii="Times" w:hAnsi="Times"/>
        </w:rPr>
        <w:t xml:space="preserve">, </w:t>
      </w:r>
      <w:r w:rsidR="005B5861" w:rsidRPr="00A37281">
        <w:rPr>
          <w:rFonts w:ascii="Times" w:hAnsi="Times"/>
          <w:i/>
        </w:rPr>
        <w:t>TS(H</w:t>
      </w:r>
      <w:r w:rsidR="005B5861" w:rsidRPr="00A37281">
        <w:rPr>
          <w:rFonts w:ascii="Times" w:hAnsi="Times"/>
          <w:i/>
          <w:vertAlign w:val="subscript"/>
        </w:rPr>
        <w:t>2</w:t>
      </w:r>
      <w:r w:rsidR="005B5861" w:rsidRPr="00A37281">
        <w:rPr>
          <w:rFonts w:ascii="Times" w:hAnsi="Times"/>
          <w:i/>
        </w:rPr>
        <w:t>)</w:t>
      </w:r>
      <w:r w:rsidR="005B5861">
        <w:rPr>
          <w:rFonts w:ascii="Times" w:hAnsi="Times"/>
        </w:rPr>
        <w:t xml:space="preserve"> = 0.41 eV.</w:t>
      </w:r>
      <w:r w:rsidR="00A37281">
        <w:rPr>
          <w:rFonts w:ascii="Times" w:hAnsi="Times"/>
        </w:rPr>
        <w:t xml:space="preserve"> Then the </w:t>
      </w:r>
      <w:r w:rsidR="00A37281">
        <w:rPr>
          <w:rFonts w:ascii="Times" w:hAnsi="Times"/>
          <w:i/>
        </w:rPr>
        <w:t>T</w:t>
      </w:r>
      <w:r w:rsidR="00A37281" w:rsidRPr="007715D3">
        <w:rPr>
          <w:rFonts w:ascii="Times" w:hAnsi="Times"/>
          <w:i/>
        </w:rPr>
        <w:t>∆S</w:t>
      </w:r>
      <w:r w:rsidR="00A37281">
        <w:rPr>
          <w:rFonts w:ascii="Times" w:hAnsi="Times"/>
          <w:i/>
        </w:rPr>
        <w:t>≈</w:t>
      </w:r>
      <w:r w:rsidR="00A37281">
        <w:rPr>
          <w:rFonts w:ascii="Times" w:hAnsi="Times"/>
        </w:rPr>
        <w:t xml:space="preserve"> -0.2 eV. </w:t>
      </w:r>
    </w:p>
    <w:p w14:paraId="2F52A589" w14:textId="77777777" w:rsidR="006240CE" w:rsidRPr="00DE5C17" w:rsidRDefault="006240CE">
      <w:pPr>
        <w:rPr>
          <w:rFonts w:ascii="Times" w:hAnsi="Times"/>
        </w:rPr>
      </w:pPr>
    </w:p>
    <w:sectPr w:rsidR="006240CE" w:rsidRPr="00DE5C17" w:rsidSect="000B05C1">
      <w:endnotePr>
        <w:numFmt w:val="decimal"/>
      </w:endnotePr>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F5444C" w14:textId="77777777" w:rsidR="00A04866" w:rsidRDefault="00A04866" w:rsidP="00CC3D35">
      <w:r>
        <w:separator/>
      </w:r>
    </w:p>
  </w:endnote>
  <w:endnote w:type="continuationSeparator" w:id="0">
    <w:p w14:paraId="02CCC7FA" w14:textId="77777777" w:rsidR="00A04866" w:rsidRDefault="00A04866" w:rsidP="00CC3D35">
      <w:r>
        <w:continuationSeparator/>
      </w:r>
    </w:p>
  </w:endnote>
  <w:endnote w:id="1">
    <w:p w14:paraId="20570F48" w14:textId="38CF8CAF" w:rsidR="0037365C" w:rsidRPr="00372CF7" w:rsidRDefault="0037365C">
      <w:pPr>
        <w:pStyle w:val="EndnoteText"/>
        <w:rPr>
          <w:rFonts w:ascii="Times" w:hAnsi="Times"/>
        </w:rPr>
      </w:pPr>
      <w:r w:rsidRPr="00372CF7">
        <w:rPr>
          <w:rStyle w:val="EndnoteReference"/>
          <w:rFonts w:ascii="Times" w:hAnsi="Times"/>
        </w:rPr>
        <w:endnoteRef/>
      </w:r>
      <w:r w:rsidRPr="00372CF7">
        <w:rPr>
          <w:rFonts w:ascii="Times" w:hAnsi="Times"/>
        </w:rPr>
        <w:t xml:space="preserve"> </w:t>
      </w:r>
      <w:r w:rsidR="00EF0113" w:rsidRPr="00372CF7">
        <w:rPr>
          <w:rFonts w:ascii="Times" w:hAnsi="Times"/>
        </w:rPr>
        <w:t xml:space="preserve">A. Taylor and R. W. Floyd, </w:t>
      </w:r>
      <w:proofErr w:type="spellStart"/>
      <w:r w:rsidR="00EF0113" w:rsidRPr="00372CF7">
        <w:rPr>
          <w:rFonts w:ascii="Times" w:hAnsi="Times"/>
          <w:i/>
        </w:rPr>
        <w:t>Acta</w:t>
      </w:r>
      <w:proofErr w:type="spellEnd"/>
      <w:r w:rsidR="00EF0113" w:rsidRPr="00372CF7">
        <w:rPr>
          <w:rFonts w:ascii="Times" w:hAnsi="Times"/>
          <w:i/>
        </w:rPr>
        <w:t xml:space="preserve"> </w:t>
      </w:r>
      <w:proofErr w:type="spellStart"/>
      <w:r w:rsidR="00EF0113" w:rsidRPr="00372CF7">
        <w:rPr>
          <w:rFonts w:ascii="Times" w:hAnsi="Times"/>
          <w:i/>
        </w:rPr>
        <w:t>Cryst</w:t>
      </w:r>
      <w:proofErr w:type="spellEnd"/>
      <w:r w:rsidR="00EF0113" w:rsidRPr="00372CF7">
        <w:rPr>
          <w:rFonts w:ascii="Times" w:hAnsi="Times"/>
          <w:i/>
        </w:rPr>
        <w:t>.</w:t>
      </w:r>
      <w:r w:rsidR="00EF0113" w:rsidRPr="00372CF7">
        <w:rPr>
          <w:rFonts w:ascii="Times" w:hAnsi="Times"/>
        </w:rPr>
        <w:t xml:space="preserve">, </w:t>
      </w:r>
      <w:r w:rsidR="00EF0113" w:rsidRPr="00372CF7">
        <w:rPr>
          <w:rFonts w:ascii="Times" w:hAnsi="Times"/>
          <w:b/>
        </w:rPr>
        <w:t>3</w:t>
      </w:r>
      <w:r w:rsidR="00EF0113" w:rsidRPr="00372CF7">
        <w:rPr>
          <w:rFonts w:ascii="Times" w:hAnsi="Times"/>
        </w:rPr>
        <w:t>, 285, 1950;</w:t>
      </w:r>
    </w:p>
  </w:endnote>
  <w:endnote w:id="2">
    <w:p w14:paraId="0F7869CE" w14:textId="68AB26BF" w:rsidR="00372CF7" w:rsidRPr="00A1047E" w:rsidRDefault="00372CF7">
      <w:pPr>
        <w:pStyle w:val="EndnoteText"/>
        <w:rPr>
          <w:rFonts w:ascii="Times" w:hAnsi="Times"/>
        </w:rPr>
      </w:pPr>
      <w:r w:rsidRPr="00A1047E">
        <w:rPr>
          <w:rStyle w:val="EndnoteReference"/>
          <w:rFonts w:ascii="Times" w:hAnsi="Times"/>
        </w:rPr>
        <w:endnoteRef/>
      </w:r>
      <w:r w:rsidRPr="00A1047E">
        <w:rPr>
          <w:rFonts w:ascii="Times" w:hAnsi="Times"/>
        </w:rPr>
        <w:t xml:space="preserve"> C. S. </w:t>
      </w:r>
      <w:proofErr w:type="spellStart"/>
      <w:r w:rsidRPr="00A1047E">
        <w:rPr>
          <w:rFonts w:ascii="Times" w:hAnsi="Times"/>
        </w:rPr>
        <w:t>Yoo</w:t>
      </w:r>
      <w:proofErr w:type="spellEnd"/>
      <w:r w:rsidRPr="00A1047E">
        <w:rPr>
          <w:rFonts w:ascii="Times" w:hAnsi="Times"/>
        </w:rPr>
        <w:t xml:space="preserve">, H. </w:t>
      </w:r>
      <w:proofErr w:type="spellStart"/>
      <w:r w:rsidRPr="00A1047E">
        <w:rPr>
          <w:rFonts w:ascii="Times" w:hAnsi="Times"/>
        </w:rPr>
        <w:t>Cynn</w:t>
      </w:r>
      <w:proofErr w:type="spellEnd"/>
      <w:r w:rsidRPr="00A1047E">
        <w:rPr>
          <w:rFonts w:ascii="Times" w:hAnsi="Times"/>
        </w:rPr>
        <w:t xml:space="preserve">, P. </w:t>
      </w:r>
      <w:proofErr w:type="spellStart"/>
      <w:r w:rsidRPr="00A1047E">
        <w:rPr>
          <w:rFonts w:ascii="Times" w:hAnsi="Times"/>
        </w:rPr>
        <w:t>Söderlind</w:t>
      </w:r>
      <w:proofErr w:type="spellEnd"/>
      <w:r w:rsidRPr="00A1047E">
        <w:rPr>
          <w:rFonts w:ascii="Times" w:hAnsi="Times"/>
        </w:rPr>
        <w:t xml:space="preserve"> and V. Iota, </w:t>
      </w:r>
      <w:r w:rsidRPr="00A1047E">
        <w:rPr>
          <w:rFonts w:ascii="Times" w:hAnsi="Times"/>
          <w:i/>
        </w:rPr>
        <w:t>Phys. Rev. Lett.</w:t>
      </w:r>
      <w:r w:rsidRPr="00A1047E">
        <w:rPr>
          <w:rFonts w:ascii="Times" w:hAnsi="Times"/>
        </w:rPr>
        <w:t xml:space="preserve">, </w:t>
      </w:r>
      <w:r w:rsidRPr="00A1047E">
        <w:rPr>
          <w:rFonts w:ascii="Times" w:hAnsi="Times"/>
          <w:b/>
        </w:rPr>
        <w:t>84</w:t>
      </w:r>
      <w:r w:rsidRPr="00A1047E">
        <w:rPr>
          <w:rFonts w:ascii="Times" w:hAnsi="Times"/>
        </w:rPr>
        <w:t>, 4132, 2000;</w:t>
      </w:r>
    </w:p>
  </w:endnote>
  <w:endnote w:id="3">
    <w:p w14:paraId="246FFAD1" w14:textId="39D2BC39" w:rsidR="00A1047E" w:rsidRPr="00F92173" w:rsidRDefault="00A1047E">
      <w:pPr>
        <w:pStyle w:val="EndnoteText"/>
        <w:rPr>
          <w:rFonts w:ascii="Times" w:hAnsi="Times"/>
        </w:rPr>
      </w:pPr>
      <w:r w:rsidRPr="00F92173">
        <w:rPr>
          <w:rStyle w:val="EndnoteReference"/>
          <w:rFonts w:ascii="Times" w:hAnsi="Times"/>
        </w:rPr>
        <w:endnoteRef/>
      </w:r>
      <w:r w:rsidRPr="00F92173">
        <w:rPr>
          <w:rFonts w:ascii="Times" w:hAnsi="Times"/>
        </w:rPr>
        <w:t xml:space="preserve"> L. Zhan, J. Z. Y. Chen, W.-K. Liu, and S. K. Lai, </w:t>
      </w:r>
      <w:r w:rsidRPr="00F92173">
        <w:rPr>
          <w:rFonts w:ascii="Times" w:hAnsi="Times"/>
          <w:i/>
        </w:rPr>
        <w:t>J. Chem. Phys.</w:t>
      </w:r>
      <w:r w:rsidRPr="00F92173">
        <w:rPr>
          <w:rFonts w:ascii="Times" w:hAnsi="Times"/>
        </w:rPr>
        <w:t xml:space="preserve">, </w:t>
      </w:r>
      <w:r w:rsidRPr="00F92173">
        <w:rPr>
          <w:rFonts w:ascii="Times" w:hAnsi="Times"/>
          <w:b/>
        </w:rPr>
        <w:t>122</w:t>
      </w:r>
      <w:r w:rsidRPr="00F92173">
        <w:rPr>
          <w:rFonts w:ascii="Times" w:hAnsi="Times"/>
        </w:rPr>
        <w:t>, 244707, 2005;</w:t>
      </w:r>
    </w:p>
  </w:endnote>
  <w:endnote w:id="4">
    <w:p w14:paraId="5CB9E63F" w14:textId="77777777" w:rsidR="00F92173" w:rsidRPr="00F92173" w:rsidRDefault="00F92173" w:rsidP="00F92173">
      <w:pPr>
        <w:pStyle w:val="EndnoteText"/>
        <w:rPr>
          <w:rFonts w:ascii="Times" w:hAnsi="Times"/>
        </w:rPr>
      </w:pPr>
      <w:r w:rsidRPr="00F92173">
        <w:rPr>
          <w:rStyle w:val="EndnoteReference"/>
          <w:rFonts w:ascii="Times" w:hAnsi="Times"/>
        </w:rPr>
        <w:endnoteRef/>
      </w:r>
      <w:r w:rsidRPr="00F92173">
        <w:rPr>
          <w:rFonts w:ascii="Times" w:hAnsi="Times"/>
        </w:rPr>
        <w:t xml:space="preserve"> J. Greeley, T. F. Jaramillo, J. </w:t>
      </w:r>
      <w:proofErr w:type="spellStart"/>
      <w:r w:rsidRPr="00F92173">
        <w:rPr>
          <w:rFonts w:ascii="Times" w:hAnsi="Times"/>
        </w:rPr>
        <w:t>Bonde</w:t>
      </w:r>
      <w:proofErr w:type="spellEnd"/>
      <w:r w:rsidRPr="00F92173">
        <w:rPr>
          <w:rFonts w:ascii="Times" w:hAnsi="Times"/>
        </w:rPr>
        <w:t xml:space="preserve">, I. </w:t>
      </w:r>
      <w:proofErr w:type="spellStart"/>
      <w:r w:rsidRPr="00F92173">
        <w:rPr>
          <w:rFonts w:ascii="Times" w:hAnsi="Times"/>
        </w:rPr>
        <w:t>Chorkendorff</w:t>
      </w:r>
      <w:proofErr w:type="spellEnd"/>
      <w:r w:rsidRPr="00F92173">
        <w:rPr>
          <w:rFonts w:ascii="Times" w:hAnsi="Times"/>
        </w:rPr>
        <w:t xml:space="preserve">, and J. K. </w:t>
      </w:r>
      <w:proofErr w:type="spellStart"/>
      <w:r w:rsidRPr="00F92173">
        <w:rPr>
          <w:rFonts w:ascii="Times" w:hAnsi="Times"/>
        </w:rPr>
        <w:t>Nørskov</w:t>
      </w:r>
      <w:proofErr w:type="spellEnd"/>
      <w:r w:rsidRPr="00F92173">
        <w:rPr>
          <w:rFonts w:ascii="Times" w:hAnsi="Times"/>
        </w:rPr>
        <w:t xml:space="preserve">, </w:t>
      </w:r>
      <w:r w:rsidRPr="00F92173">
        <w:rPr>
          <w:rFonts w:ascii="Times" w:hAnsi="Times"/>
          <w:i/>
        </w:rPr>
        <w:t>Nat. Mater.</w:t>
      </w:r>
      <w:r w:rsidRPr="00F92173">
        <w:rPr>
          <w:rFonts w:ascii="Times" w:hAnsi="Times"/>
        </w:rPr>
        <w:t xml:space="preserve">, </w:t>
      </w:r>
      <w:r w:rsidRPr="00F92173">
        <w:rPr>
          <w:rFonts w:ascii="Times" w:hAnsi="Times"/>
          <w:b/>
        </w:rPr>
        <w:t>5</w:t>
      </w:r>
      <w:r w:rsidRPr="00F92173">
        <w:rPr>
          <w:rFonts w:ascii="Times" w:hAnsi="Times"/>
        </w:rPr>
        <w:t>, 909, 2006;</w:t>
      </w:r>
    </w:p>
  </w:endnote>
  <w:endnote w:id="5">
    <w:p w14:paraId="6E6F197B" w14:textId="6318A6C3" w:rsidR="00F92173" w:rsidRPr="00F92173" w:rsidRDefault="00F92173">
      <w:pPr>
        <w:pStyle w:val="EndnoteText"/>
        <w:rPr>
          <w:rFonts w:ascii="Times" w:hAnsi="Times"/>
        </w:rPr>
      </w:pPr>
      <w:r w:rsidRPr="00F92173">
        <w:rPr>
          <w:rStyle w:val="EndnoteReference"/>
          <w:rFonts w:ascii="Times" w:hAnsi="Times"/>
        </w:rPr>
        <w:endnoteRef/>
      </w:r>
      <w:r w:rsidRPr="00F92173">
        <w:rPr>
          <w:rFonts w:ascii="Times" w:hAnsi="Times"/>
        </w:rPr>
        <w:t xml:space="preserve"> H. Zhang, Z. Ma, J. </w:t>
      </w:r>
      <w:proofErr w:type="spellStart"/>
      <w:r w:rsidRPr="00F92173">
        <w:rPr>
          <w:rFonts w:ascii="Times" w:hAnsi="Times"/>
        </w:rPr>
        <w:t>Duan</w:t>
      </w:r>
      <w:proofErr w:type="spellEnd"/>
      <w:r w:rsidRPr="00F92173">
        <w:rPr>
          <w:rFonts w:ascii="Times" w:hAnsi="Times"/>
        </w:rPr>
        <w:t xml:space="preserve">, H. Liu, G. Liu, T. Wang, K. Chang, M. Li, L. Shi, X. </w:t>
      </w:r>
      <w:proofErr w:type="spellStart"/>
      <w:r w:rsidRPr="00F92173">
        <w:rPr>
          <w:rFonts w:ascii="Times" w:hAnsi="Times"/>
        </w:rPr>
        <w:t>Meng</w:t>
      </w:r>
      <w:proofErr w:type="spellEnd"/>
      <w:r w:rsidRPr="00F92173">
        <w:rPr>
          <w:rFonts w:ascii="Times" w:hAnsi="Times"/>
        </w:rPr>
        <w:t xml:space="preserve">, K. Wu, and J. Ye, </w:t>
      </w:r>
      <w:r w:rsidRPr="00F92173">
        <w:rPr>
          <w:rFonts w:ascii="Times" w:hAnsi="Times"/>
          <w:i/>
        </w:rPr>
        <w:t>ACS Nano</w:t>
      </w:r>
      <w:r w:rsidRPr="00F92173">
        <w:rPr>
          <w:rFonts w:ascii="Times" w:hAnsi="Times"/>
        </w:rPr>
        <w:t xml:space="preserve">, </w:t>
      </w:r>
      <w:r w:rsidRPr="00F92173">
        <w:rPr>
          <w:rFonts w:ascii="Times" w:hAnsi="Times"/>
          <w:b/>
        </w:rPr>
        <w:t>10</w:t>
      </w:r>
      <w:r w:rsidRPr="00F92173">
        <w:rPr>
          <w:rFonts w:ascii="Times" w:hAnsi="Times"/>
        </w:rPr>
        <w:t>, 684, 2016;</w:t>
      </w:r>
    </w:p>
  </w:endnote>
  <w:endnote w:id="6">
    <w:p w14:paraId="4BCCA5B0" w14:textId="56B56566" w:rsidR="00F92173" w:rsidRPr="00E80FE8" w:rsidRDefault="00F92173">
      <w:pPr>
        <w:pStyle w:val="EndnoteText"/>
        <w:rPr>
          <w:rFonts w:ascii="Times" w:hAnsi="Times"/>
        </w:rPr>
      </w:pPr>
      <w:r w:rsidRPr="00E80FE8">
        <w:rPr>
          <w:rStyle w:val="EndnoteReference"/>
          <w:rFonts w:ascii="Times" w:hAnsi="Times"/>
        </w:rPr>
        <w:endnoteRef/>
      </w:r>
      <w:r w:rsidRPr="00E80FE8">
        <w:rPr>
          <w:rFonts w:ascii="Times" w:hAnsi="Times"/>
        </w:rPr>
        <w:t xml:space="preserve"> J. Su, Y. Yang, G. Xia, J. Chen, P. Jiang and Q. Chen, </w:t>
      </w:r>
      <w:r w:rsidRPr="00E80FE8">
        <w:rPr>
          <w:rFonts w:ascii="Times" w:hAnsi="Times"/>
          <w:i/>
        </w:rPr>
        <w:t xml:space="preserve">Nat. </w:t>
      </w:r>
      <w:proofErr w:type="spellStart"/>
      <w:r w:rsidRPr="00E80FE8">
        <w:rPr>
          <w:rFonts w:ascii="Times" w:hAnsi="Times"/>
          <w:i/>
        </w:rPr>
        <w:t>Commun</w:t>
      </w:r>
      <w:proofErr w:type="spellEnd"/>
      <w:r w:rsidRPr="00E80FE8">
        <w:rPr>
          <w:rFonts w:ascii="Times" w:hAnsi="Times"/>
          <w:i/>
        </w:rPr>
        <w:t>.</w:t>
      </w:r>
      <w:r w:rsidRPr="00E80FE8">
        <w:rPr>
          <w:rFonts w:ascii="Times" w:hAnsi="Times"/>
        </w:rPr>
        <w:t xml:space="preserve">, </w:t>
      </w:r>
      <w:r w:rsidRPr="00E80FE8">
        <w:rPr>
          <w:rFonts w:ascii="Times" w:hAnsi="Times"/>
          <w:b/>
        </w:rPr>
        <w:t>8</w:t>
      </w:r>
      <w:r w:rsidRPr="00E80FE8">
        <w:rPr>
          <w:rFonts w:ascii="Times" w:hAnsi="Times"/>
        </w:rPr>
        <w:t>, 14969, 2017;</w:t>
      </w:r>
    </w:p>
  </w:endnote>
  <w:endnote w:id="7">
    <w:p w14:paraId="5576D687" w14:textId="3DFA1EB8" w:rsidR="00E80FE8" w:rsidRPr="00E80FE8" w:rsidRDefault="00E80FE8">
      <w:pPr>
        <w:pStyle w:val="EndnoteText"/>
        <w:rPr>
          <w:rFonts w:ascii="Times" w:hAnsi="Times"/>
        </w:rPr>
      </w:pPr>
      <w:r w:rsidRPr="00E80FE8">
        <w:rPr>
          <w:rStyle w:val="EndnoteReference"/>
          <w:rFonts w:ascii="Times" w:hAnsi="Times"/>
        </w:rPr>
        <w:endnoteRef/>
      </w:r>
      <w:r w:rsidRPr="00E80FE8">
        <w:rPr>
          <w:rFonts w:ascii="Times" w:hAnsi="Times"/>
        </w:rPr>
        <w:t xml:space="preserve"> V. I. </w:t>
      </w:r>
      <w:proofErr w:type="spellStart"/>
      <w:r w:rsidRPr="00E80FE8">
        <w:rPr>
          <w:rFonts w:ascii="Times" w:hAnsi="Times"/>
        </w:rPr>
        <w:t>Anisimov</w:t>
      </w:r>
      <w:proofErr w:type="spellEnd"/>
      <w:r w:rsidRPr="00E80FE8">
        <w:rPr>
          <w:rFonts w:ascii="Times" w:hAnsi="Times"/>
        </w:rPr>
        <w:t xml:space="preserve">, J. </w:t>
      </w:r>
      <w:proofErr w:type="spellStart"/>
      <w:r w:rsidRPr="00E80FE8">
        <w:rPr>
          <w:rFonts w:ascii="Times" w:hAnsi="Times"/>
        </w:rPr>
        <w:t>Zaanen</w:t>
      </w:r>
      <w:proofErr w:type="spellEnd"/>
      <w:r w:rsidRPr="00E80FE8">
        <w:rPr>
          <w:rFonts w:ascii="Times" w:hAnsi="Times"/>
        </w:rPr>
        <w:t xml:space="preserve">, and O. K. Andersen, </w:t>
      </w:r>
      <w:r w:rsidRPr="00E80FE8">
        <w:rPr>
          <w:rFonts w:ascii="Times" w:hAnsi="Times"/>
          <w:i/>
        </w:rPr>
        <w:t>Phys. Rev. B</w:t>
      </w:r>
      <w:r w:rsidRPr="00E80FE8">
        <w:rPr>
          <w:rFonts w:ascii="Times" w:hAnsi="Times"/>
        </w:rPr>
        <w:t>,</w:t>
      </w:r>
      <w:r w:rsidRPr="00E80FE8">
        <w:rPr>
          <w:rFonts w:ascii="Times" w:hAnsi="Times"/>
          <w:b/>
        </w:rPr>
        <w:t xml:space="preserve"> 44</w:t>
      </w:r>
      <w:r w:rsidRPr="00E80FE8">
        <w:rPr>
          <w:rFonts w:ascii="Times" w:hAnsi="Times"/>
        </w:rPr>
        <w:t>, 943, 1991;</w:t>
      </w:r>
    </w:p>
  </w:endnote>
  <w:endnote w:id="8">
    <w:p w14:paraId="2FF69D65" w14:textId="77777777" w:rsidR="00CC3D35" w:rsidRPr="00E80FE8" w:rsidRDefault="00CC3D35">
      <w:pPr>
        <w:pStyle w:val="EndnoteText"/>
        <w:rPr>
          <w:rFonts w:ascii="Times" w:hAnsi="Times"/>
        </w:rPr>
      </w:pPr>
      <w:r w:rsidRPr="00E80FE8">
        <w:rPr>
          <w:rStyle w:val="EndnoteReference"/>
          <w:rFonts w:ascii="Times" w:hAnsi="Times"/>
        </w:rPr>
        <w:endnoteRef/>
      </w:r>
      <w:r w:rsidRPr="00E80FE8">
        <w:rPr>
          <w:rFonts w:ascii="Times" w:hAnsi="Times"/>
        </w:rPr>
        <w:t xml:space="preserve"> G. </w:t>
      </w:r>
      <w:proofErr w:type="spellStart"/>
      <w:r w:rsidRPr="00E80FE8">
        <w:rPr>
          <w:rFonts w:ascii="Times" w:hAnsi="Times"/>
        </w:rPr>
        <w:t>Kresse</w:t>
      </w:r>
      <w:proofErr w:type="spellEnd"/>
      <w:r w:rsidRPr="00E80FE8">
        <w:rPr>
          <w:rFonts w:ascii="Times" w:hAnsi="Times"/>
        </w:rPr>
        <w:t xml:space="preserve"> and J. </w:t>
      </w:r>
      <w:proofErr w:type="spellStart"/>
      <w:r w:rsidRPr="00E80FE8">
        <w:rPr>
          <w:rFonts w:ascii="Times" w:hAnsi="Times"/>
        </w:rPr>
        <w:t>Furthmüller</w:t>
      </w:r>
      <w:proofErr w:type="spellEnd"/>
      <w:r w:rsidRPr="00E80FE8">
        <w:rPr>
          <w:rFonts w:ascii="Times" w:hAnsi="Times"/>
        </w:rPr>
        <w:t xml:space="preserve">, </w:t>
      </w:r>
      <w:proofErr w:type="spellStart"/>
      <w:r w:rsidRPr="00E80FE8">
        <w:rPr>
          <w:rFonts w:ascii="Times" w:hAnsi="Times"/>
          <w:i/>
        </w:rPr>
        <w:t>Comput</w:t>
      </w:r>
      <w:proofErr w:type="spellEnd"/>
      <w:r w:rsidRPr="00E80FE8">
        <w:rPr>
          <w:rFonts w:ascii="Times" w:hAnsi="Times"/>
          <w:i/>
        </w:rPr>
        <w:t>. Mat. Sci.</w:t>
      </w:r>
      <w:r w:rsidR="003A3504" w:rsidRPr="00E80FE8">
        <w:rPr>
          <w:rFonts w:ascii="Times" w:hAnsi="Times"/>
        </w:rPr>
        <w:t xml:space="preserve">, </w:t>
      </w:r>
      <w:r w:rsidR="003A3504" w:rsidRPr="00E80FE8">
        <w:rPr>
          <w:rFonts w:ascii="Times" w:hAnsi="Times"/>
          <w:b/>
        </w:rPr>
        <w:t>6</w:t>
      </w:r>
      <w:r w:rsidR="003A3504" w:rsidRPr="00E80FE8">
        <w:rPr>
          <w:rFonts w:ascii="Times" w:hAnsi="Times"/>
        </w:rPr>
        <w:t>, 15, 1996;</w:t>
      </w:r>
    </w:p>
  </w:endnote>
  <w:endnote w:id="9">
    <w:p w14:paraId="230106A8" w14:textId="77777777" w:rsidR="003A3504" w:rsidRPr="00E80FE8" w:rsidRDefault="003A3504">
      <w:pPr>
        <w:pStyle w:val="EndnoteText"/>
        <w:rPr>
          <w:rFonts w:ascii="Times" w:hAnsi="Times"/>
        </w:rPr>
      </w:pPr>
      <w:r w:rsidRPr="00E80FE8">
        <w:rPr>
          <w:rStyle w:val="EndnoteReference"/>
          <w:rFonts w:ascii="Times" w:hAnsi="Times"/>
        </w:rPr>
        <w:endnoteRef/>
      </w:r>
      <w:r w:rsidRPr="00E80FE8">
        <w:rPr>
          <w:rFonts w:ascii="Times" w:hAnsi="Times"/>
        </w:rPr>
        <w:t xml:space="preserve"> G. </w:t>
      </w:r>
      <w:proofErr w:type="spellStart"/>
      <w:r w:rsidRPr="00E80FE8">
        <w:rPr>
          <w:rFonts w:ascii="Times" w:hAnsi="Times"/>
        </w:rPr>
        <w:t>Kresse</w:t>
      </w:r>
      <w:proofErr w:type="spellEnd"/>
      <w:r w:rsidRPr="00E80FE8">
        <w:rPr>
          <w:rFonts w:ascii="Times" w:hAnsi="Times"/>
        </w:rPr>
        <w:t xml:space="preserve"> and J. </w:t>
      </w:r>
      <w:proofErr w:type="spellStart"/>
      <w:r w:rsidRPr="00E80FE8">
        <w:rPr>
          <w:rFonts w:ascii="Times" w:hAnsi="Times"/>
        </w:rPr>
        <w:t>Furthmüller</w:t>
      </w:r>
      <w:proofErr w:type="spellEnd"/>
      <w:r w:rsidRPr="00E80FE8">
        <w:rPr>
          <w:rFonts w:ascii="Times" w:hAnsi="Times"/>
        </w:rPr>
        <w:t xml:space="preserve">, </w:t>
      </w:r>
      <w:r w:rsidRPr="00E80FE8">
        <w:rPr>
          <w:rFonts w:ascii="Times" w:hAnsi="Times"/>
          <w:i/>
        </w:rPr>
        <w:t>Phys. Rev. B</w:t>
      </w:r>
      <w:r w:rsidRPr="00E80FE8">
        <w:rPr>
          <w:rFonts w:ascii="Times" w:hAnsi="Times"/>
        </w:rPr>
        <w:t xml:space="preserve">, </w:t>
      </w:r>
      <w:r w:rsidRPr="00E80FE8">
        <w:rPr>
          <w:rFonts w:ascii="Times" w:hAnsi="Times"/>
          <w:b/>
        </w:rPr>
        <w:t>54</w:t>
      </w:r>
      <w:r w:rsidRPr="00E80FE8">
        <w:rPr>
          <w:rFonts w:ascii="Times" w:hAnsi="Times"/>
        </w:rPr>
        <w:t>, 11169, 1996;</w:t>
      </w:r>
    </w:p>
  </w:endnote>
  <w:endnote w:id="10">
    <w:p w14:paraId="79692223" w14:textId="77777777" w:rsidR="003A3504" w:rsidRPr="00E80FE8" w:rsidRDefault="003A3504">
      <w:pPr>
        <w:pStyle w:val="EndnoteText"/>
        <w:rPr>
          <w:rFonts w:ascii="Times" w:hAnsi="Times"/>
        </w:rPr>
      </w:pPr>
      <w:r w:rsidRPr="00E80FE8">
        <w:rPr>
          <w:rStyle w:val="EndnoteReference"/>
          <w:rFonts w:ascii="Times" w:hAnsi="Times"/>
        </w:rPr>
        <w:endnoteRef/>
      </w:r>
      <w:r w:rsidRPr="00E80FE8">
        <w:rPr>
          <w:rFonts w:ascii="Times" w:hAnsi="Times"/>
        </w:rPr>
        <w:t xml:space="preserve"> J. P. </w:t>
      </w:r>
      <w:proofErr w:type="spellStart"/>
      <w:r w:rsidRPr="00E80FE8">
        <w:rPr>
          <w:rFonts w:ascii="Times" w:hAnsi="Times"/>
        </w:rPr>
        <w:t>Perdew</w:t>
      </w:r>
      <w:proofErr w:type="spellEnd"/>
      <w:r w:rsidRPr="00E80FE8">
        <w:rPr>
          <w:rFonts w:ascii="Times" w:hAnsi="Times"/>
        </w:rPr>
        <w:t xml:space="preserve">, K. Burke, and M. </w:t>
      </w:r>
      <w:proofErr w:type="spellStart"/>
      <w:r w:rsidRPr="00E80FE8">
        <w:rPr>
          <w:rFonts w:ascii="Times" w:hAnsi="Times"/>
        </w:rPr>
        <w:t>Ernzerhof</w:t>
      </w:r>
      <w:proofErr w:type="spellEnd"/>
      <w:r w:rsidRPr="00E80FE8">
        <w:rPr>
          <w:rFonts w:ascii="Times" w:hAnsi="Times"/>
        </w:rPr>
        <w:t xml:space="preserve">, </w:t>
      </w:r>
      <w:r w:rsidRPr="00E80FE8">
        <w:rPr>
          <w:rFonts w:ascii="Times" w:hAnsi="Times"/>
          <w:i/>
        </w:rPr>
        <w:t>Phys. Rev. Lett.</w:t>
      </w:r>
      <w:r w:rsidRPr="00E80FE8">
        <w:rPr>
          <w:rFonts w:ascii="Times" w:hAnsi="Times"/>
        </w:rPr>
        <w:t xml:space="preserve">, </w:t>
      </w:r>
      <w:r w:rsidRPr="00E80FE8">
        <w:rPr>
          <w:rFonts w:ascii="Times" w:hAnsi="Times"/>
          <w:b/>
        </w:rPr>
        <w:t>77</w:t>
      </w:r>
      <w:r w:rsidRPr="00E80FE8">
        <w:rPr>
          <w:rFonts w:ascii="Times" w:hAnsi="Times"/>
        </w:rPr>
        <w:t xml:space="preserve">, 3865, 1996; </w:t>
      </w:r>
    </w:p>
  </w:endnote>
  <w:endnote w:id="11">
    <w:p w14:paraId="514F8104" w14:textId="77777777" w:rsidR="003A3504" w:rsidRPr="003A3504" w:rsidRDefault="003A3504">
      <w:pPr>
        <w:pStyle w:val="EndnoteText"/>
        <w:rPr>
          <w:rFonts w:ascii="Times" w:hAnsi="Times"/>
        </w:rPr>
      </w:pPr>
      <w:r w:rsidRPr="003A3504">
        <w:rPr>
          <w:rStyle w:val="EndnoteReference"/>
          <w:rFonts w:ascii="Times" w:hAnsi="Times"/>
        </w:rPr>
        <w:endnoteRef/>
      </w:r>
      <w:r w:rsidRPr="003A3504">
        <w:rPr>
          <w:rFonts w:ascii="Times" w:hAnsi="Times"/>
        </w:rPr>
        <w:t xml:space="preserve"> J. P. </w:t>
      </w:r>
      <w:proofErr w:type="spellStart"/>
      <w:r w:rsidRPr="003A3504">
        <w:rPr>
          <w:rFonts w:ascii="Times" w:hAnsi="Times"/>
        </w:rPr>
        <w:t>Perdew</w:t>
      </w:r>
      <w:proofErr w:type="spellEnd"/>
      <w:r w:rsidRPr="003A3504">
        <w:rPr>
          <w:rFonts w:ascii="Times" w:hAnsi="Times"/>
        </w:rPr>
        <w:t xml:space="preserve">, K. Burke, and M. </w:t>
      </w:r>
      <w:proofErr w:type="spellStart"/>
      <w:r w:rsidRPr="003A3504">
        <w:rPr>
          <w:rFonts w:ascii="Times" w:hAnsi="Times"/>
        </w:rPr>
        <w:t>Ernzerhof</w:t>
      </w:r>
      <w:proofErr w:type="spellEnd"/>
      <w:r w:rsidRPr="003A3504">
        <w:rPr>
          <w:rFonts w:ascii="Times" w:hAnsi="Times"/>
        </w:rPr>
        <w:t xml:space="preserve">, </w:t>
      </w:r>
      <w:r w:rsidRPr="003A3504">
        <w:rPr>
          <w:rFonts w:ascii="Times" w:hAnsi="Times"/>
          <w:i/>
        </w:rPr>
        <w:t>Phys. Rev. Lett.</w:t>
      </w:r>
      <w:r w:rsidRPr="003A3504">
        <w:rPr>
          <w:rFonts w:ascii="Times" w:hAnsi="Times"/>
        </w:rPr>
        <w:t xml:space="preserve">, </w:t>
      </w:r>
      <w:r w:rsidRPr="003A3504">
        <w:rPr>
          <w:rFonts w:ascii="Times" w:hAnsi="Times"/>
          <w:b/>
        </w:rPr>
        <w:t>78</w:t>
      </w:r>
      <w:r w:rsidRPr="003A3504">
        <w:rPr>
          <w:rFonts w:ascii="Times" w:hAnsi="Times"/>
        </w:rPr>
        <w:t>, 1396, 1997;</w:t>
      </w:r>
    </w:p>
  </w:endnote>
  <w:endnote w:id="12">
    <w:p w14:paraId="72154A4C" w14:textId="77777777" w:rsidR="003A3504" w:rsidRPr="003A3504" w:rsidRDefault="003A3504">
      <w:pPr>
        <w:pStyle w:val="EndnoteText"/>
        <w:rPr>
          <w:rFonts w:ascii="Times" w:hAnsi="Times"/>
        </w:rPr>
      </w:pPr>
      <w:r w:rsidRPr="003A3504">
        <w:rPr>
          <w:rStyle w:val="EndnoteReference"/>
          <w:rFonts w:ascii="Times" w:hAnsi="Times"/>
        </w:rPr>
        <w:endnoteRef/>
      </w:r>
      <w:r w:rsidRPr="003A3504">
        <w:rPr>
          <w:rFonts w:ascii="Times" w:hAnsi="Times"/>
        </w:rPr>
        <w:t xml:space="preserve"> P. E. </w:t>
      </w:r>
      <w:proofErr w:type="spellStart"/>
      <w:r w:rsidRPr="003A3504">
        <w:rPr>
          <w:rFonts w:ascii="Times" w:hAnsi="Times"/>
        </w:rPr>
        <w:t>Blochl</w:t>
      </w:r>
      <w:proofErr w:type="spellEnd"/>
      <w:r w:rsidRPr="003A3504">
        <w:rPr>
          <w:rFonts w:ascii="Times" w:hAnsi="Times"/>
        </w:rPr>
        <w:t xml:space="preserve">, </w:t>
      </w:r>
      <w:r w:rsidRPr="003A3504">
        <w:rPr>
          <w:rFonts w:ascii="Times" w:hAnsi="Times"/>
          <w:i/>
        </w:rPr>
        <w:t>Phys. Rev. B</w:t>
      </w:r>
      <w:r w:rsidRPr="003A3504">
        <w:rPr>
          <w:rFonts w:ascii="Times" w:hAnsi="Times"/>
        </w:rPr>
        <w:t xml:space="preserve">, </w:t>
      </w:r>
      <w:r w:rsidRPr="003A3504">
        <w:rPr>
          <w:rFonts w:ascii="Times" w:hAnsi="Times"/>
          <w:b/>
        </w:rPr>
        <w:t>50</w:t>
      </w:r>
      <w:r w:rsidRPr="003A3504">
        <w:rPr>
          <w:rFonts w:ascii="Times" w:hAnsi="Times"/>
        </w:rPr>
        <w:t>, 17953, 1994;</w:t>
      </w:r>
    </w:p>
  </w:endnote>
  <w:endnote w:id="13">
    <w:p w14:paraId="35D02944" w14:textId="77777777" w:rsidR="003A3504" w:rsidRPr="00117EA4" w:rsidRDefault="003A3504">
      <w:pPr>
        <w:pStyle w:val="EndnoteText"/>
        <w:rPr>
          <w:rFonts w:ascii="Times" w:hAnsi="Times"/>
        </w:rPr>
      </w:pPr>
      <w:r w:rsidRPr="00117EA4">
        <w:rPr>
          <w:rStyle w:val="EndnoteReference"/>
          <w:rFonts w:ascii="Times" w:hAnsi="Times"/>
        </w:rPr>
        <w:endnoteRef/>
      </w:r>
      <w:r w:rsidRPr="00117EA4">
        <w:rPr>
          <w:rFonts w:ascii="Times" w:hAnsi="Times"/>
        </w:rPr>
        <w:t xml:space="preserve"> G. </w:t>
      </w:r>
      <w:proofErr w:type="spellStart"/>
      <w:r w:rsidRPr="00117EA4">
        <w:rPr>
          <w:rFonts w:ascii="Times" w:hAnsi="Times"/>
        </w:rPr>
        <w:t>Kresse</w:t>
      </w:r>
      <w:proofErr w:type="spellEnd"/>
      <w:r w:rsidRPr="00117EA4">
        <w:rPr>
          <w:rFonts w:ascii="Times" w:hAnsi="Times"/>
        </w:rPr>
        <w:t xml:space="preserve">, and D. </w:t>
      </w:r>
      <w:proofErr w:type="spellStart"/>
      <w:r w:rsidRPr="00117EA4">
        <w:rPr>
          <w:rFonts w:ascii="Times" w:hAnsi="Times"/>
        </w:rPr>
        <w:t>Joubert</w:t>
      </w:r>
      <w:proofErr w:type="spellEnd"/>
      <w:r w:rsidRPr="00117EA4">
        <w:rPr>
          <w:rFonts w:ascii="Times" w:hAnsi="Times"/>
        </w:rPr>
        <w:t xml:space="preserve">, </w:t>
      </w:r>
      <w:r w:rsidRPr="00117EA4">
        <w:rPr>
          <w:rFonts w:ascii="Times" w:hAnsi="Times"/>
          <w:i/>
        </w:rPr>
        <w:t>Phys. Rev. B</w:t>
      </w:r>
      <w:r w:rsidRPr="00117EA4">
        <w:rPr>
          <w:rFonts w:ascii="Times" w:hAnsi="Times"/>
        </w:rPr>
        <w:t xml:space="preserve">, </w:t>
      </w:r>
      <w:r w:rsidRPr="00117EA4">
        <w:rPr>
          <w:rFonts w:ascii="Times" w:hAnsi="Times"/>
          <w:b/>
        </w:rPr>
        <w:t>59</w:t>
      </w:r>
      <w:r w:rsidRPr="00117EA4">
        <w:rPr>
          <w:rFonts w:ascii="Times" w:hAnsi="Times"/>
        </w:rPr>
        <w:t>, 1758, 1999;</w:t>
      </w:r>
    </w:p>
  </w:endnote>
  <w:endnote w:id="14">
    <w:p w14:paraId="0DCBDFA9" w14:textId="77777777" w:rsidR="00117EA4" w:rsidRPr="00117EA4" w:rsidRDefault="00117EA4">
      <w:pPr>
        <w:pStyle w:val="EndnoteText"/>
        <w:rPr>
          <w:rFonts w:ascii="Times" w:hAnsi="Times"/>
        </w:rPr>
      </w:pPr>
      <w:r w:rsidRPr="00117EA4">
        <w:rPr>
          <w:rStyle w:val="EndnoteReference"/>
          <w:rFonts w:ascii="Times" w:hAnsi="Times"/>
        </w:rPr>
        <w:endnoteRef/>
      </w:r>
      <w:r w:rsidRPr="00117EA4">
        <w:rPr>
          <w:rFonts w:ascii="Times" w:hAnsi="Times"/>
        </w:rPr>
        <w:t xml:space="preserve"> S. L. </w:t>
      </w:r>
      <w:proofErr w:type="spellStart"/>
      <w:r w:rsidRPr="00117EA4">
        <w:rPr>
          <w:rFonts w:ascii="Times" w:hAnsi="Times"/>
        </w:rPr>
        <w:t>Dudarev</w:t>
      </w:r>
      <w:proofErr w:type="spellEnd"/>
      <w:r w:rsidRPr="00117EA4">
        <w:rPr>
          <w:rFonts w:ascii="Times" w:hAnsi="Times"/>
        </w:rPr>
        <w:t xml:space="preserve">, S. Y. </w:t>
      </w:r>
      <w:proofErr w:type="spellStart"/>
      <w:r w:rsidRPr="00117EA4">
        <w:rPr>
          <w:rFonts w:ascii="Times" w:hAnsi="Times"/>
        </w:rPr>
        <w:t>Savrasov</w:t>
      </w:r>
      <w:proofErr w:type="spellEnd"/>
      <w:r w:rsidRPr="00117EA4">
        <w:rPr>
          <w:rFonts w:ascii="Times" w:hAnsi="Times"/>
        </w:rPr>
        <w:t xml:space="preserve">, C. J. Humphreys, and A. P. </w:t>
      </w:r>
      <w:proofErr w:type="spellStart"/>
      <w:r w:rsidRPr="00117EA4">
        <w:rPr>
          <w:rFonts w:ascii="Times" w:hAnsi="Times"/>
        </w:rPr>
        <w:t>Suttom</w:t>
      </w:r>
      <w:proofErr w:type="spellEnd"/>
      <w:r w:rsidRPr="00117EA4">
        <w:rPr>
          <w:rFonts w:ascii="Times" w:hAnsi="Times"/>
        </w:rPr>
        <w:t xml:space="preserve">, </w:t>
      </w:r>
      <w:r w:rsidRPr="00117EA4">
        <w:rPr>
          <w:rFonts w:ascii="Times" w:hAnsi="Times"/>
          <w:i/>
        </w:rPr>
        <w:t>Phys. Rev. B</w:t>
      </w:r>
      <w:r w:rsidRPr="00117EA4">
        <w:rPr>
          <w:rFonts w:ascii="Times" w:hAnsi="Times"/>
        </w:rPr>
        <w:t xml:space="preserve">, </w:t>
      </w:r>
      <w:r w:rsidRPr="00117EA4">
        <w:rPr>
          <w:rFonts w:ascii="Times" w:hAnsi="Times"/>
          <w:b/>
        </w:rPr>
        <w:t>57</w:t>
      </w:r>
      <w:r w:rsidRPr="00117EA4">
        <w:rPr>
          <w:rFonts w:ascii="Times" w:hAnsi="Times"/>
        </w:rPr>
        <w:t>, 1505, 1998;</w:t>
      </w:r>
    </w:p>
  </w:endnote>
  <w:endnote w:id="15">
    <w:p w14:paraId="61501495" w14:textId="77777777" w:rsidR="00117EA4" w:rsidRPr="00117EA4" w:rsidRDefault="00117EA4">
      <w:pPr>
        <w:pStyle w:val="EndnoteText"/>
        <w:rPr>
          <w:rFonts w:ascii="Times" w:hAnsi="Times"/>
        </w:rPr>
      </w:pPr>
      <w:r w:rsidRPr="00117EA4">
        <w:rPr>
          <w:rStyle w:val="EndnoteReference"/>
          <w:rFonts w:ascii="Times" w:hAnsi="Times"/>
        </w:rPr>
        <w:endnoteRef/>
      </w:r>
      <w:r w:rsidRPr="00117EA4">
        <w:rPr>
          <w:rFonts w:ascii="Times" w:hAnsi="Times"/>
        </w:rPr>
        <w:t xml:space="preserve"> L. Wang, T. </w:t>
      </w:r>
      <w:proofErr w:type="spellStart"/>
      <w:r w:rsidRPr="00117EA4">
        <w:rPr>
          <w:rFonts w:ascii="Times" w:hAnsi="Times"/>
        </w:rPr>
        <w:t>Maxisch</w:t>
      </w:r>
      <w:proofErr w:type="spellEnd"/>
      <w:r w:rsidRPr="00117EA4">
        <w:rPr>
          <w:rFonts w:ascii="Times" w:hAnsi="Times"/>
        </w:rPr>
        <w:t xml:space="preserve">, and G. </w:t>
      </w:r>
      <w:proofErr w:type="spellStart"/>
      <w:r w:rsidRPr="00117EA4">
        <w:rPr>
          <w:rFonts w:ascii="Times" w:hAnsi="Times"/>
        </w:rPr>
        <w:t>Ceder</w:t>
      </w:r>
      <w:proofErr w:type="spellEnd"/>
      <w:r w:rsidRPr="00117EA4">
        <w:rPr>
          <w:rFonts w:ascii="Times" w:hAnsi="Times"/>
        </w:rPr>
        <w:t xml:space="preserve">, </w:t>
      </w:r>
      <w:r w:rsidRPr="00117EA4">
        <w:rPr>
          <w:rFonts w:ascii="Times" w:hAnsi="Times"/>
          <w:i/>
        </w:rPr>
        <w:t>Phys. Rev. B</w:t>
      </w:r>
      <w:r w:rsidRPr="00117EA4">
        <w:rPr>
          <w:rFonts w:ascii="Times" w:hAnsi="Times"/>
        </w:rPr>
        <w:t xml:space="preserve">, </w:t>
      </w:r>
      <w:r w:rsidRPr="00117EA4">
        <w:rPr>
          <w:rFonts w:ascii="Times" w:hAnsi="Times"/>
          <w:b/>
        </w:rPr>
        <w:t>73</w:t>
      </w:r>
      <w:r w:rsidRPr="00117EA4">
        <w:rPr>
          <w:rFonts w:ascii="Times" w:hAnsi="Times"/>
        </w:rPr>
        <w:t>, 195107, 2006;</w:t>
      </w:r>
    </w:p>
  </w:endnote>
  <w:endnote w:id="16">
    <w:p w14:paraId="0C6D5864" w14:textId="125C2ADC" w:rsidR="0014421E" w:rsidRPr="0014421E" w:rsidRDefault="0014421E">
      <w:pPr>
        <w:pStyle w:val="EndnoteText"/>
        <w:rPr>
          <w:rFonts w:ascii="Times" w:hAnsi="Times"/>
        </w:rPr>
      </w:pPr>
      <w:r w:rsidRPr="0014421E">
        <w:rPr>
          <w:rStyle w:val="EndnoteReference"/>
          <w:rFonts w:ascii="Times" w:hAnsi="Times"/>
        </w:rPr>
        <w:endnoteRef/>
      </w:r>
      <w:r w:rsidRPr="0014421E">
        <w:rPr>
          <w:rFonts w:ascii="Times" w:hAnsi="Times"/>
        </w:rPr>
        <w:t xml:space="preserve"> </w:t>
      </w:r>
      <w:r>
        <w:rPr>
          <w:rFonts w:ascii="Times" w:hAnsi="Times"/>
        </w:rPr>
        <w:t xml:space="preserve">J. K. </w:t>
      </w:r>
      <w:proofErr w:type="spellStart"/>
      <w:r>
        <w:rPr>
          <w:rFonts w:ascii="Times" w:hAnsi="Times"/>
        </w:rPr>
        <w:t>Nørskov</w:t>
      </w:r>
      <w:proofErr w:type="spellEnd"/>
      <w:r>
        <w:rPr>
          <w:rFonts w:ascii="Times" w:hAnsi="Times"/>
        </w:rPr>
        <w:t xml:space="preserve">, T. </w:t>
      </w:r>
      <w:proofErr w:type="spellStart"/>
      <w:r>
        <w:rPr>
          <w:rFonts w:ascii="Times" w:hAnsi="Times"/>
        </w:rPr>
        <w:t>Bligaard</w:t>
      </w:r>
      <w:proofErr w:type="spellEnd"/>
      <w:r>
        <w:rPr>
          <w:rFonts w:ascii="Times" w:hAnsi="Times"/>
        </w:rPr>
        <w:t xml:space="preserve">, A. </w:t>
      </w:r>
      <w:proofErr w:type="spellStart"/>
      <w:r>
        <w:rPr>
          <w:rFonts w:ascii="Times" w:hAnsi="Times"/>
        </w:rPr>
        <w:t>Logadottir</w:t>
      </w:r>
      <w:proofErr w:type="spellEnd"/>
      <w:r>
        <w:rPr>
          <w:rFonts w:ascii="Times" w:hAnsi="Times"/>
        </w:rPr>
        <w:t xml:space="preserve">, J. R. </w:t>
      </w:r>
      <w:proofErr w:type="spellStart"/>
      <w:r>
        <w:rPr>
          <w:rFonts w:ascii="Times" w:hAnsi="Times"/>
        </w:rPr>
        <w:t>Kitchin</w:t>
      </w:r>
      <w:proofErr w:type="spellEnd"/>
      <w:r>
        <w:rPr>
          <w:rFonts w:ascii="Times" w:hAnsi="Times"/>
        </w:rPr>
        <w:t xml:space="preserve">, J. G. Chen, S. </w:t>
      </w:r>
      <w:proofErr w:type="spellStart"/>
      <w:r>
        <w:rPr>
          <w:rFonts w:ascii="Times" w:hAnsi="Times"/>
        </w:rPr>
        <w:t>Pandelov</w:t>
      </w:r>
      <w:proofErr w:type="spellEnd"/>
      <w:r>
        <w:rPr>
          <w:rFonts w:ascii="Times" w:hAnsi="Times"/>
        </w:rPr>
        <w:t xml:space="preserve">, and U. Stimming, </w:t>
      </w:r>
      <w:r>
        <w:rPr>
          <w:rFonts w:ascii="Times" w:hAnsi="Times"/>
          <w:i/>
        </w:rPr>
        <w:t xml:space="preserve">J. </w:t>
      </w:r>
      <w:proofErr w:type="spellStart"/>
      <w:r>
        <w:rPr>
          <w:rFonts w:ascii="Times" w:hAnsi="Times"/>
          <w:i/>
        </w:rPr>
        <w:t>Electrochem</w:t>
      </w:r>
      <w:proofErr w:type="spellEnd"/>
      <w:r>
        <w:rPr>
          <w:rFonts w:ascii="Times" w:hAnsi="Times"/>
          <w:i/>
        </w:rPr>
        <w:t>. Soc.</w:t>
      </w:r>
      <w:r>
        <w:rPr>
          <w:rFonts w:ascii="Times" w:hAnsi="Times"/>
        </w:rPr>
        <w:t xml:space="preserve">, </w:t>
      </w:r>
      <w:r>
        <w:rPr>
          <w:rFonts w:ascii="Times" w:hAnsi="Times"/>
          <w:b/>
        </w:rPr>
        <w:t>152</w:t>
      </w:r>
      <w:r>
        <w:rPr>
          <w:rFonts w:ascii="Times" w:hAnsi="Times"/>
        </w:rPr>
        <w:t>, J23, 2005;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1748D8" w14:textId="77777777" w:rsidR="00A04866" w:rsidRDefault="00A04866" w:rsidP="00CC3D35">
      <w:r>
        <w:separator/>
      </w:r>
    </w:p>
  </w:footnote>
  <w:footnote w:type="continuationSeparator" w:id="0">
    <w:p w14:paraId="56EA660F" w14:textId="77777777" w:rsidR="00A04866" w:rsidRDefault="00A04866" w:rsidP="00CC3D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1D1"/>
    <w:rsid w:val="00032465"/>
    <w:rsid w:val="0005583C"/>
    <w:rsid w:val="00091B15"/>
    <w:rsid w:val="000B05C1"/>
    <w:rsid w:val="000C11DB"/>
    <w:rsid w:val="000C4314"/>
    <w:rsid w:val="000E0FA2"/>
    <w:rsid w:val="000E243C"/>
    <w:rsid w:val="00117EA4"/>
    <w:rsid w:val="0014421E"/>
    <w:rsid w:val="0018341D"/>
    <w:rsid w:val="00203C63"/>
    <w:rsid w:val="00204857"/>
    <w:rsid w:val="00221675"/>
    <w:rsid w:val="002255E4"/>
    <w:rsid w:val="002400C7"/>
    <w:rsid w:val="00240515"/>
    <w:rsid w:val="002639DA"/>
    <w:rsid w:val="002A0322"/>
    <w:rsid w:val="002D1F53"/>
    <w:rsid w:val="002E18C2"/>
    <w:rsid w:val="002E48A5"/>
    <w:rsid w:val="002E7746"/>
    <w:rsid w:val="002F248F"/>
    <w:rsid w:val="00320ED9"/>
    <w:rsid w:val="00327052"/>
    <w:rsid w:val="00354A89"/>
    <w:rsid w:val="00372CF7"/>
    <w:rsid w:val="0037365C"/>
    <w:rsid w:val="003A0150"/>
    <w:rsid w:val="003A3504"/>
    <w:rsid w:val="003A3FD2"/>
    <w:rsid w:val="003A5021"/>
    <w:rsid w:val="00440B2C"/>
    <w:rsid w:val="00452EF7"/>
    <w:rsid w:val="00473849"/>
    <w:rsid w:val="0047387C"/>
    <w:rsid w:val="00522F19"/>
    <w:rsid w:val="00531B4C"/>
    <w:rsid w:val="005500C4"/>
    <w:rsid w:val="00551317"/>
    <w:rsid w:val="005562CA"/>
    <w:rsid w:val="00556E19"/>
    <w:rsid w:val="00571322"/>
    <w:rsid w:val="00571E36"/>
    <w:rsid w:val="00581167"/>
    <w:rsid w:val="00593FA3"/>
    <w:rsid w:val="005A6E7E"/>
    <w:rsid w:val="005B5861"/>
    <w:rsid w:val="005C21D1"/>
    <w:rsid w:val="006240CE"/>
    <w:rsid w:val="00667027"/>
    <w:rsid w:val="00670335"/>
    <w:rsid w:val="006757FA"/>
    <w:rsid w:val="00675948"/>
    <w:rsid w:val="00676529"/>
    <w:rsid w:val="00692E44"/>
    <w:rsid w:val="006B1A5D"/>
    <w:rsid w:val="006D4713"/>
    <w:rsid w:val="006E23CD"/>
    <w:rsid w:val="00717507"/>
    <w:rsid w:val="007259CE"/>
    <w:rsid w:val="00746A7C"/>
    <w:rsid w:val="007715D3"/>
    <w:rsid w:val="00790E7E"/>
    <w:rsid w:val="0080213F"/>
    <w:rsid w:val="00815438"/>
    <w:rsid w:val="00820E9F"/>
    <w:rsid w:val="00825096"/>
    <w:rsid w:val="008A0FB1"/>
    <w:rsid w:val="008B53E6"/>
    <w:rsid w:val="0091168E"/>
    <w:rsid w:val="0092177C"/>
    <w:rsid w:val="009526CF"/>
    <w:rsid w:val="00A04866"/>
    <w:rsid w:val="00A1047E"/>
    <w:rsid w:val="00A16733"/>
    <w:rsid w:val="00A25F66"/>
    <w:rsid w:val="00A37281"/>
    <w:rsid w:val="00A52847"/>
    <w:rsid w:val="00A844B4"/>
    <w:rsid w:val="00AA3D44"/>
    <w:rsid w:val="00AB06BA"/>
    <w:rsid w:val="00AC4D0E"/>
    <w:rsid w:val="00B45787"/>
    <w:rsid w:val="00B61978"/>
    <w:rsid w:val="00B739BC"/>
    <w:rsid w:val="00B826B3"/>
    <w:rsid w:val="00B91BE1"/>
    <w:rsid w:val="00BB2213"/>
    <w:rsid w:val="00BB24ED"/>
    <w:rsid w:val="00BD74F9"/>
    <w:rsid w:val="00BE08BB"/>
    <w:rsid w:val="00BE4056"/>
    <w:rsid w:val="00BE4CF2"/>
    <w:rsid w:val="00C01DAF"/>
    <w:rsid w:val="00C0544B"/>
    <w:rsid w:val="00C2177B"/>
    <w:rsid w:val="00C37ACB"/>
    <w:rsid w:val="00C7682E"/>
    <w:rsid w:val="00CC3D35"/>
    <w:rsid w:val="00CD0650"/>
    <w:rsid w:val="00CE377F"/>
    <w:rsid w:val="00D235E7"/>
    <w:rsid w:val="00D4326B"/>
    <w:rsid w:val="00D913DE"/>
    <w:rsid w:val="00DD244D"/>
    <w:rsid w:val="00DD2618"/>
    <w:rsid w:val="00DD2E55"/>
    <w:rsid w:val="00DE5C17"/>
    <w:rsid w:val="00E1515F"/>
    <w:rsid w:val="00E27ABA"/>
    <w:rsid w:val="00E44711"/>
    <w:rsid w:val="00E531A8"/>
    <w:rsid w:val="00E54C38"/>
    <w:rsid w:val="00E6791D"/>
    <w:rsid w:val="00E80FE8"/>
    <w:rsid w:val="00E90A0E"/>
    <w:rsid w:val="00ED0AA2"/>
    <w:rsid w:val="00ED1DBA"/>
    <w:rsid w:val="00EF0113"/>
    <w:rsid w:val="00F01A7D"/>
    <w:rsid w:val="00F034A7"/>
    <w:rsid w:val="00F14F7E"/>
    <w:rsid w:val="00F3316C"/>
    <w:rsid w:val="00F8348D"/>
    <w:rsid w:val="00F92173"/>
    <w:rsid w:val="00FA11E5"/>
    <w:rsid w:val="00FC63E6"/>
    <w:rsid w:val="00FD670C"/>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171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CC3D35"/>
  </w:style>
  <w:style w:type="character" w:customStyle="1" w:styleId="EndnoteTextChar">
    <w:name w:val="Endnote Text Char"/>
    <w:basedOn w:val="DefaultParagraphFont"/>
    <w:link w:val="EndnoteText"/>
    <w:uiPriority w:val="99"/>
    <w:rsid w:val="00CC3D35"/>
  </w:style>
  <w:style w:type="character" w:styleId="EndnoteReference">
    <w:name w:val="endnote reference"/>
    <w:basedOn w:val="DefaultParagraphFont"/>
    <w:uiPriority w:val="99"/>
    <w:unhideWhenUsed/>
    <w:rsid w:val="00CC3D35"/>
    <w:rPr>
      <w:vertAlign w:val="superscript"/>
    </w:rPr>
  </w:style>
  <w:style w:type="character" w:styleId="PlaceholderText">
    <w:name w:val="Placeholder Text"/>
    <w:basedOn w:val="DefaultParagraphFont"/>
    <w:uiPriority w:val="99"/>
    <w:semiHidden/>
    <w:rsid w:val="003A0150"/>
    <w:rPr>
      <w:color w:val="808080"/>
    </w:rPr>
  </w:style>
  <w:style w:type="paragraph" w:styleId="Caption">
    <w:name w:val="caption"/>
    <w:basedOn w:val="Normal"/>
    <w:next w:val="Normal"/>
    <w:uiPriority w:val="35"/>
    <w:unhideWhenUsed/>
    <w:qFormat/>
    <w:rsid w:val="00FC63E6"/>
    <w:pPr>
      <w:spacing w:after="200"/>
    </w:pPr>
    <w:rPr>
      <w:i/>
      <w:iCs/>
      <w:color w:val="44546A" w:themeColor="text2"/>
      <w:sz w:val="18"/>
      <w:szCs w:val="18"/>
    </w:rPr>
  </w:style>
  <w:style w:type="table" w:styleId="TableGrid">
    <w:name w:val="Table Grid"/>
    <w:basedOn w:val="TableNormal"/>
    <w:uiPriority w:val="39"/>
    <w:rsid w:val="00FD67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B1A5D"/>
    <w:pPr>
      <w:tabs>
        <w:tab w:val="center" w:pos="4513"/>
        <w:tab w:val="right" w:pos="9026"/>
      </w:tabs>
    </w:pPr>
  </w:style>
  <w:style w:type="character" w:customStyle="1" w:styleId="HeaderChar">
    <w:name w:val="Header Char"/>
    <w:basedOn w:val="DefaultParagraphFont"/>
    <w:link w:val="Header"/>
    <w:uiPriority w:val="99"/>
    <w:rsid w:val="006B1A5D"/>
  </w:style>
  <w:style w:type="paragraph" w:styleId="Footer">
    <w:name w:val="footer"/>
    <w:basedOn w:val="Normal"/>
    <w:link w:val="FooterChar"/>
    <w:uiPriority w:val="99"/>
    <w:unhideWhenUsed/>
    <w:rsid w:val="006B1A5D"/>
    <w:pPr>
      <w:tabs>
        <w:tab w:val="center" w:pos="4513"/>
        <w:tab w:val="right" w:pos="9026"/>
      </w:tabs>
    </w:pPr>
  </w:style>
  <w:style w:type="character" w:customStyle="1" w:styleId="FooterChar">
    <w:name w:val="Footer Char"/>
    <w:basedOn w:val="DefaultParagraphFont"/>
    <w:link w:val="Footer"/>
    <w:uiPriority w:val="99"/>
    <w:rsid w:val="006B1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3D402A4-7217-9D45-90BC-5317BB139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3</Pages>
  <Words>791</Words>
  <Characters>4510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UCL</Company>
  <LinksUpToDate>false</LinksUpToDate>
  <CharactersWithSpaces>5291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Han</dc:creator>
  <cp:keywords/>
  <dc:description/>
  <cp:lastModifiedBy>Xiaoyu Han</cp:lastModifiedBy>
  <cp:revision>18</cp:revision>
  <dcterms:created xsi:type="dcterms:W3CDTF">2017-05-03T14:37:00Z</dcterms:created>
  <dcterms:modified xsi:type="dcterms:W3CDTF">2017-05-31T19:51:00Z</dcterms:modified>
</cp:coreProperties>
</file>