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Fleet Operations Brief</w:t>
      </w:r>
    </w:p>
    <w:p>
      <w:pPr>
        <w:spacing w:after="40"/>
      </w:pPr>
      <w:r>
        <w:rPr>
          <w:sz w:val="18"/>
        </w:rPr>
        <w:t>Xiaoyu Hu  |  Robot Fleet MLOps and Cloud Infrastructure Track</w:t>
      </w:r>
    </w:p>
    <w:p>
      <w:pPr>
        <w:spacing w:after="220"/>
      </w:pPr>
      <w:r>
        <w:rPr>
          <w:sz w:val="18"/>
        </w:rPr>
        <w:t>Prepared 23 October 2026  |  Week 1 review 26 October 2026</w:t>
      </w:r>
    </w:p>
    <w:p>
      <w:pPr>
        <w:pStyle w:val="Heading1"/>
      </w:pPr>
      <w:r>
        <w:t>Purpose and evidence</w:t>
      </w:r>
    </w:p>
    <w:p>
      <w:r>
        <w:t>This brief defines five distinct delivery profiles for one shared fleet platform. Aido Rover is the implementation target; Fari tests generality. Sentinel Prime AI contributes audit requirements, Aido Humanoid stresses hardware compatibility and physical safety, and Senpai contributes school-network and content-delivery requirements. Scope follows the individual plan and mentor clarification; product engineering plans supply supporting constraints. [S1, S2]</w:t>
      </w:r>
    </w:p>
    <w:p>
      <w:r>
        <w:t xml:space="preserve">Product documents describe intended architectures, not verified installed fleets or measured capabilities. Where versions conflict, this brief names a planning profile instead of merging specifications. Deployment counts, transfer budgets, bandwidths, promotion schedules, and rollout limits below are </w:t>
      </w:r>
      <w:r>
        <w:rPr>
          <w:b/>
        </w:rPr>
        <w:t>engineering assumptions</w:t>
      </w:r>
      <w:r>
        <w:t>, not customer facts. Parameter counts do not establish packaged artifact size: precision, auxiliary models, preprocessing, and runtime dependencies matter.</w:t>
      </w:r>
    </w:p>
    <w:p>
      <w:pPr>
        <w:pStyle w:val="Heading1"/>
      </w:pPr>
      <w:r>
        <w:t>Quantified planning baseline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35"/>
        <w:gridCol w:w="2260"/>
        <w:gridCol w:w="3738"/>
        <w:gridCol w:w="2847"/>
      </w:tblGrid>
      <w:tr>
        <w:trPr>
          <w:tblHeader/>
          <w:cantSplit/>
        </w:trPr>
        <w:tc>
          <w:tcPr>
            <w:tcW w:type="dxa" w:w="1235"/>
            <w:vAlign w:val="center"/>
            <w:tcMar>
              <w:top w:w="95" w:type="dxa"/>
              <w:bottom w:w="95" w:type="dxa"/>
              <w:left w:w="100" w:type="dxa"/>
              <w:right w:w="100" w:type="dxa"/>
            </w:tcMar>
            <w:shd w:fill="E7EFF8"/>
          </w:tcPr>
          <w:p>
            <w:pPr>
              <w:spacing w:after="20" w:line="252" w:lineRule="auto"/>
              <w:jc w:val="center"/>
            </w:pPr>
            <w:r>
              <w:rPr>
                <w:b/>
                <w:sz w:val="20"/>
              </w:rPr>
              <w:t>Platform</w:t>
            </w:r>
          </w:p>
        </w:tc>
        <w:tc>
          <w:tcPr>
            <w:tcW w:type="dxa" w:w="2260"/>
            <w:vAlign w:val="center"/>
            <w:tcMar>
              <w:top w:w="95" w:type="dxa"/>
              <w:bottom w:w="95" w:type="dxa"/>
              <w:left w:w="100" w:type="dxa"/>
              <w:right w:w="100" w:type="dxa"/>
            </w:tcMar>
            <w:shd w:fill="E7EFF8"/>
          </w:tcPr>
          <w:p>
            <w:pPr>
              <w:spacing w:after="20" w:line="252" w:lineRule="auto"/>
            </w:pPr>
            <w:r>
              <w:rPr>
                <w:b/>
                <w:sz w:val="20"/>
              </w:rPr>
              <w:t>Assumed deployment</w:t>
            </w:r>
          </w:p>
        </w:tc>
        <w:tc>
          <w:tcPr>
            <w:tcW w:type="dxa" w:w="3738"/>
            <w:vAlign w:val="center"/>
            <w:tcMar>
              <w:top w:w="95" w:type="dxa"/>
              <w:bottom w:w="95" w:type="dxa"/>
              <w:left w:w="100" w:type="dxa"/>
              <w:right w:w="100" w:type="dxa"/>
            </w:tcMar>
            <w:shd w:fill="E7EFF8"/>
          </w:tcPr>
          <w:p>
            <w:pPr>
              <w:spacing w:after="20" w:line="252" w:lineRule="auto"/>
            </w:pPr>
            <w:r>
              <w:rPr>
                <w:b/>
                <w:sz w:val="20"/>
              </w:rPr>
              <w:t>Assumed promoted payload and cadence</w:t>
            </w:r>
          </w:p>
        </w:tc>
        <w:tc>
          <w:tcPr>
            <w:tcW w:type="dxa" w:w="2847"/>
            <w:vAlign w:val="center"/>
            <w:tcMar>
              <w:top w:w="95" w:type="dxa"/>
              <w:bottom w:w="95" w:type="dxa"/>
              <w:left w:w="100" w:type="dxa"/>
              <w:right w:w="100" w:type="dxa"/>
            </w:tcMar>
            <w:shd w:fill="E7EFF8"/>
          </w:tcPr>
          <w:p>
            <w:pPr>
              <w:spacing w:after="20" w:line="252" w:lineRule="auto"/>
            </w:pPr>
            <w:r>
              <w:rPr>
                <w:b/>
                <w:sz w:val="20"/>
              </w:rPr>
              <w:t>Assumed usable download bandwidth</w:t>
            </w:r>
          </w:p>
        </w:tc>
      </w:tr>
      <w:tr>
        <w:trPr>
          <w:cantSplit/>
        </w:trPr>
        <w:tc>
          <w:tcPr>
            <w:tcW w:type="dxa" w:w="1235"/>
            <w:vAlign w:val="center"/>
            <w:tcMar>
              <w:top w:w="95" w:type="dxa"/>
              <w:bottom w:w="95" w:type="dxa"/>
              <w:left w:w="100" w:type="dxa"/>
              <w:right w:w="100" w:type="dxa"/>
            </w:tcMar>
          </w:tcPr>
          <w:p>
            <w:pPr>
              <w:spacing w:after="20" w:line="252" w:lineRule="auto"/>
              <w:jc w:val="center"/>
            </w:pPr>
            <w:r>
              <w:rPr>
                <w:sz w:val="20"/>
              </w:rPr>
              <w:t>Rover</w:t>
            </w:r>
          </w:p>
        </w:tc>
        <w:tc>
          <w:tcPr>
            <w:tcW w:type="dxa" w:w="2260"/>
            <w:vAlign w:val="center"/>
            <w:tcMar>
              <w:top w:w="95" w:type="dxa"/>
              <w:bottom w:w="95" w:type="dxa"/>
              <w:left w:w="100" w:type="dxa"/>
              <w:right w:w="100" w:type="dxa"/>
            </w:tcMar>
          </w:tcPr>
          <w:p>
            <w:pPr>
              <w:spacing w:after="20" w:line="252" w:lineRule="auto"/>
            </w:pPr>
            <w:r>
              <w:rPr>
                <w:sz w:val="20"/>
              </w:rPr>
              <w:t>6 units/site</w:t>
            </w:r>
          </w:p>
        </w:tc>
        <w:tc>
          <w:tcPr>
            <w:tcW w:type="dxa" w:w="3738"/>
            <w:vAlign w:val="center"/>
            <w:tcMar>
              <w:top w:w="95" w:type="dxa"/>
              <w:bottom w:w="95" w:type="dxa"/>
              <w:left w:w="100" w:type="dxa"/>
              <w:right w:w="100" w:type="dxa"/>
            </w:tcMar>
          </w:tcPr>
          <w:p>
            <w:pPr>
              <w:spacing w:after="20" w:line="252" w:lineRule="auto"/>
            </w:pPr>
            <w:r>
              <w:rPr>
                <w:sz w:val="20"/>
              </w:rPr>
              <w:t>256 MiB; weekly candidate</w:t>
            </w:r>
          </w:p>
        </w:tc>
        <w:tc>
          <w:tcPr>
            <w:tcW w:type="dxa" w:w="2847"/>
            <w:vAlign w:val="center"/>
            <w:tcMar>
              <w:top w:w="95" w:type="dxa"/>
              <w:bottom w:w="95" w:type="dxa"/>
              <w:left w:w="100" w:type="dxa"/>
              <w:right w:w="100" w:type="dxa"/>
            </w:tcMar>
          </w:tcPr>
          <w:p>
            <w:pPr>
              <w:spacing w:after="20" w:line="252" w:lineRule="auto"/>
            </w:pPr>
            <w:r>
              <w:rPr>
                <w:sz w:val="20"/>
              </w:rPr>
              <w:t>2 Mbit/s, intermittent/metered</w:t>
            </w:r>
          </w:p>
        </w:tc>
      </w:tr>
      <w:tr>
        <w:trPr>
          <w:cantSplit/>
        </w:trPr>
        <w:tc>
          <w:tcPr>
            <w:tcW w:type="dxa" w:w="1235"/>
            <w:vAlign w:val="center"/>
            <w:tcMar>
              <w:top w:w="95" w:type="dxa"/>
              <w:bottom w:w="95" w:type="dxa"/>
              <w:left w:w="100" w:type="dxa"/>
              <w:right w:w="100" w:type="dxa"/>
            </w:tcMar>
          </w:tcPr>
          <w:p>
            <w:pPr>
              <w:spacing w:after="20" w:line="252" w:lineRule="auto"/>
              <w:jc w:val="center"/>
            </w:pPr>
            <w:r>
              <w:rPr>
                <w:sz w:val="20"/>
              </w:rPr>
              <w:t>Fari</w:t>
            </w:r>
          </w:p>
        </w:tc>
        <w:tc>
          <w:tcPr>
            <w:tcW w:type="dxa" w:w="2260"/>
            <w:vAlign w:val="center"/>
            <w:tcMar>
              <w:top w:w="95" w:type="dxa"/>
              <w:bottom w:w="95" w:type="dxa"/>
              <w:left w:w="100" w:type="dxa"/>
              <w:right w:w="100" w:type="dxa"/>
            </w:tcMar>
          </w:tcPr>
          <w:p>
            <w:pPr>
              <w:spacing w:after="20" w:line="252" w:lineRule="auto"/>
            </w:pPr>
            <w:r>
              <w:rPr>
                <w:sz w:val="20"/>
              </w:rPr>
              <w:t>8/care facility; 1/private home</w:t>
            </w:r>
          </w:p>
        </w:tc>
        <w:tc>
          <w:tcPr>
            <w:tcW w:type="dxa" w:w="3738"/>
            <w:vAlign w:val="center"/>
            <w:tcMar>
              <w:top w:w="95" w:type="dxa"/>
              <w:bottom w:w="95" w:type="dxa"/>
              <w:left w:w="100" w:type="dxa"/>
              <w:right w:w="100" w:type="dxa"/>
            </w:tcMar>
          </w:tcPr>
          <w:p>
            <w:pPr>
              <w:spacing w:after="20" w:line="252" w:lineRule="auto"/>
            </w:pPr>
            <w:r>
              <w:rPr>
                <w:sz w:val="20"/>
              </w:rPr>
              <w:t>128 MiB; weekly promotion, nightly candidate assessment</w:t>
            </w:r>
          </w:p>
        </w:tc>
        <w:tc>
          <w:tcPr>
            <w:tcW w:type="dxa" w:w="2847"/>
            <w:vAlign w:val="center"/>
            <w:tcMar>
              <w:top w:w="95" w:type="dxa"/>
              <w:bottom w:w="95" w:type="dxa"/>
              <w:left w:w="100" w:type="dxa"/>
              <w:right w:w="100" w:type="dxa"/>
            </w:tcMar>
          </w:tcPr>
          <w:p>
            <w:pPr>
              <w:spacing w:after="20" w:line="252" w:lineRule="auto"/>
            </w:pPr>
            <w:r>
              <w:rPr>
                <w:sz w:val="20"/>
              </w:rPr>
              <w:t>10 Mbit/s facility; 2 Mbit/s home</w:t>
            </w:r>
          </w:p>
        </w:tc>
      </w:tr>
      <w:tr>
        <w:trPr>
          <w:cantSplit/>
        </w:trPr>
        <w:tc>
          <w:tcPr>
            <w:tcW w:type="dxa" w:w="1235"/>
            <w:vAlign w:val="center"/>
            <w:tcMar>
              <w:top w:w="95" w:type="dxa"/>
              <w:bottom w:w="95" w:type="dxa"/>
              <w:left w:w="100" w:type="dxa"/>
              <w:right w:w="100" w:type="dxa"/>
            </w:tcMar>
          </w:tcPr>
          <w:p>
            <w:pPr>
              <w:spacing w:after="20" w:line="252" w:lineRule="auto"/>
              <w:jc w:val="center"/>
            </w:pPr>
            <w:r>
              <w:rPr>
                <w:sz w:val="20"/>
              </w:rPr>
              <w:t>Sentinel</w:t>
            </w:r>
          </w:p>
        </w:tc>
        <w:tc>
          <w:tcPr>
            <w:tcW w:type="dxa" w:w="2260"/>
            <w:vAlign w:val="center"/>
            <w:tcMar>
              <w:top w:w="95" w:type="dxa"/>
              <w:bottom w:w="95" w:type="dxa"/>
              <w:left w:w="100" w:type="dxa"/>
              <w:right w:w="100" w:type="dxa"/>
            </w:tcMar>
          </w:tcPr>
          <w:p>
            <w:pPr>
              <w:spacing w:after="20" w:line="252" w:lineRule="auto"/>
            </w:pPr>
            <w:r>
              <w:rPr>
                <w:sz w:val="20"/>
              </w:rPr>
              <w:t>8 security units/site</w:t>
            </w:r>
          </w:p>
        </w:tc>
        <w:tc>
          <w:tcPr>
            <w:tcW w:type="dxa" w:w="3738"/>
            <w:vAlign w:val="center"/>
            <w:tcMar>
              <w:top w:w="95" w:type="dxa"/>
              <w:bottom w:w="95" w:type="dxa"/>
              <w:left w:w="100" w:type="dxa"/>
              <w:right w:w="100" w:type="dxa"/>
            </w:tcMar>
          </w:tcPr>
          <w:p>
            <w:pPr>
              <w:spacing w:after="20" w:line="252" w:lineRule="auto"/>
            </w:pPr>
            <w:r>
              <w:rPr>
                <w:sz w:val="20"/>
              </w:rPr>
              <w:t>256 MiB ensemble bundle; weekly candidate</w:t>
            </w:r>
          </w:p>
        </w:tc>
        <w:tc>
          <w:tcPr>
            <w:tcW w:type="dxa" w:w="2847"/>
            <w:vAlign w:val="center"/>
            <w:tcMar>
              <w:top w:w="95" w:type="dxa"/>
              <w:bottom w:w="95" w:type="dxa"/>
              <w:left w:w="100" w:type="dxa"/>
              <w:right w:w="100" w:type="dxa"/>
            </w:tcMar>
          </w:tcPr>
          <w:p>
            <w:pPr>
              <w:spacing w:after="20" w:line="252" w:lineRule="auto"/>
            </w:pPr>
            <w:r>
              <w:rPr>
                <w:sz w:val="20"/>
              </w:rPr>
              <w:t>20 Mbit/s site allocation</w:t>
            </w:r>
          </w:p>
        </w:tc>
      </w:tr>
      <w:tr>
        <w:trPr>
          <w:cantSplit/>
        </w:trPr>
        <w:tc>
          <w:tcPr>
            <w:tcW w:type="dxa" w:w="1235"/>
            <w:vAlign w:val="center"/>
            <w:tcMar>
              <w:top w:w="95" w:type="dxa"/>
              <w:bottom w:w="95" w:type="dxa"/>
              <w:left w:w="100" w:type="dxa"/>
              <w:right w:w="100" w:type="dxa"/>
            </w:tcMar>
          </w:tcPr>
          <w:p>
            <w:pPr>
              <w:spacing w:after="20" w:line="252" w:lineRule="auto"/>
              <w:jc w:val="center"/>
            </w:pPr>
            <w:r>
              <w:rPr>
                <w:sz w:val="20"/>
              </w:rPr>
              <w:t>Humanoid</w:t>
            </w:r>
          </w:p>
        </w:tc>
        <w:tc>
          <w:tcPr>
            <w:tcW w:type="dxa" w:w="2260"/>
            <w:vAlign w:val="center"/>
            <w:tcMar>
              <w:top w:w="95" w:type="dxa"/>
              <w:bottom w:w="95" w:type="dxa"/>
              <w:left w:w="100" w:type="dxa"/>
              <w:right w:w="100" w:type="dxa"/>
            </w:tcMar>
          </w:tcPr>
          <w:p>
            <w:pPr>
              <w:spacing w:after="20" w:line="252" w:lineRule="auto"/>
            </w:pPr>
            <w:r>
              <w:rPr>
                <w:sz w:val="20"/>
              </w:rPr>
              <w:t>2 research units/lab</w:t>
            </w:r>
          </w:p>
        </w:tc>
        <w:tc>
          <w:tcPr>
            <w:tcW w:type="dxa" w:w="3738"/>
            <w:vAlign w:val="center"/>
            <w:tcMar>
              <w:top w:w="95" w:type="dxa"/>
              <w:bottom w:w="95" w:type="dxa"/>
              <w:left w:w="100" w:type="dxa"/>
              <w:right w:w="100" w:type="dxa"/>
            </w:tcMar>
          </w:tcPr>
          <w:p>
            <w:pPr>
              <w:spacing w:after="20" w:line="252" w:lineRule="auto"/>
            </w:pPr>
            <w:r>
              <w:rPr>
                <w:sz w:val="20"/>
              </w:rPr>
              <w:t>1,024 MiB hardware-specific bundle; daily experiments, weekly reviewed promotion</w:t>
            </w:r>
          </w:p>
        </w:tc>
        <w:tc>
          <w:tcPr>
            <w:tcW w:type="dxa" w:w="2847"/>
            <w:vAlign w:val="center"/>
            <w:tcMar>
              <w:top w:w="95" w:type="dxa"/>
              <w:bottom w:w="95" w:type="dxa"/>
              <w:left w:w="100" w:type="dxa"/>
              <w:right w:w="100" w:type="dxa"/>
            </w:tcMar>
          </w:tcPr>
          <w:p>
            <w:pPr>
              <w:spacing w:after="20" w:line="252" w:lineRule="auto"/>
            </w:pPr>
            <w:r>
              <w:rPr>
                <w:sz w:val="20"/>
              </w:rPr>
              <w:t>50 Mbit/s lab allocation</w:t>
            </w:r>
          </w:p>
        </w:tc>
      </w:tr>
      <w:tr>
        <w:trPr>
          <w:cantSplit/>
        </w:trPr>
        <w:tc>
          <w:tcPr>
            <w:tcW w:type="dxa" w:w="1235"/>
            <w:vAlign w:val="center"/>
            <w:tcMar>
              <w:top w:w="95" w:type="dxa"/>
              <w:bottom w:w="95" w:type="dxa"/>
              <w:left w:w="100" w:type="dxa"/>
              <w:right w:w="100" w:type="dxa"/>
            </w:tcMar>
          </w:tcPr>
          <w:p>
            <w:pPr>
              <w:spacing w:after="20" w:line="252" w:lineRule="auto"/>
              <w:jc w:val="center"/>
            </w:pPr>
            <w:r>
              <w:rPr>
                <w:sz w:val="20"/>
              </w:rPr>
              <w:t>Senpai</w:t>
            </w:r>
          </w:p>
        </w:tc>
        <w:tc>
          <w:tcPr>
            <w:tcW w:type="dxa" w:w="2260"/>
            <w:vAlign w:val="center"/>
            <w:tcMar>
              <w:top w:w="95" w:type="dxa"/>
              <w:bottom w:w="95" w:type="dxa"/>
              <w:left w:w="100" w:type="dxa"/>
              <w:right w:w="100" w:type="dxa"/>
            </w:tcMar>
          </w:tcPr>
          <w:p>
            <w:pPr>
              <w:spacing w:after="20" w:line="252" w:lineRule="auto"/>
            </w:pPr>
            <w:r>
              <w:rPr>
                <w:sz w:val="20"/>
              </w:rPr>
              <w:t>12 units/school</w:t>
            </w:r>
          </w:p>
        </w:tc>
        <w:tc>
          <w:tcPr>
            <w:tcW w:type="dxa" w:w="3738"/>
            <w:vAlign w:val="center"/>
            <w:tcMar>
              <w:top w:w="95" w:type="dxa"/>
              <w:bottom w:w="95" w:type="dxa"/>
              <w:left w:w="100" w:type="dxa"/>
              <w:right w:w="100" w:type="dxa"/>
            </w:tcMar>
          </w:tcPr>
          <w:p>
            <w:pPr>
              <w:spacing w:after="20" w:line="252" w:lineRule="auto"/>
            </w:pPr>
            <w:r>
              <w:rPr>
                <w:sz w:val="20"/>
              </w:rPr>
              <w:t>64 MiB model weekly; 128 MiB content daily when changed</w:t>
            </w:r>
          </w:p>
        </w:tc>
        <w:tc>
          <w:tcPr>
            <w:tcW w:type="dxa" w:w="2847"/>
            <w:vAlign w:val="center"/>
            <w:tcMar>
              <w:top w:w="95" w:type="dxa"/>
              <w:bottom w:w="95" w:type="dxa"/>
              <w:left w:w="100" w:type="dxa"/>
              <w:right w:w="100" w:type="dxa"/>
            </w:tcMar>
          </w:tcPr>
          <w:p>
            <w:pPr>
              <w:spacing w:after="20" w:line="252" w:lineRule="auto"/>
            </w:pPr>
            <w:r>
              <w:rPr>
                <w:sz w:val="20"/>
              </w:rPr>
              <w:t>5 Mbit/s shared school allocation</w:t>
            </w:r>
          </w:p>
        </w:tc>
      </w:tr>
    </w:tbl>
    <w:p>
      <w:pPr>
        <w:spacing w:after="0"/>
      </w:pPr>
    </w:p>
    <w:p>
      <w:r>
        <w:t>MiB means 2²⁰ bytes; Mbit/s means 10⁶ bits/second. Payloads are transfer-budget placeholders, not supplied proprietary weights. Frequencies describe planning workload, not automatic approval. Safe-update guards and blast-radius limits are proposed controls requiring product-owner confirmation. Disk planning reserves three payload budgets for active, previous, and temporary download data, plus separately bounded logs and evidence.</w:t>
      </w:r>
    </w:p>
    <w:p>
      <w:pPr>
        <w:pStyle w:val="Heading1"/>
      </w:pPr>
      <w:r>
        <w:t>Aido Rover delivery across unreliable site links</w:t>
      </w:r>
    </w:p>
    <w:p>
      <w:r>
        <w:rPr>
          <w:b/>
        </w:rPr>
        <w:t>Deployment and compute.</w:t>
      </w:r>
      <w:r>
        <w:t xml:space="preserve"> Six units provide a useful small site cohort, within the supporting plan's 1-12-unit context. The selected profile uses Jetson AGX Orin-class edge GPU compute. Documentation describes a 240M-parameter distilled patrol policy and separate perception models, with 10 Hz state frames and local real-time inference. These describe workload classes; the internship's demonstrator can use licensed or synthetic substitutes. [S3]</w:t>
      </w:r>
    </w:p>
    <w:p>
      <w:r>
        <w:rPr>
          <w:b/>
        </w:rPr>
        <w:t>Connectivity and update safety.</w:t>
      </w:r>
      <w:r>
        <w:t xml:space="preserve"> Outdoor Wi-Fi and metered cellular interruptions favor outbound desired-state polling and HTTP Range downloads. Download progress must survive a restart without activating an incomplete artifact. At 2 Mbit/s, 256 MiB takes approximately 17.9 minutes ideally, before outages or verification. Six independent downloads consume 1.5 GiB/site; a verified site cache could reduce repeated WAN transfer. Downloading while patrolling may be allowed under resource limits, but activation requires a local idle/docked state, sufficient power, and no active incident. Cloud availability must not determine navigation safety.</w:t>
      </w:r>
    </w:p>
    <w:p>
      <w:r>
        <w:t>The initial operational canary is one eligible unit/site: one-sixth of this assumed fleet, so a nominal 5% site rollout cannot literally be 5%. Other units retain their known-good versions. An unhealthy candidate must restore locally before patrol resumes; site coverage and rollback eligibility must be visible before promotion.</w:t>
      </w:r>
    </w:p>
    <w:p>
      <w:r>
        <w:rPr>
          <w:b/>
        </w:rPr>
        <w:t>Telemetry and hardest challenge.</w:t>
      </w:r>
      <w:r>
        <w:t xml:space="preserve"> Shared operations may receive pseudonymous device/site IDs, artifact digest, agent version, battery, thermal/load summaries, last-success time, and bounded error codes. Raw camera/audio, precise tracks, plates, and identifiable evidence belong outside default operations telemetry. The hardest problem is separating incomplete delivery from successful activation during disconnection. Desired/reported state, persisted download offsets, signed digests, and explicit pending status prevent a controller from declaring an offline unit updated. Low-light, rain, and motion-blur evaluation slices remain necessary before promotion. [S1, S3]</w:t>
      </w:r>
    </w:p>
    <w:p>
      <w:pPr>
        <w:pStyle w:val="Heading1"/>
      </w:pPr>
      <w:r>
        <w:t>Fari preserving care interactions and private home boundaries</w:t>
      </w:r>
    </w:p>
    <w:p>
      <w:r>
        <w:rPr>
          <w:b/>
        </w:rPr>
        <w:t>Deployment and compute.</w:t>
      </w:r>
      <w:r>
        <w:t xml:space="preserve"> Eight devices in a care facility, or one in a private home, expose different cohort and privacy boundaries. The selected DOCX describes Orin NX 16 GB, local sensing/inference, encrypted local storage, and Wi-Fi/BLE. It does not establish one authoritative packaged model size; 128 MiB is an independent budget for a promoted policy/perception bundle. Nightly candidate assessment is supported by the product's improvement workflow, while weekly promotion is a conservative planning assumption. [S4]</w:t>
      </w:r>
    </w:p>
    <w:p>
      <w:r>
        <w:rPr>
          <w:b/>
        </w:rPr>
        <w:t>Connectivity and update safety.</w:t>
      </w:r>
      <w:r>
        <w:t xml:space="preserve"> Home broadband may disappear; facility Wi-Fi may have enterprise authentication and congested access points. Use the same resumable outbound client, with per-site rate limits. An ideal 128 MiB transfer takes 1.8 minutes at 10 Mbit/s or 8.9 minutes at 2 Mbit/s. A download completion is not permission to interrupt conversation, a medication reminder, an emergency alert, or a caregiver call. Activation requires a device-reported safe window and can be deferred without losing the intended version.</w:t>
      </w:r>
    </w:p>
    <w:p>
      <w:r>
        <w:t>A one-device facility canary affects 12.5% of the assumed eight-unit site. A private home's only unit has a 100% local blast radius; cross-household staging cannot remove that resident-level impact. Preserve an offline usable version and require interaction continuity checks before releasing the candidate.</w:t>
      </w:r>
    </w:p>
    <w:p>
      <w:r>
        <w:rPr>
          <w:b/>
        </w:rPr>
        <w:t>Telemetry and hardest challenge.</w:t>
      </w:r>
      <w:r>
        <w:t xml:space="preserve"> The common platform receives technical health and version state, not resident names, raw vitals, inferred emotions, transcripts, faces, or room video. Clinical sharing requires a separate authorized service and explicit purpose; it is not justified by a generic diagnostics flag. The hardest challenge is expressing a safe-to-update window without turning the registry into a clinical workflow engine. A general eligibility field, reason, timestamp, and expiry should represent this constraint. Fari therefore tests whether the shared manifest, schema, and agent generalize beyond Rover, as required by the personal plan. [S1, S4]</w:t>
      </w:r>
    </w:p>
    <w:p>
      <w:pPr>
        <w:pStyle w:val="Heading1"/>
      </w:pPr>
      <w:r>
        <w:t>Sentinel Prime AI knowing exactly what ran during an incident</w:t>
      </w:r>
    </w:p>
    <w:p>
      <w:r>
        <w:rPr>
          <w:b/>
        </w:rPr>
        <w:t>Deployment and compute.</w:t>
      </w:r>
      <w:r>
        <w:t xml:space="preserve"> Assume eight fixed security units/site, excluding mobile variants from this profile. The selected engineering plan specifies Orin-class GPU compute, a five-model ensemble, local detection at 6 Hz, and separate health/event streams. Its model names and precision mix do not prove a total artifact size; reserve 256 MiB for an atomic ensemble, calibration, and rule bundle. Weekly candidates are a planning cadence. [S5]</w:t>
      </w:r>
    </w:p>
    <w:p>
      <w:r>
        <w:rPr>
          <w:b/>
        </w:rPr>
        <w:t>Connectivity and update safety.</w:t>
      </w:r>
      <w:r>
        <w:t xml:space="preserve"> Site Ethernet/PoE is the preferred path, with Wi-Fi or cellular fallback; security networks may restrict internet access. A site gateway or approved offline import must preserve the same digest/signature checks. Eight separate 256 MiB downloads total 2 GiB; a cache is valuable even with wired links. At 20 Mbit/s, one ideal transfer takes 1.8 minutes.</w:t>
      </w:r>
    </w:p>
    <w:p>
      <w:r>
        <w:t>Activation requires no active incident and an agreed low-activity maintenance window. One of eight units is a 12.5% canary, but camera coverage matters more than this percentage: do not update every unit covering the same entrance together. A known-good detector or explicit operational fallback must cover an activation gap. New-model health and false-alert behavior must be evaluated before expanding the cohort; missing observations do not count as healthy.</w:t>
      </w:r>
    </w:p>
    <w:p>
      <w:r>
        <w:rPr>
          <w:b/>
        </w:rPr>
        <w:t>Telemetry and hardest challenge.</w:t>
      </w:r>
      <w:r>
        <w:t xml:space="preserve"> Export technical state and pseudonymous event references. Keep video, face embeddings, biometric watchlists, and identifiable incident details outside common health logs. Record which unit ran which artifact, calibration, policy version, and hardware profile at each incident time, including deployment acknowledgements and rollback reasons. The hardest problem is reconstructing that history after delayed uploads or clock skew. Append-only version-transition records and source/ingestion timestamps support auditability; hashes alone do not establish legal admissibility. Product retention claims vary and require an owned policy, not a hard-coded universal duration. [S1, S5]</w:t>
      </w:r>
    </w:p>
    <w:p>
      <w:pPr>
        <w:pStyle w:val="Heading1"/>
      </w:pPr>
      <w:r>
        <w:t>Aido Humanoid compatibility and recovery near physical control</w:t>
      </w:r>
    </w:p>
    <w:p>
      <w:r>
        <w:rPr>
          <w:b/>
        </w:rPr>
        <w:t>Deployment and compute.</w:t>
      </w:r>
      <w:r>
        <w:t xml:space="preserve"> Two units/lab are sufficient to expose the small-cohort problem. Documentation distinguishes a Jetson Thor target from interim Orin compute, and describes a 180M-parameter policy plus skill, locomotion, and safety components. Reserve 1,024 MiB for a compatible bundle, independently of parameter count. Daily research candidates and weekly reviewed promotions represent experimental use, not verified production frequency. [S6]</w:t>
      </w:r>
    </w:p>
    <w:p>
      <w:r>
        <w:rPr>
          <w:b/>
        </w:rPr>
        <w:t>Connectivity and update safety.</w:t>
      </w:r>
      <w:r>
        <w:t xml:space="preserve"> Laboratory Wi-Fi/Ethernet can be reliable, but restricted sites and disconnected operation remain plausible. At 50 Mbit/s, the assumed bundle needs 2.9 minutes ideally; two units downloading separately consume 2 GiB. Target accelerator, runtime, model format, preprocessing, and required capabilities must match before staging. The artifact selected for Orin must not silently satisfy a Thor profile.</w:t>
      </w:r>
    </w:p>
    <w:p>
      <w:r>
        <w:t>Activation requires a supported stationary posture, clear workspace, no carried load, no active manipulation or teleoperation, and a local supervisor's authorization. A single-unit canary affects 50% of this lab, so percentage-based promotion offers limited reassurance. Simulation and bench validation precede physical activation. Rollback is a local safety-controlled recovery operation; it cannot be a blind process restart while the robot is balancing. Independent motion and emergency controls remain outside the cloud platform.</w:t>
      </w:r>
    </w:p>
    <w:p>
      <w:r>
        <w:rPr>
          <w:b/>
        </w:rPr>
        <w:t>Telemetry and hardest challenge.</w:t>
      </w:r>
      <w:r>
        <w:t xml:space="preserve"> Export version, resource, fault, and bounded task-health summaries. Detailed joint trajectories, force logs, video, and human-interaction records remain local or in separately authorized diagnostic capture. Internal high-rate control must not be routed through the fleet service. The hardest challenge is proving artifact compatibility and safe recovery without asserting that cloud rollback makes a physical behavior safe. Hardware-specific manifests, explicit activation interlocks, and manual release authority are the engineering consequences. This platform remains a requirements stress case, not an additional Week 1 implementation. [S1, S6]</w:t>
      </w:r>
    </w:p>
    <w:p>
      <w:pPr>
        <w:pStyle w:val="Heading1"/>
      </w:pPr>
      <w:r>
        <w:t>Senpai outbound only schools and synchronized content</w:t>
      </w:r>
    </w:p>
    <w:p>
      <w:r>
        <w:rPr>
          <w:b/>
        </w:rPr>
        <w:t>Deployment and compute.</w:t>
      </w:r>
      <w:r>
        <w:t xml:space="preserve"> Assume twelve desktop teaching units/school. The selected DOCX uses Jetson Orin Nano-class compute, a 30M-parameter distilled teaching policy, local classroom services, and curriculum/SEND content bundles. Other documents disagree on hardware and policy sizes, so these identify a planning profile rather than a verified bill of materials. Budget 64 MiB/model and 128 MiB/content, with weekly model and changed-content daily promotion. [S7]</w:t>
      </w:r>
    </w:p>
    <w:p>
      <w:r>
        <w:rPr>
          <w:b/>
        </w:rPr>
        <w:t>Connectivity and update safety.</w:t>
      </w:r>
      <w:r>
        <w:t xml:space="preserve"> School proxies, filtered destinations, and no inbound connections make outbound HTTPS pull the baseline. Proxy configuration and approved certificate handling must be explicit; restricted connectivity must not disable verification. A classroom cache reduces twelve copies of a changed 192 MiB bundle, or 2.25 GiB, to one WAN acquisition where permitted. At 5 Mbit/s, one ideal combined transfer takes 5.4 minutes. Unchanged content should be reused by digest.</w:t>
      </w:r>
    </w:p>
    <w:p>
      <w:r>
        <w:t>Activation occurs outside lessons and active accessibility sessions, in a school-approved local-time window. The source's 22:00 schedule is a candidate configuration, not a universal safe time. Validate model/content/rule compatibility as one release; an older application must not accept an incompatible lesson pack. One initial unit affects 8.3% of the assumed school; expand by classroom only after a teacher-supervised check, preserving offline lessons if the controller is unavailable.</w:t>
      </w:r>
    </w:p>
    <w:p>
      <w:r>
        <w:rPr>
          <w:b/>
        </w:rPr>
        <w:t>Telemetry and hardest challenge.</w:t>
      </w:r>
      <w:r>
        <w:t xml:space="preserve"> Shared health excludes names, student identifiers, gaze traces, speech recordings, SEND profiles, and safeguarding disclosures. Educational and safeguarding records need separate access and retention decisions. The hardest delivery problem is maintaining compatible teaching content through restricted networks and missed overnight windows. Pull, caching, resumable transfers, local scheduling, and explicit deferred state address that problem without requiring a school to open inbound ports. [S1, S7]</w:t>
      </w:r>
    </w:p>
    <w:p>
      <w:pPr>
        <w:pStyle w:val="Heading1"/>
      </w:pPr>
      <w:r>
        <w:t>Consequences for the shared platform</w:t>
      </w:r>
    </w:p>
    <w:p>
      <w:r>
        <w:t xml:space="preserve">The later development reference is </w:t>
      </w:r>
      <w:r>
        <w:rPr>
          <w:b/>
        </w:rPr>
        <w:t>20 simulated agents across three logical sites</w:t>
      </w:r>
      <w:r>
        <w:t>: two Rover sites with six each, and one Fari site with eight. The remaining platforms contribute requirements only. Each agent sends a technical health summary of at most 2 KiB every five seconds: approximately 8 KiB/s, or 65.5 kbit/s, aggregate application payload before protocol overhead. Desired-state polling is separate: five seconds with ±20% jitter gives roughly four reads/second. Product documents also propose higher-rate site/product pipelines; these are context, not default shared-cloud upload requirements.</w:t>
      </w:r>
    </w:p>
    <w:p>
      <w:r>
        <w:t>For the 20-agent validation, 5%/25%/100% means cumulative cohorts of 1/5/20. The programme's under-ten-minute rollout and rollback within sixty seconds of a health-threshold breach remain future measured targets. Rover's weak-link calculation shows why artifact size, caching, connectivity, eligibility, and timing boundaries must be recorded. Offline or unsafe-to-activate agents remain pending; failures against the target must be reported, not relabeled success. [S1]</w:t>
      </w:r>
    </w:p>
    <w:p>
      <w:pPr>
        <w:keepLines/>
      </w:pPr>
      <w:r>
        <w:t>Controller failure freezes promotion; devices retain the last verified version and retry with backoff. These constraints inform the three ADRs: Compose versus local Kubernetes and Azure mapping; content-addressed storage and signing/key rotation; and pull versus persistent push. Week 1 implements the repository/local-stack/CI foundation, not the complete agent, registry, evaluation gate, or controller. All prototype inputs must be licensed or synthetic. No confidential source documents, private keys, customer media, or proprietary weights belong in the repository. [S1, S2]</w:t>
      </w:r>
    </w:p>
    <w:p>
      <w:pPr>
        <w:pStyle w:val="Heading1"/>
      </w:pPr>
      <w:r>
        <w:t>Source register</w:t>
      </w:r>
    </w:p>
    <w:p>
      <w:r>
        <w:t>Dropbox paths below are relative to the shared materials folder. They locate supporting documents without attaching or reproducing the confidential originals.</w:t>
      </w:r>
    </w:p>
    <w:p>
      <w:pPr>
        <w:pStyle w:val="ListBullet"/>
      </w:pPr>
      <w:r>
        <w:rPr>
          <w:b/>
        </w:rPr>
        <w:t>[S1]</w:t>
      </w:r>
      <w:r>
        <w:t xml:space="preserve"> </w:t>
      </w:r>
      <w:r>
        <w:rPr>
          <w:rFonts w:ascii="Courier New" w:hAnsi="Courier New"/>
          <w:sz w:val="20"/>
        </w:rPr>
        <w:t>Internship_Plan_Xiaoyu_Hu_SDE.pdf</w:t>
      </w:r>
      <w:r>
        <w:t xml:space="preserve"> (individual plan), pp. 5-7 and 14: platform roles, all brief dimensions, Week 1 boundaries and later simulator; p. 4 §1.4: operating constraints and future measured targets.</w:t>
      </w:r>
    </w:p>
    <w:p>
      <w:pPr>
        <w:pStyle w:val="ListBullet"/>
      </w:pPr>
      <w:r>
        <w:rPr>
          <w:b/>
        </w:rPr>
        <w:t>[S2]</w:t>
      </w:r>
      <w:r>
        <w:t xml:space="preserve"> Mentor clarification in the original message supplied by Xiaoyu: the individual SDE plan is the primary reference; Dropbox SE Plans and Handouts are supporting references where aligned. Analyze Rover, Fari, Sentinel Prime AI, Aido Humanoid, and Senpai; implement one shared platform, with Rover primary and Fari checking generality. The other platforms provide requirements context. Week 1 covers the brief, three ADRs, design document, repository/local-stack/CI foundation, and weekly log; it does not require separate product systems or every role's D1-D7 tasks.</w:t>
      </w:r>
    </w:p>
    <w:p>
      <w:pPr>
        <w:pStyle w:val="ListBullet"/>
      </w:pPr>
      <w:r>
        <w:rPr>
          <w:b/>
        </w:rPr>
        <w:t>[S3]</w:t>
      </w:r>
      <w:r>
        <w:t xml:space="preserve"> </w:t>
      </w:r>
      <w:r>
        <w:rPr>
          <w:rFonts w:ascii="Courier New" w:hAnsi="Courier New"/>
          <w:sz w:val="20"/>
        </w:rPr>
        <w:t>Rover/Aido_Rover_Systems_Engineering_Plan.docx</w:t>
      </w:r>
      <w:r>
        <w:t>, §3 “Subsystem Decomposition,” §6 “Track AI,” and §7 “Track BE: Backend &amp; Cloud”: compute/fleet context, 240M policy, telemetry, signed OTA and site relay; §8 “Track CC: Operations Dashboard”: 1-12-unit site context.</w:t>
      </w:r>
    </w:p>
    <w:p>
      <w:pPr>
        <w:pStyle w:val="ListBullet"/>
      </w:pPr>
      <w:r>
        <w:rPr>
          <w:b/>
        </w:rPr>
        <w:t>[S4]</w:t>
      </w:r>
      <w:r>
        <w:t xml:space="preserve"> </w:t>
      </w:r>
      <w:r>
        <w:rPr>
          <w:rFonts w:ascii="Courier New" w:hAnsi="Courier New"/>
          <w:sz w:val="20"/>
        </w:rPr>
        <w:t>Fari/Fari_Systems_Engineering_Plan.docx</w:t>
      </w:r>
      <w:r>
        <w:t>, §3 “Subsystem Decomposition,” §6 “Track AI,” §7 “Track BE: Backend &amp; Cloud,” and §10 “Interface Control Document”: selected compute, interaction constraints, health-data pipeline and OTA.</w:t>
      </w:r>
    </w:p>
    <w:p>
      <w:pPr>
        <w:pStyle w:val="ListBullet"/>
      </w:pPr>
      <w:r>
        <w:rPr>
          <w:b/>
        </w:rPr>
        <w:t>[S5]</w:t>
      </w:r>
      <w:r>
        <w:t xml:space="preserve"> </w:t>
      </w:r>
      <w:r>
        <w:rPr>
          <w:rFonts w:ascii="Courier New" w:hAnsi="Courier New"/>
          <w:sz w:val="20"/>
        </w:rPr>
        <w:t>Sentinel/Sentinel_Prime_AI_Systems_Engineering_Plan_1.docx</w:t>
      </w:r>
      <w:r>
        <w:t>, §5 “Track FW: Firmware &amp; Edge Software” and §7 “Track BE: Backend &amp; Cloud”: ensemble, network/cache, evidence, OTA and audit requirements.</w:t>
      </w:r>
    </w:p>
    <w:p>
      <w:pPr>
        <w:pStyle w:val="ListBullet"/>
      </w:pPr>
      <w:r>
        <w:rPr>
          <w:b/>
        </w:rPr>
        <w:t>[S6]</w:t>
      </w:r>
      <w:r>
        <w:t xml:space="preserve"> </w:t>
      </w:r>
      <w:r>
        <w:rPr>
          <w:rFonts w:ascii="Courier New" w:hAnsi="Courier New"/>
          <w:sz w:val="20"/>
        </w:rPr>
        <w:t>Humanoid/Aido_Humanoid_Systems_Engineering_Plan.docx</w:t>
      </w:r>
      <w:r>
        <w:t>, §2 “System Requirements” and §7 “Track BE: Backend &amp; Cloud”: accelerator profiles, local control boundary, 180M bundle and site architecture.</w:t>
      </w:r>
    </w:p>
    <w:p>
      <w:pPr>
        <w:pStyle w:val="ListBullet"/>
      </w:pPr>
      <w:r>
        <w:rPr>
          <w:b/>
        </w:rPr>
        <w:t>[S7]</w:t>
      </w:r>
      <w:r>
        <w:t xml:space="preserve"> </w:t>
      </w:r>
      <w:r>
        <w:rPr>
          <w:rFonts w:ascii="Courier New" w:hAnsi="Courier New"/>
          <w:sz w:val="20"/>
        </w:rPr>
        <w:t>Senpai/Senpai_Systems_Engineering_Plan.docx</w:t>
      </w:r>
      <w:r>
        <w:t>, §5 “Track FW: Firmware” and §7 “Track BE: Backend &amp; Cloud”: selected compute, restricted/offline operation, 30M policy, content and school scheduling.</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00"/>
    </w:pPr>
    <w:rPr>
      <w:rFonts w:asciiTheme="majorHAnsi" w:eastAsiaTheme="majorEastAsia" w:hAnsiTheme="majorHAnsi" w:cstheme="majorBidi" w:ascii="Arial" w:hAnsi="Arial"/>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Fleet Operations Brief</dc:title>
  <dc:subject>Robot Fleet MLOps and Cloud Infrastructure Week 1</dc:subject>
  <dc:creator>Xiaoyu Hu</dc:creator>
  <cp:keywords/>
  <dc:description>generated by python-docx</dc:description>
  <cp:lastModifiedBy/>
  <cp:revision>1</cp:revision>
  <dcterms:created xsi:type="dcterms:W3CDTF">2013-12-23T23:15:00Z</dcterms:created>
  <dcterms:modified xsi:type="dcterms:W3CDTF">2013-12-23T23:15:00Z</dcterms:modified>
  <cp:category/>
</cp:coreProperties>
</file>