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Platform Design Document</w:t>
      </w:r>
    </w:p>
    <w:p>
      <w:pPr>
        <w:spacing w:after="40"/>
      </w:pPr>
      <w:r>
        <w:rPr>
          <w:sz w:val="18"/>
        </w:rPr>
        <w:t>Xiaoyu Hu  |  Robot Fleet MLOps and Cloud Infrastructure Track</w:t>
      </w:r>
    </w:p>
    <w:p>
      <w:pPr>
        <w:spacing w:after="220"/>
      </w:pPr>
      <w:r>
        <w:rPr>
          <w:sz w:val="18"/>
        </w:rPr>
        <w:t>Prepared 23 October 2026  |  Week 1 review 26 October 2026</w:t>
      </w:r>
    </w:p>
    <w:p>
      <w:r>
        <w:t>Status: Proposed specification for review; features below are intended behaviour, not completed delivery.</w:t>
      </w:r>
    </w:p>
    <w:p>
      <w:pPr>
        <w:pStyle w:val="Heading1"/>
      </w:pPr>
      <w:r>
        <w:t>1 Scope and architecture</w:t>
      </w:r>
    </w:p>
    <w:p>
      <w:r>
        <w:t>Build one shared platform: Rover first, Fari for generality. The personal plan controls scope and stack. Rover motivates resumable delivery and site cohorts; Fari requires interaction-safe activation. Sentinel adds version history, Humanoid hardware compatibility, and Senpai outbound-only access. The platform manages model delivery, not robot navigation, deterrence, clinical decisions, or safety-controller firmware.</w:t>
      </w:r>
    </w:p>
    <w:p>
      <w:r>
        <w:t>Week 1 scope is a Python 3.11/FastAPI empty registry, PostgreSQL, MinIO, configuration, JSON logs, health/readiness, tests, and CI. Fleet APIs begin in Week 2; artifacts in Week 3; evaluation in Week 4; agents and observability in Week 5; rollouts in Week 6; Azure infrastructure in Week 7. Later components are specified for development planning.</w:t>
      </w:r>
    </w:p>
    <w:p>
      <w:r>
        <w:drawing>
          <wp:inline xmlns:a="http://schemas.openxmlformats.org/drawingml/2006/main" xmlns:pic="http://schemas.openxmlformats.org/drawingml/2006/picture">
            <wp:extent cx="6400800" cy="2316480"/>
            <wp:docPr id="1" name="Picture 1"/>
            <wp:cNvGraphicFramePr>
              <a:graphicFrameLocks noChangeAspect="1"/>
            </wp:cNvGraphicFramePr>
            <a:graphic>
              <a:graphicData uri="http://schemas.openxmlformats.org/drawingml/2006/picture">
                <pic:pic>
                  <pic:nvPicPr>
                    <pic:cNvPr id="0" name="platform_flow.png"/>
                    <pic:cNvPicPr/>
                  </pic:nvPicPr>
                  <pic:blipFill>
                    <a:blip r:embed="rId10"/>
                    <a:stretch>
                      <a:fillRect/>
                    </a:stretch>
                  </pic:blipFill>
                  <pic:spPr>
                    <a:xfrm>
                      <a:off x="0" y="0"/>
                      <a:ext cx="6400800" cy="2316480"/>
                    </a:xfrm>
                    <a:prstGeom prst="rect"/>
                  </pic:spPr>
                </pic:pic>
              </a:graphicData>
            </a:graphic>
          </wp:inline>
        </w:drawing>
      </w:r>
    </w:p>
    <w:p>
      <w:pPr>
        <w:spacing w:after="160"/>
      </w:pPr>
      <w:r>
        <w:rPr>
          <w:sz w:val="18"/>
        </w:rPr>
        <w:t>Figure 1  Target lifecycle and component responsibilities</w:t>
      </w:r>
    </w:p>
    <w:p>
      <w:r>
        <w:t>Compose is the local runtime. The future Azure mapping is Container Apps for stateless services, PostgreSQL Flexible Server, and Blob Storage. A storage adapter isolates MinIO/Blob differences. AKS adds unnecessary cluster control; a VM adds host operations. No Azure deployment or cost is authorized by this design. ADRs 0001-0003 record these proposed decisions.</w:t>
      </w:r>
    </w:p>
    <w:p>
      <w:pPr>
        <w:pStyle w:val="Heading1"/>
      </w:pPr>
      <w:r>
        <w:t>2 Six component boundaries</w:t>
      </w:r>
    </w:p>
    <w:p>
      <w:r>
        <w:rPr>
          <w:b/>
        </w:rPr>
        <w:t>Packaging pipeline</w:t>
      </w:r>
      <w:r>
        <w:t xml:space="preserve"> owns deterministic export, recorded tool versions, PyTorch/ONNX parity, CPU benchmark, and a complete preprocessing/output contract. A canonical manifest records hardware/runtime compatibility, file hashes, data provenance, licence, and fixtures. Its SHA-256 identifies the logical package; detached signatures avoid self-reference. The deterministic payload archive has its own hash in that manifest. Packaging cannot approve or select fleet targets.</w:t>
      </w:r>
    </w:p>
    <w:p>
      <w:r>
        <w:rPr>
          <w:b/>
        </w:rPr>
        <w:t>Registry</w:t>
      </w:r>
      <w:r>
        <w:t xml:space="preserve"> owns Robot, Enrollment, ReportedState, DesiredState, Artifact, Evaluation, and Audit records as those features arrive. Robot includes platform, hardware profile, site and cohort labels. ReportedState describes observed current/previous digests and health; DesiredState separately records target, revision, actor, reason and expiry. PostgreSQL is authoritative; object storage holds immutable bytes. Publication validates hashes server-side and is idempotent by digest. Upload completion precedes the published database record; abandoned staging objects are recoverable or cleaned up. A signing component with separate credentials signs validated manifest digests. Registry reads do not manufacture rollout progress.</w:t>
      </w:r>
    </w:p>
    <w:p>
      <w:r>
        <w:rPr>
          <w:b/>
        </w:rPr>
        <w:t>Evaluation gate</w:t>
      </w:r>
      <w:r>
        <w:t xml:space="preserve"> runs the artifact using its manifest contract, independent of training preprocessing. Results bind artifact, dataset, baseline and policy digests. Nominal, low-light, blur, noise, thin-structure, empty-scene and Fari indoor slices receive separate metrics, latency and memory results. Policy floors, regression limits and known-failure cases decide pass/fail. Missing results fail closed. A passing result permits human approval; it does not automatically release a model.</w:t>
      </w:r>
    </w:p>
    <w:p>
      <w:r>
        <w:rPr>
          <w:b/>
        </w:rPr>
        <w:t>Rollout controller</w:t>
      </w:r>
      <w:r>
        <w:t xml:space="preserve"> owns persisted stages, selectors, health comparisons and transitions. Cumulative stages update 1, then 5, then 20 robots for a 20-agent 5/25/100% rollout. Only approved, compatible artifacts qualify. One active rollout may target a robot; a PostgreSQL advisory lock protects the controller loop, while transactions and idempotent transitions protect restart recovery. The controller writes desired state with a short activation lease. Database failure or lease expiry stops advancement. Rollback restores each affected robot's recorded previous approved digest and retains the failed rollout's history.</w:t>
      </w:r>
    </w:p>
    <w:p>
      <w:r>
        <w:rPr>
          <w:b/>
        </w:rPr>
        <w:t>Agent</w:t>
      </w:r>
      <w:r>
        <w:t xml:space="preserve"> owns local reconciliation and activation. It pulls desired state, resumes downloads, checks compatibility, signatures and every payload hash, then waits for a current safe-to-update signal. Fari's interaction window uses this general field rather than a separate agent. A journaled A/B switch preserves the last healthy slot. Partial downloads never become active. After activation, model-load and fixture smoke tests must pass before reporting healthy. A failed test restores the previous slot locally without contacting the controller.</w:t>
      </w:r>
    </w:p>
    <w:p>
      <w:r>
        <w:rPr>
          <w:b/>
        </w:rPr>
        <w:t>Observability</w:t>
      </w:r>
      <w:r>
        <w:t xml:space="preserve"> owns fleet freshness, version distribution, download/verification failures, smoke-test failures and rollout history views. Correlated request_id, robot_id, artifact_digest and rollout_id connect logs and audit events. Metrics inform the controller through explicit policy; dashboards cannot silently promote artifacts. Ordinary health summaries exclude raw images, audio, identity, patient and classroom content. Diagnostic media requires a separate future consent, access and retention design.</w:t>
      </w:r>
    </w:p>
    <w:p>
      <w:pPr>
        <w:pStyle w:val="Heading1"/>
      </w:pPr>
      <w:r>
        <w:t>3 Release flow and communication contract</w:t>
      </w:r>
    </w:p>
    <w:p>
      <w:r>
        <w:t>The flow is trained -&gt; packaged/signed -&gt; published -&gt; evaluated -&gt; approved/released -&gt; desired -&gt; downloaded -&gt; verified -&gt; staged -&gt; activated -&gt; running healthy. Artifact lifecycle remains published, evaluated, approved, deprecated or revoked; rollout and agent execution states are separate. Every promotion or target change records who, when, why and its evidence. A failed evaluation leaves the artifact published with a failed report. Revocation blocks selection and triggers operator review.</w:t>
      </w:r>
    </w:p>
    <w:p>
      <w:r>
        <w:t>Agents poll every five seconds with independent +/-20% jitter, using ETag/If-None-Match. A 304 avoids a write but still requires authentication and authorization. Desired state includes a monotonic revision, digest, compatibility, rollout identifier and activation expiry. Only the controller extends rollout leases; 200/304 responses convey the persisted expiry, rather than renewing it merely because the registry is reachable. Proposed lease duration is 30 seconds. If the controller stops, cached targets may still be read but new activation stops when that lease expires.</w:t>
      </w:r>
    </w:p>
    <w:p>
      <w:r>
        <w:t>Download metadata preserves digest, offset and validator; Range resumes only the same immutable payload. After reconnecting, refresh trust and desired revision before activation; discard superseded staging state. Retry with exponential backoff and jitter, honoring Retry-After, capped initially at 30 seconds normally and 10 seconds during an active rollout. Heartbeats every five seconds report current/previous digest, revision, agent version, safe-to-update, latency/error summaries and sequence. Boot/sequence identifiers support deduplication. Server receipt time determines freshness; device clock alone cannot make replayed health current.</w:t>
      </w:r>
    </w:p>
    <w:p>
      <w:pPr>
        <w:pStyle w:val="Heading1"/>
      </w:pPr>
      <w:r>
        <w:t>4 Roles keys and trust</w:t>
      </w:r>
    </w:p>
    <w:p>
      <w:r>
        <w:t>An authenticated publisher may submit validated artifacts and request evaluation; it cannot approve release. The evaluation service writes reports, an authorized operator approves a passing digest and starts/pauses/aborts rollouts, and the controller writes scoped desired targets. A robot credential accesses only that robot's desired-state and heartbeat routes plus authorized artifact reads. Enrollment credentials are shown once and hashed at rest; revocation is checked on the next request, including conditional reads. Administrative access uses a separate role. Site/tenant scope is checked at the service boundary, not inferred from a submitted robot_id.</w:t>
      </w:r>
    </w:p>
    <w:p>
      <w:r>
        <w:t>Agents pin public keys; signing private keys remain restricted to the registry signing component. Ed25519 authenticates a domain-separated manifest digest, while payload hashes bind all transferred bytes. Rotation distributes a versioned trust bundle authenticated by an offline bootstrap root, confirms receipt, switches signing keys, then retires the old key. Compromise skips normal overlap. Expired trust blocks new activation. A disconnected robot cannot receive immediate revocation; it retains its last healthy model and refreshes trust on recovery. None of these controls proves physical safety.</w:t>
      </w:r>
    </w:p>
    <w:p>
      <w:pPr>
        <w:pStyle w:val="Heading1"/>
      </w:pPr>
      <w:r>
        <w:t>5 Required failure and recovery behaviour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3"/>
        <w:gridCol w:w="4179"/>
        <w:gridCol w:w="4257"/>
      </w:tblGrid>
      <w:tr>
        <w:trPr>
          <w:tblHeader/>
          <w:cantSplit/>
        </w:trPr>
        <w:tc>
          <w:tcPr>
            <w:tcW w:type="dxa" w:w="1643"/>
            <w:vAlign w:val="center"/>
            <w:tcMar>
              <w:top w:w="95" w:type="dxa"/>
              <w:bottom w:w="95" w:type="dxa"/>
              <w:left w:w="100" w:type="dxa"/>
              <w:right w:w="100" w:type="dxa"/>
            </w:tcMar>
            <w:shd w:fill="E7EFF8"/>
          </w:tcPr>
          <w:p>
            <w:pPr>
              <w:spacing w:after="20" w:line="252" w:lineRule="auto"/>
            </w:pPr>
            <w:r>
              <w:rPr>
                <w:b/>
                <w:sz w:val="20"/>
              </w:rPr>
              <w:t>Failure</w:t>
            </w:r>
          </w:p>
        </w:tc>
        <w:tc>
          <w:tcPr>
            <w:tcW w:type="dxa" w:w="4179"/>
            <w:vAlign w:val="center"/>
            <w:tcMar>
              <w:top w:w="95" w:type="dxa"/>
              <w:bottom w:w="95" w:type="dxa"/>
              <w:left w:w="100" w:type="dxa"/>
              <w:right w:w="100" w:type="dxa"/>
            </w:tcMar>
            <w:shd w:fill="E7EFF8"/>
          </w:tcPr>
          <w:p>
            <w:pPr>
              <w:spacing w:after="20" w:line="252" w:lineRule="auto"/>
            </w:pPr>
            <w:r>
              <w:rPr>
                <w:b/>
                <w:sz w:val="20"/>
              </w:rPr>
              <w:t>Detection and containment</w:t>
            </w:r>
          </w:p>
        </w:tc>
        <w:tc>
          <w:tcPr>
            <w:tcW w:type="dxa" w:w="4257"/>
            <w:vAlign w:val="center"/>
            <w:tcMar>
              <w:top w:w="95" w:type="dxa"/>
              <w:bottom w:w="95" w:type="dxa"/>
              <w:left w:w="100" w:type="dxa"/>
              <w:right w:w="100" w:type="dxa"/>
            </w:tcMar>
            <w:shd w:fill="E7EFF8"/>
          </w:tcPr>
          <w:p>
            <w:pPr>
              <w:spacing w:after="20" w:line="252" w:lineRule="auto"/>
            </w:pPr>
            <w:r>
              <w:rPr>
                <w:b/>
                <w:sz w:val="20"/>
              </w:rPr>
              <w:t>Recovery and evidence</w:t>
            </w:r>
          </w:p>
        </w:tc>
      </w:tr>
      <w:tr>
        <w:trPr>
          <w:cantSplit/>
        </w:trPr>
        <w:tc>
          <w:tcPr>
            <w:tcW w:type="dxa" w:w="1643"/>
            <w:vAlign w:val="center"/>
            <w:tcMar>
              <w:top w:w="95" w:type="dxa"/>
              <w:bottom w:w="95" w:type="dxa"/>
              <w:left w:w="100" w:type="dxa"/>
              <w:right w:w="100" w:type="dxa"/>
            </w:tcMar>
          </w:tcPr>
          <w:p>
            <w:pPr>
              <w:spacing w:after="20" w:line="252" w:lineRule="auto"/>
            </w:pPr>
            <w:r>
              <w:rPr>
                <w:sz w:val="20"/>
              </w:rPr>
              <w:t>Registry unavailable</w:t>
            </w:r>
          </w:p>
        </w:tc>
        <w:tc>
          <w:tcPr>
            <w:tcW w:type="dxa" w:w="4179"/>
            <w:vAlign w:val="center"/>
            <w:tcMar>
              <w:top w:w="95" w:type="dxa"/>
              <w:bottom w:w="95" w:type="dxa"/>
              <w:left w:w="100" w:type="dxa"/>
              <w:right w:w="100" w:type="dxa"/>
            </w:tcMar>
          </w:tcPr>
          <w:p>
            <w:pPr>
              <w:spacing w:after="20" w:line="252" w:lineRule="auto"/>
            </w:pPr>
            <w:r>
              <w:rPr>
                <w:sz w:val="20"/>
              </w:rPr>
              <w:t>Bounded request timeout; stop new downloads/activation once lease expires. Continue last healthy model and bounded local journal. Controller must not advance.</w:t>
            </w:r>
          </w:p>
        </w:tc>
        <w:tc>
          <w:tcPr>
            <w:tcW w:type="dxa" w:w="4257"/>
            <w:vAlign w:val="center"/>
            <w:tcMar>
              <w:top w:w="95" w:type="dxa"/>
              <w:bottom w:w="95" w:type="dxa"/>
              <w:left w:w="100" w:type="dxa"/>
              <w:right w:w="100" w:type="dxa"/>
            </w:tcMar>
          </w:tcPr>
          <w:p>
            <w:pPr>
              <w:spacing w:after="20" w:line="252" w:lineRule="auto"/>
            </w:pPr>
            <w:r>
              <w:rPr>
                <w:sz w:val="20"/>
              </w:rPr>
              <w:t>Reconnect with jitter; authenticate, refresh trust/revision, resume reconciliation. Record outage and recovery timestamps.</w:t>
            </w:r>
          </w:p>
        </w:tc>
      </w:tr>
      <w:tr>
        <w:trPr>
          <w:cantSplit/>
        </w:trPr>
        <w:tc>
          <w:tcPr>
            <w:tcW w:type="dxa" w:w="1643"/>
            <w:vAlign w:val="center"/>
            <w:tcMar>
              <w:top w:w="95" w:type="dxa"/>
              <w:bottom w:w="95" w:type="dxa"/>
              <w:left w:w="100" w:type="dxa"/>
              <w:right w:w="100" w:type="dxa"/>
            </w:tcMar>
          </w:tcPr>
          <w:p>
            <w:pPr>
              <w:spacing w:after="20" w:line="252" w:lineRule="auto"/>
            </w:pPr>
            <w:r>
              <w:rPr>
                <w:sz w:val="20"/>
              </w:rPr>
              <w:t>Robot offline mid-download</w:t>
            </w:r>
          </w:p>
        </w:tc>
        <w:tc>
          <w:tcPr>
            <w:tcW w:type="dxa" w:w="4179"/>
            <w:vAlign w:val="center"/>
            <w:tcMar>
              <w:top w:w="95" w:type="dxa"/>
              <w:bottom w:w="95" w:type="dxa"/>
              <w:left w:w="100" w:type="dxa"/>
              <w:right w:w="100" w:type="dxa"/>
            </w:tcMar>
          </w:tcPr>
          <w:p>
            <w:pPr>
              <w:spacing w:after="20" w:line="252" w:lineRule="auto"/>
            </w:pPr>
            <w:r>
              <w:rPr>
                <w:sz w:val="20"/>
              </w:rPr>
              <w:t>Persist partial length, digest and validator; staging is never executable. Keep current model.</w:t>
            </w:r>
          </w:p>
        </w:tc>
        <w:tc>
          <w:tcPr>
            <w:tcW w:type="dxa" w:w="4257"/>
            <w:vAlign w:val="center"/>
            <w:tcMar>
              <w:top w:w="95" w:type="dxa"/>
              <w:bottom w:w="95" w:type="dxa"/>
              <w:left w:w="100" w:type="dxa"/>
              <w:right w:w="100" w:type="dxa"/>
            </w:tcMar>
          </w:tcPr>
          <w:p>
            <w:pPr>
              <w:spacing w:after="20" w:line="252" w:lineRule="auto"/>
            </w:pPr>
            <w:r>
              <w:rPr>
                <w:sz w:val="20"/>
              </w:rPr>
              <w:t>Recheck desired state; Range-resume the same object or discard superseded bytes. Rehash the complete payload before staging.</w:t>
            </w:r>
          </w:p>
        </w:tc>
      </w:tr>
      <w:tr>
        <w:trPr>
          <w:cantSplit/>
        </w:trPr>
        <w:tc>
          <w:tcPr>
            <w:tcW w:type="dxa" w:w="1643"/>
            <w:vAlign w:val="center"/>
            <w:tcMar>
              <w:top w:w="95" w:type="dxa"/>
              <w:bottom w:w="95" w:type="dxa"/>
              <w:left w:w="100" w:type="dxa"/>
              <w:right w:w="100" w:type="dxa"/>
            </w:tcMar>
          </w:tcPr>
          <w:p>
            <w:pPr>
              <w:spacing w:after="20" w:line="252" w:lineRule="auto"/>
            </w:pPr>
            <w:r>
              <w:rPr>
                <w:sz w:val="20"/>
              </w:rPr>
              <w:t>Signature mismatch</w:t>
            </w:r>
          </w:p>
        </w:tc>
        <w:tc>
          <w:tcPr>
            <w:tcW w:type="dxa" w:w="4179"/>
            <w:vAlign w:val="center"/>
            <w:tcMar>
              <w:top w:w="95" w:type="dxa"/>
              <w:bottom w:w="95" w:type="dxa"/>
              <w:left w:w="100" w:type="dxa"/>
              <w:right w:w="100" w:type="dxa"/>
            </w:tcMar>
          </w:tcPr>
          <w:p>
            <w:pPr>
              <w:spacing w:after="20" w:line="252" w:lineRule="auto"/>
            </w:pPr>
            <w:r>
              <w:rPr>
                <w:sz w:val="20"/>
              </w:rPr>
              <w:t>Distinguish unsigned, unknown/revoked key, invalid signature and checksum mismatch. Quarantine candidate; retain current slot.</w:t>
            </w:r>
          </w:p>
        </w:tc>
        <w:tc>
          <w:tcPr>
            <w:tcW w:type="dxa" w:w="4257"/>
            <w:vAlign w:val="center"/>
            <w:tcMar>
              <w:top w:w="95" w:type="dxa"/>
              <w:bottom w:w="95" w:type="dxa"/>
              <w:left w:w="100" w:type="dxa"/>
              <w:right w:w="100" w:type="dxa"/>
            </w:tcMar>
          </w:tcPr>
          <w:p>
            <w:pPr>
              <w:spacing w:after="20" w:line="252" w:lineRule="auto"/>
            </w:pPr>
            <w:r>
              <w:rPr>
                <w:sz w:val="20"/>
              </w:rPr>
              <w:t>Report reason without credentials; correct publication/trust through an authorized path. Never offer a bypass flag.</w:t>
            </w:r>
          </w:p>
        </w:tc>
      </w:tr>
      <w:tr>
        <w:trPr>
          <w:cantSplit/>
        </w:trPr>
        <w:tc>
          <w:tcPr>
            <w:tcW w:type="dxa" w:w="1643"/>
            <w:vAlign w:val="center"/>
            <w:tcMar>
              <w:top w:w="95" w:type="dxa"/>
              <w:bottom w:w="95" w:type="dxa"/>
              <w:left w:w="100" w:type="dxa"/>
              <w:right w:w="100" w:type="dxa"/>
            </w:tcMar>
          </w:tcPr>
          <w:p>
            <w:pPr>
              <w:spacing w:after="20" w:line="252" w:lineRule="auto"/>
            </w:pPr>
            <w:r>
              <w:rPr>
                <w:sz w:val="20"/>
              </w:rPr>
              <w:t>New model crashes on load</w:t>
            </w:r>
          </w:p>
        </w:tc>
        <w:tc>
          <w:tcPr>
            <w:tcW w:type="dxa" w:w="4179"/>
            <w:vAlign w:val="center"/>
            <w:tcMar>
              <w:top w:w="95" w:type="dxa"/>
              <w:bottom w:w="95" w:type="dxa"/>
              <w:left w:w="100" w:type="dxa"/>
              <w:right w:w="100" w:type="dxa"/>
            </w:tcMar>
          </w:tcPr>
          <w:p>
            <w:pPr>
              <w:spacing w:after="20" w:line="252" w:lineRule="auto"/>
            </w:pPr>
            <w:r>
              <w:rPr>
                <w:sz w:val="20"/>
              </w:rPr>
              <w:t>Smoke-test or supervisor failure marks activation unhealthy; journal identifies previous healthy slot.</w:t>
            </w:r>
          </w:p>
        </w:tc>
        <w:tc>
          <w:tcPr>
            <w:tcW w:type="dxa" w:w="4257"/>
            <w:vAlign w:val="center"/>
            <w:tcMar>
              <w:top w:w="95" w:type="dxa"/>
              <w:bottom w:w="95" w:type="dxa"/>
              <w:left w:w="100" w:type="dxa"/>
              <w:right w:w="100" w:type="dxa"/>
            </w:tcMar>
          </w:tcPr>
          <w:p>
            <w:pPr>
              <w:spacing w:after="20" w:line="252" w:lineRule="auto"/>
            </w:pPr>
            <w:r>
              <w:rPr>
                <w:sz w:val="20"/>
              </w:rPr>
              <w:t>Restore previous slot locally, restart runner and verify health; report both digests and failure. Controller pauses or rolls back the cohort.</w:t>
            </w:r>
          </w:p>
        </w:tc>
      </w:tr>
      <w:tr>
        <w:trPr>
          <w:cantSplit/>
        </w:trPr>
        <w:tc>
          <w:tcPr>
            <w:tcW w:type="dxa" w:w="1643"/>
            <w:vAlign w:val="center"/>
            <w:tcMar>
              <w:top w:w="95" w:type="dxa"/>
              <w:bottom w:w="95" w:type="dxa"/>
              <w:left w:w="100" w:type="dxa"/>
              <w:right w:w="100" w:type="dxa"/>
            </w:tcMar>
          </w:tcPr>
          <w:p>
            <w:pPr>
              <w:spacing w:after="20" w:line="252" w:lineRule="auto"/>
            </w:pPr>
            <w:r>
              <w:rPr>
                <w:sz w:val="20"/>
              </w:rPr>
              <w:t>Health metrics missing</w:t>
            </w:r>
          </w:p>
        </w:tc>
        <w:tc>
          <w:tcPr>
            <w:tcW w:type="dxa" w:w="4179"/>
            <w:vAlign w:val="center"/>
            <w:tcMar>
              <w:top w:w="95" w:type="dxa"/>
              <w:bottom w:w="95" w:type="dxa"/>
              <w:left w:w="100" w:type="dxa"/>
              <w:right w:w="100" w:type="dxa"/>
            </w:tcMar>
          </w:tcPr>
          <w:p>
            <w:pPr>
              <w:spacing w:after="20" w:line="252" w:lineRule="auto"/>
            </w:pPr>
            <w:r>
              <w:rPr>
                <w:sz w:val="20"/>
              </w:rPr>
              <w:t>Treat stale/insufficient data as unknown, never success. Proposed: pause after 15 seconds; sustained absence at 30 seconds breaches policy.</w:t>
            </w:r>
          </w:p>
        </w:tc>
        <w:tc>
          <w:tcPr>
            <w:tcW w:type="dxa" w:w="4257"/>
            <w:vAlign w:val="center"/>
            <w:tcMar>
              <w:top w:w="95" w:type="dxa"/>
              <w:bottom w:w="95" w:type="dxa"/>
              <w:left w:w="100" w:type="dxa"/>
              <w:right w:w="100" w:type="dxa"/>
            </w:tcMar>
          </w:tcPr>
          <w:p>
            <w:pPr>
              <w:spacing w:after="20" w:line="252" w:lineRule="auto"/>
            </w:pPr>
            <w:r>
              <w:rPr>
                <w:sz w:val="20"/>
              </w:rPr>
              <w:t>Request rollback of updated robots; confirm through reported digests. Offline robots remain unresolved, so report any deadline miss explicitly.</w:t>
            </w:r>
          </w:p>
        </w:tc>
      </w:tr>
    </w:tbl>
    <w:p>
      <w:pPr>
        <w:spacing w:after="0"/>
      </w:pPr>
    </w:p>
    <w:p>
      <w:r>
        <w:t>Thresholds in this table are proposed test parameters. Weeks 5-6 measure confirmed recovery, not just rollback requests.</w:t>
      </w:r>
    </w:p>
    <w:p>
      <w:pPr>
        <w:pStyle w:val="Heading1"/>
      </w:pPr>
      <w:r>
        <w:t>6 Initial endpoint inventory and conventions</w:t>
      </w:r>
    </w:p>
    <w:p>
      <w:r>
        <w:t>Only the first row belongs to Week 1. All other rows are proposed future contracts, not currently delivered routes.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392"/>
        <w:gridCol w:w="4392"/>
      </w:tblGrid>
      <w:tr>
        <w:trPr>
          <w:tblHeader/>
          <w:cantSplit/>
        </w:trPr>
        <w:tc>
          <w:tcPr>
            <w:tcW w:type="dxa" w:w="1296"/>
            <w:vAlign w:val="center"/>
            <w:tcMar>
              <w:top w:w="95" w:type="dxa"/>
              <w:bottom w:w="95" w:type="dxa"/>
              <w:left w:w="100" w:type="dxa"/>
              <w:right w:w="100" w:type="dxa"/>
            </w:tcMar>
            <w:shd w:fill="E7EFF8"/>
          </w:tcPr>
          <w:p>
            <w:pPr>
              <w:spacing w:after="20" w:line="252" w:lineRule="auto"/>
              <w:jc w:val="center"/>
            </w:pPr>
            <w:r>
              <w:rPr>
                <w:b/>
                <w:sz w:val="20"/>
              </w:rPr>
              <w:t>Milestone</w:t>
            </w:r>
          </w:p>
        </w:tc>
        <w:tc>
          <w:tcPr>
            <w:tcW w:type="dxa" w:w="4392"/>
            <w:vAlign w:val="center"/>
            <w:tcMar>
              <w:top w:w="95" w:type="dxa"/>
              <w:bottom w:w="95" w:type="dxa"/>
              <w:left w:w="100" w:type="dxa"/>
              <w:right w:w="100" w:type="dxa"/>
            </w:tcMar>
            <w:shd w:fill="E7EFF8"/>
          </w:tcPr>
          <w:p>
            <w:pPr>
              <w:spacing w:after="20" w:line="252" w:lineRule="auto"/>
            </w:pPr>
            <w:r>
              <w:rPr>
                <w:b/>
                <w:sz w:val="20"/>
              </w:rPr>
              <w:t>Method and path</w:t>
            </w:r>
          </w:p>
        </w:tc>
        <w:tc>
          <w:tcPr>
            <w:tcW w:type="dxa" w:w="4392"/>
            <w:vAlign w:val="center"/>
            <w:tcMar>
              <w:top w:w="95" w:type="dxa"/>
              <w:bottom w:w="95" w:type="dxa"/>
              <w:left w:w="100" w:type="dxa"/>
              <w:right w:w="100" w:type="dxa"/>
            </w:tcMar>
            <w:shd w:fill="E7EFF8"/>
          </w:tcPr>
          <w:p>
            <w:pPr>
              <w:spacing w:after="20" w:line="252" w:lineRule="auto"/>
            </w:pPr>
            <w:r>
              <w:rPr>
                <w:b/>
                <w:sz w:val="20"/>
              </w:rPr>
              <w:t>Caller and responsibility</w:t>
            </w:r>
          </w:p>
        </w:tc>
      </w:tr>
      <w:tr>
        <w:trPr>
          <w:cantSplit/>
        </w:trPr>
        <w:tc>
          <w:tcPr>
            <w:tcW w:type="dxa" w:w="1296"/>
            <w:vAlign w:val="center"/>
            <w:tcMar>
              <w:top w:w="95" w:type="dxa"/>
              <w:bottom w:w="95" w:type="dxa"/>
              <w:left w:w="100" w:type="dxa"/>
              <w:right w:w="100" w:type="dxa"/>
            </w:tcMar>
          </w:tcPr>
          <w:p>
            <w:pPr>
              <w:spacing w:after="20" w:line="252" w:lineRule="auto"/>
              <w:jc w:val="center"/>
            </w:pPr>
            <w:r>
              <w:rPr>
                <w:sz w:val="20"/>
              </w:rPr>
              <w:t>W1</w:t>
            </w:r>
          </w:p>
        </w:tc>
        <w:tc>
          <w:tcPr>
            <w:tcW w:type="dxa" w:w="4392"/>
            <w:vAlign w:val="center"/>
            <w:tcMar>
              <w:top w:w="95" w:type="dxa"/>
              <w:bottom w:w="95" w:type="dxa"/>
              <w:left w:w="100" w:type="dxa"/>
              <w:right w:w="100" w:type="dxa"/>
            </w:tcMar>
          </w:tcPr>
          <w:p>
            <w:pPr>
              <w:spacing w:after="20" w:line="252" w:lineRule="auto"/>
            </w:pPr>
            <w:r>
              <w:rPr>
                <w:sz w:val="20"/>
              </w:rPr>
              <w:t>GET /healthz; GET /readyz</w:t>
            </w:r>
          </w:p>
        </w:tc>
        <w:tc>
          <w:tcPr>
            <w:tcW w:type="dxa" w:w="4392"/>
            <w:vAlign w:val="center"/>
            <w:tcMar>
              <w:top w:w="95" w:type="dxa"/>
              <w:bottom w:w="95" w:type="dxa"/>
              <w:left w:w="100" w:type="dxa"/>
              <w:right w:w="100" w:type="dxa"/>
            </w:tcMar>
          </w:tcPr>
          <w:p>
            <w:pPr>
              <w:spacing w:after="20" w:line="252" w:lineRule="auto"/>
            </w:pPr>
            <w:r>
              <w:rPr>
                <w:sz w:val="20"/>
              </w:rPr>
              <w:t>Local operational checks; process liveness versus bounded PostgreSQL and object-store probes.</w:t>
            </w:r>
          </w:p>
        </w:tc>
      </w:tr>
      <w:tr>
        <w:trPr>
          <w:cantSplit/>
        </w:trPr>
        <w:tc>
          <w:tcPr>
            <w:tcW w:type="dxa" w:w="1296"/>
            <w:vAlign w:val="center"/>
            <w:tcMar>
              <w:top w:w="95" w:type="dxa"/>
              <w:bottom w:w="95" w:type="dxa"/>
              <w:left w:w="100" w:type="dxa"/>
              <w:right w:w="100" w:type="dxa"/>
            </w:tcMar>
          </w:tcPr>
          <w:p>
            <w:pPr>
              <w:spacing w:after="20" w:line="252" w:lineRule="auto"/>
              <w:jc w:val="center"/>
            </w:pPr>
            <w:r>
              <w:rPr>
                <w:sz w:val="20"/>
              </w:rPr>
              <w:t>W2</w:t>
            </w:r>
          </w:p>
        </w:tc>
        <w:tc>
          <w:tcPr>
            <w:tcW w:type="dxa" w:w="4392"/>
            <w:vAlign w:val="center"/>
            <w:tcMar>
              <w:top w:w="95" w:type="dxa"/>
              <w:bottom w:w="95" w:type="dxa"/>
              <w:left w:w="100" w:type="dxa"/>
              <w:right w:w="100" w:type="dxa"/>
            </w:tcMar>
          </w:tcPr>
          <w:p>
            <w:pPr>
              <w:spacing w:after="20" w:line="252" w:lineRule="auto"/>
            </w:pPr>
            <w:r>
              <w:rPr>
                <w:sz w:val="20"/>
              </w:rPr>
              <w:t>POST /v1/robots; GET /v1/robots</w:t>
            </w:r>
          </w:p>
        </w:tc>
        <w:tc>
          <w:tcPr>
            <w:tcW w:type="dxa" w:w="4392"/>
            <w:vAlign w:val="center"/>
            <w:tcMar>
              <w:top w:w="95" w:type="dxa"/>
              <w:bottom w:w="95" w:type="dxa"/>
              <w:left w:w="100" w:type="dxa"/>
              <w:right w:w="100" w:type="dxa"/>
            </w:tcMar>
          </w:tcPr>
          <w:p>
            <w:pPr>
              <w:spacing w:after="20" w:line="252" w:lineRule="auto"/>
            </w:pPr>
            <w:r>
              <w:rPr>
                <w:sz w:val="20"/>
              </w:rPr>
              <w:t>Operator enrollment with Idempotency-Key; filtered cursor-paginated fleet list.</w:t>
            </w:r>
          </w:p>
        </w:tc>
      </w:tr>
      <w:tr>
        <w:trPr>
          <w:cantSplit/>
        </w:trPr>
        <w:tc>
          <w:tcPr>
            <w:tcW w:type="dxa" w:w="1296"/>
            <w:vAlign w:val="center"/>
            <w:tcMar>
              <w:top w:w="95" w:type="dxa"/>
              <w:bottom w:w="95" w:type="dxa"/>
              <w:left w:w="100" w:type="dxa"/>
              <w:right w:w="100" w:type="dxa"/>
            </w:tcMar>
          </w:tcPr>
          <w:p>
            <w:pPr>
              <w:spacing w:after="20" w:line="252" w:lineRule="auto"/>
              <w:jc w:val="center"/>
            </w:pPr>
            <w:r>
              <w:rPr>
                <w:sz w:val="20"/>
              </w:rPr>
              <w:t>W2</w:t>
            </w:r>
          </w:p>
        </w:tc>
        <w:tc>
          <w:tcPr>
            <w:tcW w:type="dxa" w:w="4392"/>
            <w:vAlign w:val="center"/>
            <w:tcMar>
              <w:top w:w="95" w:type="dxa"/>
              <w:bottom w:w="95" w:type="dxa"/>
              <w:left w:w="100" w:type="dxa"/>
              <w:right w:w="100" w:type="dxa"/>
            </w:tcMar>
          </w:tcPr>
          <w:p>
            <w:pPr>
              <w:spacing w:after="20" w:line="252" w:lineRule="auto"/>
            </w:pPr>
            <w:r>
              <w:rPr>
                <w:sz w:val="20"/>
              </w:rPr>
              <w:t>GET/PATCH /v1/robots/{id}</w:t>
            </w:r>
          </w:p>
        </w:tc>
        <w:tc>
          <w:tcPr>
            <w:tcW w:type="dxa" w:w="4392"/>
            <w:vAlign w:val="center"/>
            <w:tcMar>
              <w:top w:w="95" w:type="dxa"/>
              <w:bottom w:w="95" w:type="dxa"/>
              <w:left w:w="100" w:type="dxa"/>
              <w:right w:w="100" w:type="dxa"/>
            </w:tcMar>
          </w:tcPr>
          <w:p>
            <w:pPr>
              <w:spacing w:after="20" w:line="252" w:lineRule="auto"/>
            </w:pPr>
            <w:r>
              <w:rPr>
                <w:sz w:val="20"/>
              </w:rPr>
              <w:t>Scoped operator inventory and configuration.</w:t>
            </w:r>
          </w:p>
        </w:tc>
      </w:tr>
      <w:tr>
        <w:trPr>
          <w:cantSplit/>
        </w:trPr>
        <w:tc>
          <w:tcPr>
            <w:tcW w:type="dxa" w:w="1296"/>
            <w:vAlign w:val="center"/>
            <w:tcMar>
              <w:top w:w="95" w:type="dxa"/>
              <w:bottom w:w="95" w:type="dxa"/>
              <w:left w:w="100" w:type="dxa"/>
              <w:right w:w="100" w:type="dxa"/>
            </w:tcMar>
          </w:tcPr>
          <w:p>
            <w:pPr>
              <w:spacing w:after="20" w:line="252" w:lineRule="auto"/>
              <w:jc w:val="center"/>
            </w:pPr>
            <w:r>
              <w:rPr>
                <w:sz w:val="20"/>
              </w:rPr>
              <w:t>W2</w:t>
            </w:r>
          </w:p>
        </w:tc>
        <w:tc>
          <w:tcPr>
            <w:tcW w:type="dxa" w:w="4392"/>
            <w:vAlign w:val="center"/>
            <w:tcMar>
              <w:top w:w="95" w:type="dxa"/>
              <w:bottom w:w="95" w:type="dxa"/>
              <w:left w:w="100" w:type="dxa"/>
              <w:right w:w="100" w:type="dxa"/>
            </w:tcMar>
          </w:tcPr>
          <w:p>
            <w:pPr>
              <w:spacing w:after="20" w:line="252" w:lineRule="auto"/>
            </w:pPr>
            <w:r>
              <w:rPr>
                <w:sz w:val="20"/>
              </w:rPr>
              <w:t>POST /v1/robots/{id}/heartbeat; GET /v1/robots/{id}/desired-state</w:t>
            </w:r>
          </w:p>
        </w:tc>
        <w:tc>
          <w:tcPr>
            <w:tcW w:type="dxa" w:w="4392"/>
            <w:vAlign w:val="center"/>
            <w:tcMar>
              <w:top w:w="95" w:type="dxa"/>
              <w:bottom w:w="95" w:type="dxa"/>
              <w:left w:w="100" w:type="dxa"/>
              <w:right w:w="100" w:type="dxa"/>
            </w:tcMar>
          </w:tcPr>
          <w:p>
            <w:pPr>
              <w:spacing w:after="20" w:line="252" w:lineRule="auto"/>
            </w:pPr>
            <w:r>
              <w:rPr>
                <w:sz w:val="20"/>
              </w:rPr>
              <w:t>Robot-scoped observation and conditional pull.</w:t>
            </w:r>
          </w:p>
        </w:tc>
      </w:tr>
      <w:tr>
        <w:trPr>
          <w:cantSplit/>
        </w:trPr>
        <w:tc>
          <w:tcPr>
            <w:tcW w:type="dxa" w:w="1296"/>
            <w:vAlign w:val="center"/>
            <w:tcMar>
              <w:top w:w="95" w:type="dxa"/>
              <w:bottom w:w="95" w:type="dxa"/>
              <w:left w:w="100" w:type="dxa"/>
              <w:right w:w="100" w:type="dxa"/>
            </w:tcMar>
          </w:tcPr>
          <w:p>
            <w:pPr>
              <w:spacing w:after="20" w:line="252" w:lineRule="auto"/>
              <w:jc w:val="center"/>
            </w:pPr>
            <w:r>
              <w:rPr>
                <w:sz w:val="20"/>
              </w:rPr>
              <w:t>W2</w:t>
            </w:r>
          </w:p>
        </w:tc>
        <w:tc>
          <w:tcPr>
            <w:tcW w:type="dxa" w:w="4392"/>
            <w:vAlign w:val="center"/>
            <w:tcMar>
              <w:top w:w="95" w:type="dxa"/>
              <w:bottom w:w="95" w:type="dxa"/>
              <w:left w:w="100" w:type="dxa"/>
              <w:right w:w="100" w:type="dxa"/>
            </w:tcMar>
          </w:tcPr>
          <w:p>
            <w:pPr>
              <w:spacing w:after="20" w:line="252" w:lineRule="auto"/>
            </w:pPr>
            <w:r>
              <w:rPr>
                <w:sz w:val="20"/>
              </w:rPr>
              <w:t>POST /v1/enrollments/{id}/revoke</w:t>
            </w:r>
          </w:p>
        </w:tc>
        <w:tc>
          <w:tcPr>
            <w:tcW w:type="dxa" w:w="4392"/>
            <w:vAlign w:val="center"/>
            <w:tcMar>
              <w:top w:w="95" w:type="dxa"/>
              <w:bottom w:w="95" w:type="dxa"/>
              <w:left w:w="100" w:type="dxa"/>
              <w:right w:w="100" w:type="dxa"/>
            </w:tcMar>
          </w:tcPr>
          <w:p>
            <w:pPr>
              <w:spacing w:after="20" w:line="252" w:lineRule="auto"/>
            </w:pPr>
            <w:r>
              <w:rPr>
                <w:sz w:val="20"/>
              </w:rPr>
              <w:t>Proposed operator revocation action.</w:t>
            </w:r>
          </w:p>
        </w:tc>
      </w:tr>
      <w:tr>
        <w:trPr>
          <w:cantSplit/>
        </w:trPr>
        <w:tc>
          <w:tcPr>
            <w:tcW w:type="dxa" w:w="1296"/>
            <w:vAlign w:val="center"/>
            <w:tcMar>
              <w:top w:w="95" w:type="dxa"/>
              <w:bottom w:w="95" w:type="dxa"/>
              <w:left w:w="100" w:type="dxa"/>
              <w:right w:w="100" w:type="dxa"/>
            </w:tcMar>
          </w:tcPr>
          <w:p>
            <w:pPr>
              <w:spacing w:after="20" w:line="252" w:lineRule="auto"/>
              <w:jc w:val="center"/>
            </w:pPr>
            <w:r>
              <w:rPr>
                <w:sz w:val="20"/>
              </w:rPr>
              <w:t>W3</w:t>
            </w:r>
          </w:p>
        </w:tc>
        <w:tc>
          <w:tcPr>
            <w:tcW w:type="dxa" w:w="4392"/>
            <w:vAlign w:val="center"/>
            <w:tcMar>
              <w:top w:w="95" w:type="dxa"/>
              <w:bottom w:w="95" w:type="dxa"/>
              <w:left w:w="100" w:type="dxa"/>
              <w:right w:w="100" w:type="dxa"/>
            </w:tcMar>
          </w:tcPr>
          <w:p>
            <w:pPr>
              <w:spacing w:after="20" w:line="252" w:lineRule="auto"/>
            </w:pPr>
            <w:r>
              <w:rPr>
                <w:sz w:val="20"/>
              </w:rPr>
              <w:t>POST/GET /v1/artifacts; GET /v1/artifacts/{digest}; GET /v1/artifacts/{digest}/download</w:t>
            </w:r>
          </w:p>
        </w:tc>
        <w:tc>
          <w:tcPr>
            <w:tcW w:type="dxa" w:w="4392"/>
            <w:vAlign w:val="center"/>
            <w:tcMar>
              <w:top w:w="95" w:type="dxa"/>
              <w:bottom w:w="95" w:type="dxa"/>
              <w:left w:w="100" w:type="dxa"/>
              <w:right w:w="100" w:type="dxa"/>
            </w:tcMar>
          </w:tcPr>
          <w:p>
            <w:pPr>
              <w:spacing w:after="20" w:line="252" w:lineRule="auto"/>
            </w:pPr>
            <w:r>
              <w:rPr>
                <w:sz w:val="20"/>
              </w:rPr>
              <w:t>Publisher publication; authorized metadata, manifest/signature, and Range download.</w:t>
            </w:r>
          </w:p>
        </w:tc>
      </w:tr>
      <w:tr>
        <w:trPr>
          <w:cantSplit/>
        </w:trPr>
        <w:tc>
          <w:tcPr>
            <w:tcW w:type="dxa" w:w="1296"/>
            <w:vAlign w:val="center"/>
            <w:tcMar>
              <w:top w:w="95" w:type="dxa"/>
              <w:bottom w:w="95" w:type="dxa"/>
              <w:left w:w="100" w:type="dxa"/>
              <w:right w:w="100" w:type="dxa"/>
            </w:tcMar>
          </w:tcPr>
          <w:p>
            <w:pPr>
              <w:spacing w:after="20" w:line="252" w:lineRule="auto"/>
              <w:jc w:val="center"/>
            </w:pPr>
            <w:r>
              <w:rPr>
                <w:sz w:val="20"/>
              </w:rPr>
              <w:t>W4</w:t>
            </w:r>
          </w:p>
        </w:tc>
        <w:tc>
          <w:tcPr>
            <w:tcW w:type="dxa" w:w="4392"/>
            <w:vAlign w:val="center"/>
            <w:tcMar>
              <w:top w:w="95" w:type="dxa"/>
              <w:bottom w:w="95" w:type="dxa"/>
              <w:left w:w="100" w:type="dxa"/>
              <w:right w:w="100" w:type="dxa"/>
            </w:tcMar>
          </w:tcPr>
          <w:p>
            <w:pPr>
              <w:spacing w:after="20" w:line="252" w:lineRule="auto"/>
            </w:pPr>
            <w:r>
              <w:rPr>
                <w:sz w:val="20"/>
              </w:rPr>
              <w:t>POST/GET /v1/artifacts/{digest}/evaluations; POST /v1/artifacts/{digest}/promotions</w:t>
            </w:r>
          </w:p>
        </w:tc>
        <w:tc>
          <w:tcPr>
            <w:tcW w:type="dxa" w:w="4392"/>
            <w:vAlign w:val="center"/>
            <w:tcMar>
              <w:top w:w="95" w:type="dxa"/>
              <w:bottom w:w="95" w:type="dxa"/>
              <w:left w:w="100" w:type="dxa"/>
              <w:right w:w="100" w:type="dxa"/>
            </w:tcMar>
          </w:tcPr>
          <w:p>
            <w:pPr>
              <w:spacing w:after="20" w:line="252" w:lineRule="auto"/>
            </w:pPr>
            <w:r>
              <w:rPr>
                <w:sz w:val="20"/>
              </w:rPr>
              <w:t>Evaluation requests/results; operator approval against passing evidence.</w:t>
            </w:r>
          </w:p>
        </w:tc>
      </w:tr>
      <w:tr>
        <w:trPr>
          <w:cantSplit/>
        </w:trPr>
        <w:tc>
          <w:tcPr>
            <w:tcW w:type="dxa" w:w="1296"/>
            <w:vAlign w:val="center"/>
            <w:tcMar>
              <w:top w:w="95" w:type="dxa"/>
              <w:bottom w:w="95" w:type="dxa"/>
              <w:left w:w="100" w:type="dxa"/>
              <w:right w:w="100" w:type="dxa"/>
            </w:tcMar>
          </w:tcPr>
          <w:p>
            <w:pPr>
              <w:spacing w:after="20" w:line="252" w:lineRule="auto"/>
              <w:jc w:val="center"/>
            </w:pPr>
            <w:r>
              <w:rPr>
                <w:sz w:val="20"/>
              </w:rPr>
              <w:t>W5-6</w:t>
            </w:r>
          </w:p>
        </w:tc>
        <w:tc>
          <w:tcPr>
            <w:tcW w:type="dxa" w:w="4392"/>
            <w:vAlign w:val="center"/>
            <w:tcMar>
              <w:top w:w="95" w:type="dxa"/>
              <w:bottom w:w="95" w:type="dxa"/>
              <w:left w:w="100" w:type="dxa"/>
              <w:right w:w="100" w:type="dxa"/>
            </w:tcMar>
          </w:tcPr>
          <w:p>
            <w:pPr>
              <w:spacing w:after="20" w:line="252" w:lineRule="auto"/>
            </w:pPr>
            <w:r>
              <w:rPr>
                <w:sz w:val="20"/>
              </w:rPr>
              <w:t>GET /metrics; POST/GET /v1/rollouts; GET /v1/rollouts/{id}; POST /v1/rollouts/{id}/{pause,resume,abort}; GET /dashboard</w:t>
            </w:r>
          </w:p>
        </w:tc>
        <w:tc>
          <w:tcPr>
            <w:tcW w:type="dxa" w:w="4392"/>
            <w:vAlign w:val="center"/>
            <w:tcMar>
              <w:top w:w="95" w:type="dxa"/>
              <w:bottom w:w="95" w:type="dxa"/>
              <w:left w:w="100" w:type="dxa"/>
              <w:right w:w="100" w:type="dxa"/>
            </w:tcMar>
          </w:tcPr>
          <w:p>
            <w:pPr>
              <w:spacing w:after="20" w:line="252" w:lineRule="auto"/>
            </w:pPr>
            <w:r>
              <w:rPr>
                <w:sz w:val="20"/>
              </w:rPr>
              <w:t>Internal metrics and authorized rollout operations/view.</w:t>
            </w:r>
          </w:p>
        </w:tc>
      </w:tr>
    </w:tbl>
    <w:p>
      <w:pPr>
        <w:spacing w:after="0"/>
      </w:pPr>
    </w:p>
    <w:p>
      <w:r>
        <w:t>Use UTC ISO-8601 timestamps, UUID robot identifiers, sha256:&lt;64 lowercase hex&gt; digests and explicit schema versions. Responses/errors carry request_id; errors use {error:{code,message,request_id}}. Proposed metadata-body limit is 64 KiB, heartbeat 2 KiB, page limit 100; uploads stream with declared size limits. Week 2 publishes precise schemas and examples. OpenAPI diff checks expose breaking changes; migrations accompany any published-contract break.</w:t>
      </w:r>
    </w:p>
    <w:p>
      <w:pPr>
        <w:pStyle w:val="Heading1"/>
      </w:pPr>
      <w:r>
        <w:t>7 Non functional targets and verification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9"/>
        <w:gridCol w:w="4627"/>
        <w:gridCol w:w="3604"/>
      </w:tblGrid>
      <w:tr>
        <w:trPr>
          <w:tblHeader/>
          <w:cantSplit/>
        </w:trPr>
        <w:tc>
          <w:tcPr>
            <w:tcW w:type="dxa" w:w="1849"/>
            <w:vAlign w:val="center"/>
            <w:tcMar>
              <w:top w:w="95" w:type="dxa"/>
              <w:bottom w:w="95" w:type="dxa"/>
              <w:left w:w="100" w:type="dxa"/>
              <w:right w:w="100" w:type="dxa"/>
            </w:tcMar>
            <w:shd w:fill="E7EFF8"/>
          </w:tcPr>
          <w:p>
            <w:pPr>
              <w:spacing w:after="20" w:line="252" w:lineRule="auto"/>
            </w:pPr>
            <w:r>
              <w:rPr>
                <w:b/>
                <w:sz w:val="20"/>
              </w:rPr>
              <w:t>Class</w:t>
            </w:r>
          </w:p>
        </w:tc>
        <w:tc>
          <w:tcPr>
            <w:tcW w:type="dxa" w:w="4627"/>
            <w:vAlign w:val="center"/>
            <w:tcMar>
              <w:top w:w="95" w:type="dxa"/>
              <w:bottom w:w="95" w:type="dxa"/>
              <w:left w:w="100" w:type="dxa"/>
              <w:right w:w="100" w:type="dxa"/>
            </w:tcMar>
            <w:shd w:fill="E7EFF8"/>
          </w:tcPr>
          <w:p>
            <w:pPr>
              <w:spacing w:after="20" w:line="252" w:lineRule="auto"/>
            </w:pPr>
            <w:r>
              <w:rPr>
                <w:b/>
                <w:sz w:val="20"/>
              </w:rPr>
              <w:t>Target or assumption</w:t>
            </w:r>
          </w:p>
        </w:tc>
        <w:tc>
          <w:tcPr>
            <w:tcW w:type="dxa" w:w="3604"/>
            <w:vAlign w:val="center"/>
            <w:tcMar>
              <w:top w:w="95" w:type="dxa"/>
              <w:bottom w:w="95" w:type="dxa"/>
              <w:left w:w="100" w:type="dxa"/>
              <w:right w:w="100" w:type="dxa"/>
            </w:tcMar>
            <w:shd w:fill="E7EFF8"/>
          </w:tcPr>
          <w:p>
            <w:pPr>
              <w:spacing w:after="20" w:line="252" w:lineRule="auto"/>
            </w:pPr>
            <w:r>
              <w:rPr>
                <w:b/>
                <w:sz w:val="20"/>
              </w:rPr>
              <w:t>Verification milestone</w:t>
            </w:r>
          </w:p>
        </w:tc>
      </w:tr>
      <w:tr>
        <w:trPr>
          <w:cantSplit/>
        </w:trPr>
        <w:tc>
          <w:tcPr>
            <w:tcW w:type="dxa" w:w="1849"/>
            <w:vAlign w:val="center"/>
            <w:tcMar>
              <w:top w:w="95" w:type="dxa"/>
              <w:bottom w:w="95" w:type="dxa"/>
              <w:left w:w="100" w:type="dxa"/>
              <w:right w:w="100" w:type="dxa"/>
            </w:tcMar>
          </w:tcPr>
          <w:p>
            <w:pPr>
              <w:spacing w:after="20" w:line="252" w:lineRule="auto"/>
            </w:pPr>
            <w:r>
              <w:rPr>
                <w:sz w:val="20"/>
              </w:rPr>
              <w:t>Programme requirement</w:t>
            </w:r>
          </w:p>
        </w:tc>
        <w:tc>
          <w:tcPr>
            <w:tcW w:type="dxa" w:w="4627"/>
            <w:vAlign w:val="center"/>
            <w:tcMar>
              <w:top w:w="95" w:type="dxa"/>
              <w:bottom w:w="95" w:type="dxa"/>
              <w:left w:w="100" w:type="dxa"/>
              <w:right w:w="100" w:type="dxa"/>
            </w:tcMar>
          </w:tcPr>
          <w:p>
            <w:pPr>
              <w:spacing w:after="20" w:line="252" w:lineRule="auto"/>
            </w:pPr>
            <w:r>
              <w:rPr>
                <w:sz w:val="20"/>
              </w:rPr>
              <w:t>SHA-256 content addressing plus signatures; agents reject unsigned or mismatched artifacts.</w:t>
            </w:r>
          </w:p>
        </w:tc>
        <w:tc>
          <w:tcPr>
            <w:tcW w:type="dxa" w:w="3604"/>
            <w:vAlign w:val="center"/>
            <w:tcMar>
              <w:top w:w="95" w:type="dxa"/>
              <w:bottom w:w="95" w:type="dxa"/>
              <w:left w:w="100" w:type="dxa"/>
              <w:right w:w="100" w:type="dxa"/>
            </w:tcMar>
          </w:tcPr>
          <w:p>
            <w:pPr>
              <w:spacing w:after="20" w:line="252" w:lineRule="auto"/>
            </w:pPr>
            <w:r>
              <w:rPr>
                <w:sz w:val="20"/>
              </w:rPr>
              <w:t>W3 tamper/wrong-key tests; W5 integration.</w:t>
            </w:r>
          </w:p>
        </w:tc>
      </w:tr>
      <w:tr>
        <w:trPr>
          <w:cantSplit/>
        </w:trPr>
        <w:tc>
          <w:tcPr>
            <w:tcW w:type="dxa" w:w="1849"/>
            <w:vAlign w:val="center"/>
            <w:tcMar>
              <w:top w:w="95" w:type="dxa"/>
              <w:bottom w:w="95" w:type="dxa"/>
              <w:left w:w="100" w:type="dxa"/>
              <w:right w:w="100" w:type="dxa"/>
            </w:tcMar>
          </w:tcPr>
          <w:p>
            <w:pPr>
              <w:spacing w:after="20" w:line="252" w:lineRule="auto"/>
            </w:pPr>
            <w:r>
              <w:rPr>
                <w:sz w:val="20"/>
              </w:rPr>
              <w:t>Programme requirement</w:t>
            </w:r>
          </w:p>
        </w:tc>
        <w:tc>
          <w:tcPr>
            <w:tcW w:type="dxa" w:w="4627"/>
            <w:vAlign w:val="center"/>
            <w:tcMar>
              <w:top w:w="95" w:type="dxa"/>
              <w:bottom w:w="95" w:type="dxa"/>
              <w:left w:w="100" w:type="dxa"/>
              <w:right w:w="100" w:type="dxa"/>
            </w:tcMar>
          </w:tcPr>
          <w:p>
            <w:pPr>
              <w:spacing w:after="20" w:line="252" w:lineRule="auto"/>
            </w:pPr>
            <w:r>
              <w:rPr>
                <w:sz w:val="20"/>
              </w:rPr>
              <w:t>20-agent laptop rollout, 5% -&gt; 25% -&gt; 100%, completes in under 10 minutes.</w:t>
            </w:r>
          </w:p>
        </w:tc>
        <w:tc>
          <w:tcPr>
            <w:tcW w:type="dxa" w:w="3604"/>
            <w:vAlign w:val="center"/>
            <w:tcMar>
              <w:top w:w="95" w:type="dxa"/>
              <w:bottom w:w="95" w:type="dxa"/>
              <w:left w:w="100" w:type="dxa"/>
              <w:right w:w="100" w:type="dxa"/>
            </w:tcMar>
          </w:tcPr>
          <w:p>
            <w:pPr>
              <w:spacing w:after="20" w:line="252" w:lineRule="auto"/>
            </w:pPr>
            <w:r>
              <w:rPr>
                <w:sz w:val="20"/>
              </w:rPr>
              <w:t>W5-6 timed script; repeat W7. Record payload sizes, laptop, bandwidth, bake times and faults.</w:t>
            </w:r>
          </w:p>
        </w:tc>
      </w:tr>
      <w:tr>
        <w:trPr>
          <w:cantSplit/>
        </w:trPr>
        <w:tc>
          <w:tcPr>
            <w:tcW w:type="dxa" w:w="1849"/>
            <w:vAlign w:val="center"/>
            <w:tcMar>
              <w:top w:w="95" w:type="dxa"/>
              <w:bottom w:w="95" w:type="dxa"/>
              <w:left w:w="100" w:type="dxa"/>
              <w:right w:w="100" w:type="dxa"/>
            </w:tcMar>
          </w:tcPr>
          <w:p>
            <w:pPr>
              <w:spacing w:after="20" w:line="252" w:lineRule="auto"/>
            </w:pPr>
            <w:r>
              <w:rPr>
                <w:sz w:val="20"/>
              </w:rPr>
              <w:t>Programme requirement</w:t>
            </w:r>
          </w:p>
        </w:tc>
        <w:tc>
          <w:tcPr>
            <w:tcW w:type="dxa" w:w="4627"/>
            <w:vAlign w:val="center"/>
            <w:tcMar>
              <w:top w:w="95" w:type="dxa"/>
              <w:bottom w:w="95" w:type="dxa"/>
              <w:left w:w="100" w:type="dxa"/>
              <w:right w:w="100" w:type="dxa"/>
            </w:tcMar>
          </w:tcPr>
          <w:p>
            <w:pPr>
              <w:spacing w:after="20" w:line="252" w:lineRule="auto"/>
            </w:pPr>
            <w:r>
              <w:rPr>
                <w:sz w:val="20"/>
              </w:rPr>
              <w:t>Automatic rollback within 60 seconds of health-threshold breach; no robot left on the injected bad version.</w:t>
            </w:r>
          </w:p>
        </w:tc>
        <w:tc>
          <w:tcPr>
            <w:tcW w:type="dxa" w:w="3604"/>
            <w:vAlign w:val="center"/>
            <w:tcMar>
              <w:top w:w="95" w:type="dxa"/>
              <w:bottom w:w="95" w:type="dxa"/>
              <w:left w:w="100" w:type="dxa"/>
              <w:right w:w="100" w:type="dxa"/>
            </w:tcMar>
          </w:tcPr>
          <w:p>
            <w:pPr>
              <w:spacing w:after="20" w:line="252" w:lineRule="auto"/>
            </w:pPr>
            <w:r>
              <w:rPr>
                <w:sz w:val="20"/>
              </w:rPr>
              <w:t>W6 drill records breach and each robot's confirmed healthy digest; repeat W7.</w:t>
            </w:r>
          </w:p>
        </w:tc>
      </w:tr>
      <w:tr>
        <w:trPr>
          <w:cantSplit/>
        </w:trPr>
        <w:tc>
          <w:tcPr>
            <w:tcW w:type="dxa" w:w="1849"/>
            <w:vAlign w:val="center"/>
            <w:tcMar>
              <w:top w:w="95" w:type="dxa"/>
              <w:bottom w:w="95" w:type="dxa"/>
              <w:left w:w="100" w:type="dxa"/>
              <w:right w:w="100" w:type="dxa"/>
            </w:tcMar>
          </w:tcPr>
          <w:p>
            <w:pPr>
              <w:spacing w:after="20" w:line="252" w:lineRule="auto"/>
            </w:pPr>
            <w:r>
              <w:rPr>
                <w:sz w:val="20"/>
              </w:rPr>
              <w:t>Programme requirement</w:t>
            </w:r>
          </w:p>
        </w:tc>
        <w:tc>
          <w:tcPr>
            <w:tcW w:type="dxa" w:w="4627"/>
            <w:vAlign w:val="center"/>
            <w:tcMar>
              <w:top w:w="95" w:type="dxa"/>
              <w:bottom w:w="95" w:type="dxa"/>
              <w:left w:w="100" w:type="dxa"/>
              <w:right w:w="100" w:type="dxa"/>
            </w:tcMar>
          </w:tcPr>
          <w:p>
            <w:pPr>
              <w:spacing w:after="20" w:line="252" w:lineRule="auto"/>
            </w:pPr>
            <w:r>
              <w:rPr>
                <w:sz w:val="20"/>
              </w:rPr>
              <w:t>Zero-cost local default; Azure only in approved sandbox with budget alert, owner/env/expiry tags and session-end destroy. CI creates no cloud spend.</w:t>
            </w:r>
          </w:p>
        </w:tc>
        <w:tc>
          <w:tcPr>
            <w:tcW w:type="dxa" w:w="3604"/>
            <w:vAlign w:val="center"/>
            <w:tcMar>
              <w:top w:w="95" w:type="dxa"/>
              <w:bottom w:w="95" w:type="dxa"/>
              <w:left w:w="100" w:type="dxa"/>
              <w:right w:w="100" w:type="dxa"/>
            </w:tcMar>
          </w:tcPr>
          <w:p>
            <w:pPr>
              <w:spacing w:after="20" w:line="252" w:lineRule="auto"/>
            </w:pPr>
            <w:r>
              <w:rPr>
                <w:sz w:val="20"/>
              </w:rPr>
              <w:t>W1 CI configuration; W7 plan/apply controls and recorded cost if approved.</w:t>
            </w:r>
          </w:p>
        </w:tc>
      </w:tr>
      <w:tr>
        <w:trPr>
          <w:cantSplit/>
        </w:trPr>
        <w:tc>
          <w:tcPr>
            <w:tcW w:type="dxa" w:w="1849"/>
            <w:vAlign w:val="center"/>
            <w:tcMar>
              <w:top w:w="95" w:type="dxa"/>
              <w:bottom w:w="95" w:type="dxa"/>
              <w:left w:w="100" w:type="dxa"/>
              <w:right w:w="100" w:type="dxa"/>
            </w:tcMar>
          </w:tcPr>
          <w:p>
            <w:pPr>
              <w:spacing w:after="20" w:line="252" w:lineRule="auto"/>
            </w:pPr>
            <w:r>
              <w:rPr>
                <w:sz w:val="20"/>
              </w:rPr>
              <w:t>Programme requirement</w:t>
            </w:r>
          </w:p>
        </w:tc>
        <w:tc>
          <w:tcPr>
            <w:tcW w:type="dxa" w:w="4627"/>
            <w:vAlign w:val="center"/>
            <w:tcMar>
              <w:top w:w="95" w:type="dxa"/>
              <w:bottom w:w="95" w:type="dxa"/>
              <w:left w:w="100" w:type="dxa"/>
              <w:right w:w="100" w:type="dxa"/>
            </w:tcMar>
          </w:tcPr>
          <w:p>
            <w:pPr>
              <w:spacing w:after="20" w:line="252" w:lineRule="auto"/>
            </w:pPr>
            <w:r>
              <w:rPr>
                <w:sz w:val="20"/>
              </w:rPr>
              <w:t>/v1 contract from W2; reviewed migration for breaking changes; no confidential data, private weights or credentials in public history.</w:t>
            </w:r>
          </w:p>
        </w:tc>
        <w:tc>
          <w:tcPr>
            <w:tcW w:type="dxa" w:w="3604"/>
            <w:vAlign w:val="center"/>
            <w:tcMar>
              <w:top w:w="95" w:type="dxa"/>
              <w:bottom w:w="95" w:type="dxa"/>
              <w:left w:w="100" w:type="dxa"/>
              <w:right w:w="100" w:type="dxa"/>
            </w:tcMar>
          </w:tcPr>
          <w:p>
            <w:pPr>
              <w:spacing w:after="20" w:line="252" w:lineRule="auto"/>
            </w:pPr>
            <w:r>
              <w:rPr>
                <w:sz w:val="20"/>
              </w:rPr>
              <w:t>Contract diff, licence review, gitleaks and release review.</w:t>
            </w:r>
          </w:p>
        </w:tc>
      </w:tr>
      <w:tr>
        <w:trPr>
          <w:cantSplit/>
        </w:trPr>
        <w:tc>
          <w:tcPr>
            <w:tcW w:type="dxa" w:w="1849"/>
            <w:vAlign w:val="center"/>
            <w:tcMar>
              <w:top w:w="95" w:type="dxa"/>
              <w:bottom w:w="95" w:type="dxa"/>
              <w:left w:w="100" w:type="dxa"/>
              <w:right w:w="100" w:type="dxa"/>
            </w:tcMar>
          </w:tcPr>
          <w:p>
            <w:pPr>
              <w:spacing w:after="20" w:line="252" w:lineRule="auto"/>
            </w:pPr>
            <w:r>
              <w:rPr>
                <w:sz w:val="20"/>
              </w:rPr>
              <w:t>Shared planning assumption</w:t>
            </w:r>
          </w:p>
        </w:tc>
        <w:tc>
          <w:tcPr>
            <w:tcW w:type="dxa" w:w="4627"/>
            <w:vAlign w:val="center"/>
            <w:tcMar>
              <w:top w:w="95" w:type="dxa"/>
              <w:bottom w:w="95" w:type="dxa"/>
              <w:left w:w="100" w:type="dxa"/>
              <w:right w:w="100" w:type="dxa"/>
            </w:tcMar>
          </w:tcPr>
          <w:p>
            <w:pPr>
              <w:spacing w:after="20" w:line="252" w:lineRule="auto"/>
            </w:pPr>
            <w:r>
              <w:rPr>
                <w:sz w:val="20"/>
              </w:rPr>
              <w:t>12 Rover agents in two six-unit sites plus eight Fari agents at one care home; transfer budgets 256 MiB/Rover and 128 MiB/Fari.</w:t>
            </w:r>
          </w:p>
        </w:tc>
        <w:tc>
          <w:tcPr>
            <w:tcW w:type="dxa" w:w="3604"/>
            <w:vAlign w:val="center"/>
            <w:tcMar>
              <w:top w:w="95" w:type="dxa"/>
              <w:bottom w:w="95" w:type="dxa"/>
              <w:left w:w="100" w:type="dxa"/>
              <w:right w:w="100" w:type="dxa"/>
            </w:tcMar>
          </w:tcPr>
          <w:p>
            <w:pPr>
              <w:spacing w:after="20" w:line="252" w:lineRule="auto"/>
            </w:pPr>
            <w:r>
              <w:rPr>
                <w:sz w:val="20"/>
              </w:rPr>
              <w:t>Replace estimates with actual artifact measurements in W3/W5.</w:t>
            </w:r>
          </w:p>
        </w:tc>
      </w:tr>
      <w:tr>
        <w:trPr>
          <w:cantSplit/>
        </w:trPr>
        <w:tc>
          <w:tcPr>
            <w:tcW w:type="dxa" w:w="1849"/>
            <w:vAlign w:val="center"/>
            <w:tcMar>
              <w:top w:w="95" w:type="dxa"/>
              <w:bottom w:w="95" w:type="dxa"/>
              <w:left w:w="100" w:type="dxa"/>
              <w:right w:w="100" w:type="dxa"/>
            </w:tcMar>
          </w:tcPr>
          <w:p>
            <w:pPr>
              <w:spacing w:after="20" w:line="252" w:lineRule="auto"/>
            </w:pPr>
            <w:r>
              <w:rPr>
                <w:sz w:val="20"/>
              </w:rPr>
              <w:t>Shared planning assumption</w:t>
            </w:r>
          </w:p>
        </w:tc>
        <w:tc>
          <w:tcPr>
            <w:tcW w:type="dxa" w:w="4627"/>
            <w:vAlign w:val="center"/>
            <w:tcMar>
              <w:top w:w="95" w:type="dxa"/>
              <w:bottom w:w="95" w:type="dxa"/>
              <w:left w:w="100" w:type="dxa"/>
              <w:right w:w="100" w:type="dxa"/>
            </w:tcMar>
          </w:tcPr>
          <w:p>
            <w:pPr>
              <w:spacing w:after="20" w:line="252" w:lineRule="auto"/>
            </w:pPr>
            <w:r>
              <w:rPr>
                <w:sz w:val="20"/>
              </w:rPr>
              <w:t>Five-second &lt;=2 KiB heartbeats: 20 agents produce 8 KiB/s payload, excluding HTTP/TLS; desired-state polling adds about four reads/s.</w:t>
            </w:r>
          </w:p>
        </w:tc>
        <w:tc>
          <w:tcPr>
            <w:tcW w:type="dxa" w:w="3604"/>
            <w:vAlign w:val="center"/>
            <w:tcMar>
              <w:top w:w="95" w:type="dxa"/>
              <w:bottom w:w="95" w:type="dxa"/>
              <w:left w:w="100" w:type="dxa"/>
              <w:right w:w="100" w:type="dxa"/>
            </w:tcMar>
          </w:tcPr>
          <w:p>
            <w:pPr>
              <w:spacing w:after="20" w:line="252" w:lineRule="auto"/>
            </w:pPr>
            <w:r>
              <w:rPr>
                <w:sz w:val="20"/>
              </w:rPr>
              <w:t>W5 traffic and latency measurements. Product 10Hz telemetry stays local/site-side by default.</w:t>
            </w:r>
          </w:p>
        </w:tc>
      </w:tr>
      <w:tr>
        <w:trPr>
          <w:cantSplit/>
        </w:trPr>
        <w:tc>
          <w:tcPr>
            <w:tcW w:type="dxa" w:w="1849"/>
            <w:vAlign w:val="center"/>
            <w:tcMar>
              <w:top w:w="95" w:type="dxa"/>
              <w:bottom w:w="95" w:type="dxa"/>
              <w:left w:w="100" w:type="dxa"/>
              <w:right w:w="100" w:type="dxa"/>
            </w:tcMar>
          </w:tcPr>
          <w:p>
            <w:pPr>
              <w:spacing w:after="20" w:line="252" w:lineRule="auto"/>
            </w:pPr>
            <w:r>
              <w:rPr>
                <w:sz w:val="20"/>
              </w:rPr>
              <w:t>Proposed parameters</w:t>
            </w:r>
          </w:p>
        </w:tc>
        <w:tc>
          <w:tcPr>
            <w:tcW w:type="dxa" w:w="4627"/>
            <w:vAlign w:val="center"/>
            <w:tcMar>
              <w:top w:w="95" w:type="dxa"/>
              <w:bottom w:w="95" w:type="dxa"/>
              <w:left w:w="100" w:type="dxa"/>
              <w:right w:w="100" w:type="dxa"/>
            </w:tcMar>
          </w:tcPr>
          <w:p>
            <w:pPr>
              <w:spacing w:after="20" w:line="252" w:lineRule="auto"/>
            </w:pPr>
            <w:r>
              <w:rPr>
                <w:sz w:val="20"/>
              </w:rPr>
              <w:t>/readyz responds within five seconds; unavailable or timed-out dependencies return 503. Metadata API p95 &lt;200ms at 20 agents.</w:t>
            </w:r>
          </w:p>
        </w:tc>
        <w:tc>
          <w:tcPr>
            <w:tcW w:type="dxa" w:w="3604"/>
            <w:vAlign w:val="center"/>
            <w:tcMar>
              <w:top w:w="95" w:type="dxa"/>
              <w:bottom w:w="95" w:type="dxa"/>
              <w:left w:w="100" w:type="dxa"/>
              <w:right w:w="100" w:type="dxa"/>
            </w:tcMar>
          </w:tcPr>
          <w:p>
            <w:pPr>
              <w:spacing w:after="20" w:line="252" w:lineRule="auto"/>
            </w:pPr>
            <w:r>
              <w:rPr>
                <w:sz w:val="20"/>
              </w:rPr>
              <w:t>W1 dependency-stop and slow-probe tests for readiness; W2/W5 load tests for API latency.</w:t>
            </w:r>
          </w:p>
        </w:tc>
      </w:tr>
    </w:tbl>
    <w:p>
      <w:pPr>
        <w:spacing w:after="0"/>
      </w:pPr>
    </w:p>
    <w:p>
      <w:r>
        <w:t>At a proposed Rover effective link of 2 Mbit/s, 256 MiB alone takes at least 17.9 minutes before retries. That profile cannot satisfy the under-ten-minute target. The target remains unchanged: document the benchmark conditions and any gap, rather than silently reducing payloads or claiming success for all networks. An indefinitely offline robot likewise prevents confirmed fleet-wide rollback within 60 seconds. Product-specific validation remains necessary.</w:t>
      </w:r>
    </w:p>
    <w:p>
      <w:pPr>
        <w:pStyle w:val="Heading1"/>
      </w:pPr>
      <w:r>
        <w:t>8 Sources and review</w:t>
      </w:r>
    </w:p>
    <w:p>
      <w:r>
        <w:t>Authority: personal SDE plan Section 1.4, pp. 5-12/14, and mentor confirmation. Supporting evidence: Rover SE/backend and offline/OTA requirements, Origami interfaces, and Fari update/privacy constraints. Conflicting product figures remain unverified. Confidential originals stay outside GitHub. ADRs link official references; implementation evidence is recorded separately.</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00"/>
    </w:pPr>
    <w:rPr>
      <w:rFonts w:asciiTheme="majorHAnsi" w:eastAsiaTheme="majorEastAsia" w:hAnsiTheme="majorHAnsi" w:cstheme="majorBidi" w:ascii="Arial" w:hAnsi="Arial"/>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Platform Design Document</dc:title>
  <dc:subject>Robot Fleet MLOps and Cloud Infrastructure Week 1</dc:subject>
  <dc:creator>Xiaoyu Hu</dc:creator>
  <cp:keywords/>
  <dc:description>generated by python-docx</dc:description>
  <cp:lastModifiedBy/>
  <cp:revision>1</cp:revision>
  <dcterms:created xsi:type="dcterms:W3CDTF">2013-12-23T23:15:00Z</dcterms:created>
  <dcterms:modified xsi:type="dcterms:W3CDTF">2013-12-23T23:15:00Z</dcterms:modified>
  <cp:category/>
</cp:coreProperties>
</file>