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1F013B" w14:textId="77777777" w:rsidR="00E328F1" w:rsidRPr="00C366EF" w:rsidRDefault="006E4567" w:rsidP="008034A8">
      <w:pPr>
        <w:jc w:val="center"/>
        <w:rPr>
          <w:rFonts w:asciiTheme="minorHAnsi" w:hAnsiTheme="minorHAnsi" w:cstheme="minorHAnsi"/>
          <w:sz w:val="28"/>
        </w:rPr>
      </w:pPr>
      <w:r w:rsidRPr="00C366EF">
        <w:rPr>
          <w:rFonts w:asciiTheme="minorHAnsi" w:hAnsiTheme="minorHAnsi" w:cstheme="minorHAnsi"/>
          <w:sz w:val="28"/>
        </w:rPr>
        <w:t xml:space="preserve">Documentation of STATA code for </w:t>
      </w:r>
      <w:r w:rsidR="008034A8" w:rsidRPr="00C366EF">
        <w:rPr>
          <w:rFonts w:asciiTheme="minorHAnsi" w:hAnsiTheme="minorHAnsi" w:cstheme="minorHAnsi"/>
          <w:sz w:val="28"/>
        </w:rPr>
        <w:t>“Extremal Quantile Regression for Selection Models and the Black-White Wage Gap”</w:t>
      </w:r>
    </w:p>
    <w:p w14:paraId="191F013C" w14:textId="5F631949" w:rsidR="008034A8" w:rsidRPr="00C366EF" w:rsidRDefault="00882813" w:rsidP="008034A8">
      <w:pPr>
        <w:jc w:val="center"/>
        <w:rPr>
          <w:rFonts w:asciiTheme="minorHAnsi" w:hAnsiTheme="minorHAnsi" w:cstheme="minorHAnsi"/>
          <w:sz w:val="24"/>
        </w:rPr>
      </w:pPr>
      <w:r>
        <w:rPr>
          <w:rFonts w:asciiTheme="minorHAnsi" w:hAnsiTheme="minorHAnsi" w:cstheme="minorHAnsi"/>
          <w:sz w:val="24"/>
        </w:rPr>
        <w:t>December 2016</w:t>
      </w:r>
    </w:p>
    <w:p w14:paraId="191F013D" w14:textId="77777777" w:rsidR="008034A8" w:rsidRPr="00E33870" w:rsidRDefault="008034A8" w:rsidP="008034A8">
      <w:pPr>
        <w:rPr>
          <w:rFonts w:asciiTheme="minorHAnsi" w:hAnsiTheme="minorHAnsi" w:cstheme="minorHAnsi"/>
        </w:rPr>
      </w:pPr>
    </w:p>
    <w:p w14:paraId="191F013E" w14:textId="77777777" w:rsidR="008034A8" w:rsidRPr="00E33870" w:rsidRDefault="008034A8" w:rsidP="008034A8">
      <w:pPr>
        <w:rPr>
          <w:rFonts w:asciiTheme="minorHAnsi" w:hAnsiTheme="minorHAnsi" w:cstheme="minorHAnsi"/>
          <w:u w:val="single"/>
        </w:rPr>
      </w:pPr>
      <w:r w:rsidRPr="00E33870">
        <w:rPr>
          <w:rFonts w:asciiTheme="minorHAnsi" w:hAnsiTheme="minorHAnsi" w:cstheme="minorHAnsi"/>
          <w:u w:val="single"/>
        </w:rPr>
        <w:t>Title</w:t>
      </w:r>
    </w:p>
    <w:p w14:paraId="2978E744" w14:textId="06CE45B1" w:rsidR="00CE4254" w:rsidRPr="00CE4254" w:rsidRDefault="00722AE3" w:rsidP="00CE4254">
      <w:pPr>
        <w:rPr>
          <w:rFonts w:asciiTheme="minorHAnsi" w:hAnsiTheme="minorHAnsi" w:cstheme="minorHAnsi"/>
        </w:rPr>
      </w:pPr>
      <w:proofErr w:type="spellStart"/>
      <w:proofErr w:type="gramStart"/>
      <w:r>
        <w:rPr>
          <w:rFonts w:asciiTheme="minorHAnsi" w:hAnsiTheme="minorHAnsi" w:cstheme="minorHAnsi" w:hint="eastAsia"/>
        </w:rPr>
        <w:t>eq</w:t>
      </w:r>
      <w:r>
        <w:rPr>
          <w:rFonts w:asciiTheme="minorHAnsi" w:hAnsiTheme="minorHAnsi" w:cstheme="minorHAnsi"/>
        </w:rPr>
        <w:t>reg</w:t>
      </w:r>
      <w:proofErr w:type="spellEnd"/>
      <w:proofErr w:type="gramEnd"/>
      <w:r w:rsidR="008034A8" w:rsidRPr="00E33870">
        <w:rPr>
          <w:rFonts w:asciiTheme="minorHAnsi" w:hAnsiTheme="minorHAnsi" w:cstheme="minorHAnsi"/>
        </w:rPr>
        <w:t xml:space="preserve"> </w:t>
      </w:r>
      <w:r w:rsidR="00CE4254" w:rsidRPr="00CE4254">
        <w:rPr>
          <w:rFonts w:asciiTheme="minorHAnsi" w:hAnsiTheme="minorHAnsi" w:cstheme="minorHAnsi"/>
        </w:rPr>
        <w:t>- Estimation method using extremal qua</w:t>
      </w:r>
      <w:r w:rsidR="00CE4254">
        <w:rPr>
          <w:rFonts w:asciiTheme="minorHAnsi" w:hAnsiTheme="minorHAnsi" w:cstheme="minorHAnsi"/>
        </w:rPr>
        <w:t>n</w:t>
      </w:r>
      <w:r w:rsidR="00CE4254" w:rsidRPr="00CE4254">
        <w:rPr>
          <w:rFonts w:asciiTheme="minorHAnsi" w:hAnsiTheme="minorHAnsi" w:cstheme="minorHAnsi"/>
        </w:rPr>
        <w:t>tile regression under endogenous selection</w:t>
      </w:r>
    </w:p>
    <w:p w14:paraId="191F0140" w14:textId="77777777" w:rsidR="008034A8" w:rsidRPr="00E33870" w:rsidRDefault="008034A8" w:rsidP="008034A8">
      <w:pPr>
        <w:rPr>
          <w:rFonts w:asciiTheme="minorHAnsi" w:hAnsiTheme="minorHAnsi" w:cstheme="minorHAnsi"/>
        </w:rPr>
      </w:pPr>
    </w:p>
    <w:p w14:paraId="191F0141" w14:textId="77777777" w:rsidR="008034A8" w:rsidRPr="00E33870" w:rsidRDefault="008034A8" w:rsidP="008034A8">
      <w:pPr>
        <w:rPr>
          <w:rFonts w:asciiTheme="minorHAnsi" w:hAnsiTheme="minorHAnsi" w:cstheme="minorHAnsi"/>
          <w:u w:val="single"/>
        </w:rPr>
      </w:pPr>
      <w:r w:rsidRPr="00E33870">
        <w:rPr>
          <w:rFonts w:asciiTheme="minorHAnsi" w:hAnsiTheme="minorHAnsi" w:cstheme="minorHAnsi"/>
          <w:u w:val="single"/>
        </w:rPr>
        <w:t>Syntax</w:t>
      </w:r>
    </w:p>
    <w:p w14:paraId="191F0142" w14:textId="77777777" w:rsidR="008034A8" w:rsidRPr="00E33870" w:rsidRDefault="008034A8" w:rsidP="008034A8">
      <w:pPr>
        <w:rPr>
          <w:rFonts w:asciiTheme="minorHAnsi" w:hAnsiTheme="minorHAnsi" w:cstheme="minorHAnsi"/>
        </w:rPr>
      </w:pPr>
    </w:p>
    <w:p w14:paraId="191F0143" w14:textId="368D2719" w:rsidR="008034A8" w:rsidRDefault="00722AE3" w:rsidP="008034A8">
      <w:pPr>
        <w:rPr>
          <w:rFonts w:asciiTheme="minorHAnsi" w:hAnsiTheme="minorHAnsi" w:cstheme="minorHAnsi"/>
        </w:rPr>
      </w:pPr>
      <w:proofErr w:type="spellStart"/>
      <w:proofErr w:type="gramStart"/>
      <w:r>
        <w:rPr>
          <w:rFonts w:asciiTheme="minorHAnsi" w:hAnsiTheme="minorHAnsi" w:cstheme="minorHAnsi"/>
        </w:rPr>
        <w:t>eqreg</w:t>
      </w:r>
      <w:proofErr w:type="spellEnd"/>
      <w:proofErr w:type="gramEnd"/>
      <w:r w:rsidR="004C3B1A">
        <w:rPr>
          <w:rFonts w:asciiTheme="minorHAnsi" w:hAnsiTheme="minorHAnsi" w:cstheme="minorHAnsi"/>
        </w:rPr>
        <w:t xml:space="preserve"> </w:t>
      </w:r>
      <w:proofErr w:type="spellStart"/>
      <w:r w:rsidR="004C3B1A">
        <w:rPr>
          <w:rFonts w:asciiTheme="minorHAnsi" w:hAnsiTheme="minorHAnsi" w:cstheme="minorHAnsi"/>
        </w:rPr>
        <w:t>varlist</w:t>
      </w:r>
      <w:proofErr w:type="spellEnd"/>
      <w:r w:rsidR="008034A8" w:rsidRPr="00E33870">
        <w:rPr>
          <w:rFonts w:asciiTheme="minorHAnsi" w:hAnsiTheme="minorHAnsi" w:cstheme="minorHAnsi"/>
        </w:rPr>
        <w:t xml:space="preserve">, </w:t>
      </w:r>
      <w:r w:rsidR="00524C13">
        <w:rPr>
          <w:rFonts w:asciiTheme="minorHAnsi" w:hAnsiTheme="minorHAnsi" w:cstheme="minorHAnsi"/>
        </w:rPr>
        <w:t>[</w:t>
      </w:r>
      <w:r w:rsidR="00CE4254" w:rsidRPr="00CE4254">
        <w:rPr>
          <w:rFonts w:asciiTheme="minorHAnsi" w:hAnsiTheme="minorHAnsi" w:cstheme="minorHAnsi"/>
        </w:rPr>
        <w:t>options</w:t>
      </w:r>
      <w:r w:rsidR="00524C13">
        <w:rPr>
          <w:rFonts w:asciiTheme="minorHAnsi" w:hAnsiTheme="minorHAnsi" w:cstheme="minorHAnsi"/>
        </w:rPr>
        <w:t>]</w:t>
      </w:r>
    </w:p>
    <w:p w14:paraId="191F0144" w14:textId="77777777" w:rsidR="00D46858" w:rsidRPr="00E33870" w:rsidRDefault="00D46858" w:rsidP="008034A8">
      <w:pPr>
        <w:rPr>
          <w:rFonts w:asciiTheme="minorHAnsi" w:hAnsiTheme="minorHAnsi" w:cstheme="minorHAnsi"/>
        </w:rPr>
      </w:pPr>
    </w:p>
    <w:tbl>
      <w:tblPr>
        <w:tblStyle w:val="11"/>
        <w:tblW w:w="0" w:type="auto"/>
        <w:jc w:val="center"/>
        <w:tblLook w:val="04A0" w:firstRow="1" w:lastRow="0" w:firstColumn="1" w:lastColumn="0" w:noHBand="0" w:noVBand="1"/>
      </w:tblPr>
      <w:tblGrid>
        <w:gridCol w:w="1344"/>
        <w:gridCol w:w="6952"/>
      </w:tblGrid>
      <w:tr w:rsidR="00D46858" w14:paraId="191F0147" w14:textId="77777777" w:rsidTr="00CE42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4" w:type="dxa"/>
          </w:tcPr>
          <w:p w14:paraId="191F0145" w14:textId="5C81082E" w:rsidR="00D46858" w:rsidRDefault="00CE4254" w:rsidP="00CE4254">
            <w:pPr>
              <w:jc w:val="center"/>
              <w:rPr>
                <w:rFonts w:asciiTheme="minorHAnsi" w:hAnsiTheme="minorHAnsi" w:cstheme="minorHAnsi"/>
              </w:rPr>
            </w:pPr>
            <w:r>
              <w:rPr>
                <w:rFonts w:asciiTheme="minorHAnsi" w:hAnsiTheme="minorHAnsi" w:cstheme="minorHAnsi"/>
              </w:rPr>
              <w:t>Option</w:t>
            </w:r>
            <w:r w:rsidR="00D46858" w:rsidRPr="00E33870">
              <w:rPr>
                <w:rFonts w:asciiTheme="minorHAnsi" w:hAnsiTheme="minorHAnsi" w:cstheme="minorHAnsi"/>
              </w:rPr>
              <w:t>s</w:t>
            </w:r>
          </w:p>
        </w:tc>
        <w:tc>
          <w:tcPr>
            <w:tcW w:w="6952" w:type="dxa"/>
          </w:tcPr>
          <w:p w14:paraId="191F0146" w14:textId="77777777" w:rsidR="00D46858" w:rsidRDefault="00D46858" w:rsidP="00CE425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D46858">
              <w:rPr>
                <w:rFonts w:asciiTheme="minorHAnsi" w:hAnsiTheme="minorHAnsi" w:cstheme="minorHAnsi"/>
              </w:rPr>
              <w:t>Description</w:t>
            </w:r>
          </w:p>
        </w:tc>
      </w:tr>
      <w:tr w:rsidR="0036606F" w14:paraId="16AFC9CB" w14:textId="77777777" w:rsidTr="00CE42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4" w:type="dxa"/>
          </w:tcPr>
          <w:p w14:paraId="700B2F2A" w14:textId="71025683" w:rsidR="0036606F" w:rsidRDefault="0036606F" w:rsidP="00CE4254">
            <w:pPr>
              <w:jc w:val="center"/>
              <w:rPr>
                <w:rFonts w:asciiTheme="minorHAnsi" w:hAnsiTheme="minorHAnsi" w:cstheme="minorHAnsi"/>
              </w:rPr>
            </w:pPr>
            <w:proofErr w:type="spellStart"/>
            <w:r>
              <w:rPr>
                <w:rFonts w:asciiTheme="minorHAnsi" w:hAnsiTheme="minorHAnsi" w:cstheme="minorHAnsi" w:hint="eastAsia"/>
              </w:rPr>
              <w:t>Hom</w:t>
            </w:r>
            <w:proofErr w:type="spellEnd"/>
            <w:r>
              <w:rPr>
                <w:rFonts w:asciiTheme="minorHAnsi" w:hAnsiTheme="minorHAnsi" w:cstheme="minorHAnsi" w:hint="eastAsia"/>
              </w:rPr>
              <w:t>(</w:t>
            </w:r>
            <w:r>
              <w:rPr>
                <w:rFonts w:asciiTheme="minorHAnsi" w:hAnsiTheme="minorHAnsi" w:cstheme="minorHAnsi"/>
              </w:rPr>
              <w:t>#</w:t>
            </w:r>
            <w:r>
              <w:rPr>
                <w:rFonts w:asciiTheme="minorHAnsi" w:hAnsiTheme="minorHAnsi" w:cstheme="minorHAnsi" w:hint="eastAsia"/>
              </w:rPr>
              <w:t>)</w:t>
            </w:r>
          </w:p>
        </w:tc>
        <w:tc>
          <w:tcPr>
            <w:tcW w:w="6952" w:type="dxa"/>
          </w:tcPr>
          <w:p w14:paraId="781D4A14" w14:textId="4266BD2F" w:rsidR="0036606F" w:rsidRPr="000509E0" w:rsidRDefault="000509E0" w:rsidP="00CE425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509E0">
              <w:rPr>
                <w:rFonts w:asciiTheme="minorHAnsi" w:hAnsiTheme="minorHAnsi" w:cstheme="minorHAnsi"/>
              </w:rPr>
              <w:t xml:space="preserve">Estimate the coefficients of the first # independent variables; default is </w:t>
            </w:r>
            <w:proofErr w:type="spellStart"/>
            <w:r w:rsidRPr="000509E0">
              <w:rPr>
                <w:rFonts w:asciiTheme="minorHAnsi" w:hAnsiTheme="minorHAnsi" w:cstheme="minorHAnsi"/>
              </w:rPr>
              <w:t>hom</w:t>
            </w:r>
            <w:proofErr w:type="spellEnd"/>
            <w:r w:rsidRPr="000509E0">
              <w:rPr>
                <w:rFonts w:asciiTheme="minorHAnsi" w:hAnsiTheme="minorHAnsi" w:cstheme="minorHAnsi"/>
              </w:rPr>
              <w:t>(1)</w:t>
            </w:r>
          </w:p>
        </w:tc>
      </w:tr>
      <w:tr w:rsidR="00CE4254" w14:paraId="09AFFBE5" w14:textId="77777777" w:rsidTr="00CE4254">
        <w:trPr>
          <w:jc w:val="center"/>
        </w:trPr>
        <w:tc>
          <w:tcPr>
            <w:cnfStyle w:val="001000000000" w:firstRow="0" w:lastRow="0" w:firstColumn="1" w:lastColumn="0" w:oddVBand="0" w:evenVBand="0" w:oddHBand="0" w:evenHBand="0" w:firstRowFirstColumn="0" w:firstRowLastColumn="0" w:lastRowFirstColumn="0" w:lastRowLastColumn="0"/>
            <w:tcW w:w="1344" w:type="dxa"/>
          </w:tcPr>
          <w:p w14:paraId="302193B0" w14:textId="271B8F1B" w:rsidR="00CE4254" w:rsidRDefault="00CE4254" w:rsidP="00CE4254">
            <w:pPr>
              <w:jc w:val="center"/>
              <w:rPr>
                <w:rFonts w:asciiTheme="minorHAnsi" w:hAnsiTheme="minorHAnsi" w:cstheme="minorHAnsi"/>
              </w:rPr>
            </w:pPr>
            <w:r>
              <w:rPr>
                <w:rFonts w:asciiTheme="minorHAnsi" w:hAnsiTheme="minorHAnsi" w:cstheme="minorHAnsi"/>
              </w:rPr>
              <w:t>Boots(#)</w:t>
            </w:r>
          </w:p>
        </w:tc>
        <w:tc>
          <w:tcPr>
            <w:tcW w:w="6952" w:type="dxa"/>
          </w:tcPr>
          <w:p w14:paraId="132B92EB" w14:textId="379F8408" w:rsidR="00CE4254" w:rsidRPr="00CE4254" w:rsidRDefault="00CE4254" w:rsidP="00CE425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Subsampling</w:t>
            </w:r>
            <w:r w:rsidRPr="00E8512D">
              <w:rPr>
                <w:rFonts w:asciiTheme="minorHAnsi" w:hAnsiTheme="minorHAnsi" w:cstheme="minorHAnsi"/>
              </w:rPr>
              <w:t xml:space="preserve"> size </w:t>
            </w:r>
            <w:r>
              <w:rPr>
                <w:rFonts w:asciiTheme="minorHAnsi" w:hAnsiTheme="minorHAnsi" w:cstheme="minorHAnsi"/>
              </w:rPr>
              <w:t xml:space="preserve">used </w:t>
            </w:r>
            <w:r w:rsidRPr="00E8512D">
              <w:rPr>
                <w:rFonts w:asciiTheme="minorHAnsi" w:hAnsiTheme="minorHAnsi" w:cstheme="minorHAnsi"/>
              </w:rPr>
              <w:t>for selecting</w:t>
            </w:r>
            <w:r>
              <w:rPr>
                <w:rFonts w:asciiTheme="minorHAnsi" w:hAnsiTheme="minorHAnsi" w:cstheme="minorHAnsi"/>
              </w:rPr>
              <w:t xml:space="preserve"> optimal quantile index</w:t>
            </w:r>
            <w:r w:rsidRPr="00E8512D">
              <w:rPr>
                <w:rFonts w:asciiTheme="minorHAnsi" w:hAnsiTheme="minorHAnsi" w:cstheme="minorHAnsi"/>
              </w:rPr>
              <w:t xml:space="preserve"> tau</w:t>
            </w:r>
            <w:r>
              <w:rPr>
                <w:rFonts w:asciiTheme="minorHAnsi" w:hAnsiTheme="minorHAnsi" w:cstheme="minorHAnsi"/>
              </w:rPr>
              <w:t xml:space="preserve">; </w:t>
            </w:r>
            <w:r w:rsidRPr="00CE4254">
              <w:rPr>
                <w:rFonts w:asciiTheme="minorHAnsi" w:hAnsiTheme="minorHAnsi" w:cstheme="minorHAnsi"/>
              </w:rPr>
              <w:t>default is based on the size of the dataset</w:t>
            </w:r>
          </w:p>
        </w:tc>
      </w:tr>
      <w:tr w:rsidR="00CE4254" w14:paraId="191F014A" w14:textId="77777777" w:rsidTr="00CE42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4" w:type="dxa"/>
          </w:tcPr>
          <w:p w14:paraId="191F0148" w14:textId="197054B1" w:rsidR="00CE4254" w:rsidRDefault="00CE4254" w:rsidP="00CE4254">
            <w:pPr>
              <w:jc w:val="center"/>
              <w:rPr>
                <w:rFonts w:asciiTheme="minorHAnsi" w:hAnsiTheme="minorHAnsi" w:cstheme="minorHAnsi"/>
              </w:rPr>
            </w:pPr>
            <w:r>
              <w:rPr>
                <w:rFonts w:asciiTheme="minorHAnsi" w:hAnsiTheme="minorHAnsi" w:cstheme="minorHAnsi"/>
              </w:rPr>
              <w:t>Grid(#)</w:t>
            </w:r>
          </w:p>
        </w:tc>
        <w:tc>
          <w:tcPr>
            <w:tcW w:w="6952" w:type="dxa"/>
          </w:tcPr>
          <w:p w14:paraId="191F0149" w14:textId="099BFBE0" w:rsidR="00CE4254" w:rsidRDefault="00CE4254" w:rsidP="00CE425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w:t>
            </w:r>
            <w:r>
              <w:rPr>
                <w:rFonts w:asciiTheme="minorHAnsi" w:hAnsiTheme="minorHAnsi" w:cstheme="minorHAnsi" w:hint="eastAsia"/>
              </w:rPr>
              <w:t xml:space="preserve">iscretize </w:t>
            </w:r>
            <w:r w:rsidRPr="00E8512D">
              <w:rPr>
                <w:rFonts w:asciiTheme="minorHAnsi" w:hAnsiTheme="minorHAnsi" w:cstheme="minorHAnsi"/>
              </w:rPr>
              <w:t>the interval of tau into #</w:t>
            </w:r>
            <w:r>
              <w:rPr>
                <w:rFonts w:asciiTheme="minorHAnsi" w:hAnsiTheme="minorHAnsi" w:cstheme="minorHAnsi"/>
              </w:rPr>
              <w:t xml:space="preserve"> subintervals; default is grid(4</w:t>
            </w:r>
            <w:r w:rsidRPr="00E8512D">
              <w:rPr>
                <w:rFonts w:asciiTheme="minorHAnsi" w:hAnsiTheme="minorHAnsi" w:cstheme="minorHAnsi"/>
              </w:rPr>
              <w:t>0)</w:t>
            </w:r>
          </w:p>
        </w:tc>
      </w:tr>
      <w:tr w:rsidR="00CE4254" w14:paraId="191F014D" w14:textId="77777777" w:rsidTr="00CE4254">
        <w:trPr>
          <w:jc w:val="center"/>
        </w:trPr>
        <w:tc>
          <w:tcPr>
            <w:cnfStyle w:val="001000000000" w:firstRow="0" w:lastRow="0" w:firstColumn="1" w:lastColumn="0" w:oddVBand="0" w:evenVBand="0" w:oddHBand="0" w:evenHBand="0" w:firstRowFirstColumn="0" w:firstRowLastColumn="0" w:lastRowFirstColumn="0" w:lastRowLastColumn="0"/>
            <w:tcW w:w="1344" w:type="dxa"/>
          </w:tcPr>
          <w:p w14:paraId="191F014B" w14:textId="7755D128" w:rsidR="00CE4254" w:rsidRDefault="00CE4254" w:rsidP="00CE4254">
            <w:pPr>
              <w:jc w:val="center"/>
              <w:rPr>
                <w:rFonts w:asciiTheme="minorHAnsi" w:hAnsiTheme="minorHAnsi" w:cstheme="minorHAnsi"/>
              </w:rPr>
            </w:pPr>
            <w:r>
              <w:rPr>
                <w:rFonts w:asciiTheme="minorHAnsi" w:hAnsiTheme="minorHAnsi" w:cstheme="minorHAnsi"/>
              </w:rPr>
              <w:t>BTP(#)</w:t>
            </w:r>
          </w:p>
        </w:tc>
        <w:tc>
          <w:tcPr>
            <w:tcW w:w="6952" w:type="dxa"/>
          </w:tcPr>
          <w:p w14:paraId="191F014C" w14:textId="65E50B20" w:rsidR="00CE4254" w:rsidRDefault="00CE4254" w:rsidP="00CE425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w:t>
            </w:r>
            <w:r w:rsidRPr="00E8512D">
              <w:rPr>
                <w:rFonts w:asciiTheme="minorHAnsi" w:hAnsiTheme="minorHAnsi" w:cstheme="minorHAnsi"/>
              </w:rPr>
              <w:t>erform # bootstrap re</w:t>
            </w:r>
            <w:r>
              <w:rPr>
                <w:rFonts w:asciiTheme="minorHAnsi" w:hAnsiTheme="minorHAnsi" w:cstheme="minorHAnsi"/>
              </w:rPr>
              <w:t xml:space="preserve">plications; default is </w:t>
            </w:r>
            <w:proofErr w:type="spellStart"/>
            <w:r>
              <w:rPr>
                <w:rFonts w:asciiTheme="minorHAnsi" w:hAnsiTheme="minorHAnsi" w:cstheme="minorHAnsi"/>
              </w:rPr>
              <w:t>btp</w:t>
            </w:r>
            <w:proofErr w:type="spellEnd"/>
            <w:r>
              <w:rPr>
                <w:rFonts w:asciiTheme="minorHAnsi" w:hAnsiTheme="minorHAnsi" w:cstheme="minorHAnsi"/>
              </w:rPr>
              <w:t>(150)</w:t>
            </w:r>
          </w:p>
        </w:tc>
      </w:tr>
    </w:tbl>
    <w:p w14:paraId="191F0160" w14:textId="77777777" w:rsidR="00B45E58" w:rsidRPr="00E33870" w:rsidRDefault="00B45E58" w:rsidP="008034A8">
      <w:pPr>
        <w:rPr>
          <w:rFonts w:asciiTheme="minorHAnsi" w:hAnsiTheme="minorHAnsi" w:cstheme="minorHAnsi"/>
        </w:rPr>
      </w:pPr>
    </w:p>
    <w:p w14:paraId="191F0161" w14:textId="77777777" w:rsidR="00B45E58" w:rsidRPr="00D46858" w:rsidRDefault="00B45E58" w:rsidP="008034A8">
      <w:pPr>
        <w:rPr>
          <w:rFonts w:asciiTheme="minorHAnsi" w:hAnsiTheme="minorHAnsi" w:cstheme="minorHAnsi"/>
          <w:u w:val="single"/>
        </w:rPr>
      </w:pPr>
      <w:r w:rsidRPr="00D46858">
        <w:rPr>
          <w:rFonts w:asciiTheme="minorHAnsi" w:hAnsiTheme="minorHAnsi" w:cstheme="minorHAnsi"/>
          <w:u w:val="single"/>
        </w:rPr>
        <w:t>Description</w:t>
      </w:r>
    </w:p>
    <w:p w14:paraId="191F0162" w14:textId="77777777" w:rsidR="00B45E58" w:rsidRDefault="00B45E58" w:rsidP="008034A8"/>
    <w:p w14:paraId="4E77A26A" w14:textId="173C2208" w:rsidR="00240FC9" w:rsidRPr="00240FC9" w:rsidRDefault="00240FC9" w:rsidP="00B54F13">
      <w:pPr>
        <w:autoSpaceDE w:val="0"/>
        <w:autoSpaceDN w:val="0"/>
        <w:adjustRightInd w:val="0"/>
        <w:rPr>
          <w:rFonts w:asciiTheme="minorHAnsi" w:hAnsiTheme="minorHAnsi" w:cstheme="minorHAnsi"/>
        </w:rPr>
      </w:pPr>
      <w:proofErr w:type="spellStart"/>
      <w:proofErr w:type="gramStart"/>
      <w:r w:rsidRPr="00240FC9">
        <w:rPr>
          <w:rFonts w:asciiTheme="minorHAnsi" w:hAnsiTheme="minorHAnsi" w:cstheme="minorHAnsi"/>
        </w:rPr>
        <w:t>eqreg</w:t>
      </w:r>
      <w:proofErr w:type="spellEnd"/>
      <w:proofErr w:type="gramEnd"/>
      <w:r w:rsidRPr="00240FC9">
        <w:rPr>
          <w:rFonts w:asciiTheme="minorHAnsi" w:hAnsiTheme="minorHAnsi" w:cstheme="minorHAnsi"/>
        </w:rPr>
        <w:t xml:space="preserve"> estimates and provides inference for the coefficient of variables of interest when </w:t>
      </w:r>
      <w:r w:rsidR="00B54F13">
        <w:rPr>
          <w:rFonts w:asciiTheme="minorHAnsi" w:hAnsiTheme="minorHAnsi" w:cstheme="minorHAnsi"/>
        </w:rPr>
        <w:t>e</w:t>
      </w:r>
      <w:r w:rsidR="00B54F13" w:rsidRPr="00240FC9">
        <w:rPr>
          <w:rFonts w:asciiTheme="minorHAnsi" w:hAnsiTheme="minorHAnsi" w:cstheme="minorHAnsi"/>
        </w:rPr>
        <w:t>ndogenous</w:t>
      </w:r>
      <w:r w:rsidRPr="00240FC9">
        <w:rPr>
          <w:rFonts w:asciiTheme="minorHAnsi" w:hAnsiTheme="minorHAnsi" w:cstheme="minorHAnsi"/>
        </w:rPr>
        <w:t xml:space="preserve"> selection presence. </w:t>
      </w:r>
      <w:r w:rsidR="00B54F13" w:rsidRPr="00B54F13">
        <w:rPr>
          <w:rFonts w:asciiTheme="minorHAnsi" w:hAnsiTheme="minorHAnsi" w:cstheme="minorHAnsi"/>
        </w:rPr>
        <w:t>The estimation method mainly assumes that under endogenous selection, the effect of the outcome on selection dominates those of covariates for sufficiently large values of the outcome, which is</w:t>
      </w:r>
      <w:r w:rsidR="00B54F13">
        <w:rPr>
          <w:rFonts w:asciiTheme="minorHAnsi" w:hAnsiTheme="minorHAnsi" w:cstheme="minorHAnsi"/>
        </w:rPr>
        <w:t xml:space="preserve"> </w:t>
      </w:r>
      <w:r w:rsidRPr="00240FC9">
        <w:rPr>
          <w:rFonts w:asciiTheme="minorHAnsi" w:hAnsiTheme="minorHAnsi" w:cstheme="minorHAnsi"/>
        </w:rPr>
        <w:t xml:space="preserve">proposed by </w:t>
      </w:r>
      <w:proofErr w:type="spellStart"/>
      <w:r w:rsidRPr="00240FC9">
        <w:rPr>
          <w:rFonts w:asciiTheme="minorHAnsi" w:hAnsiTheme="minorHAnsi" w:cstheme="minorHAnsi"/>
        </w:rPr>
        <w:t>d'Haultfoeuille</w:t>
      </w:r>
      <w:proofErr w:type="spellEnd"/>
      <w:r w:rsidRPr="00240FC9">
        <w:rPr>
          <w:rFonts w:asciiTheme="minorHAnsi" w:hAnsiTheme="minorHAnsi" w:cstheme="minorHAnsi"/>
        </w:rPr>
        <w:t xml:space="preserve">, X., </w:t>
      </w:r>
      <w:proofErr w:type="spellStart"/>
      <w:r w:rsidRPr="00240FC9">
        <w:rPr>
          <w:rFonts w:asciiTheme="minorHAnsi" w:hAnsiTheme="minorHAnsi" w:cstheme="minorHAnsi"/>
        </w:rPr>
        <w:t>Maurel</w:t>
      </w:r>
      <w:proofErr w:type="spellEnd"/>
      <w:r w:rsidRPr="00240FC9">
        <w:rPr>
          <w:rFonts w:asciiTheme="minorHAnsi" w:hAnsiTheme="minorHAnsi" w:cstheme="minorHAnsi"/>
        </w:rPr>
        <w:t xml:space="preserve">, A., &amp; Zhang, Y. (2016), based on the paper </w:t>
      </w:r>
      <w:r w:rsidRPr="00240FC9">
        <w:rPr>
          <w:rFonts w:asciiTheme="minorHAnsi" w:hAnsiTheme="minorHAnsi" w:cstheme="minorHAnsi"/>
          <w:i/>
        </w:rPr>
        <w:t>Extremal Quantile Regression for Selection Models and the Black-White Wage Gap</w:t>
      </w:r>
      <w:r w:rsidRPr="00240FC9">
        <w:rPr>
          <w:rFonts w:asciiTheme="minorHAnsi" w:hAnsiTheme="minorHAnsi" w:cstheme="minorHAnsi"/>
        </w:rPr>
        <w:t>. The variables of interest are assumed to have homogeneous effects on the outcome across its distribution. The number of variables of interest can be more than one.</w:t>
      </w:r>
    </w:p>
    <w:p w14:paraId="79CF2B2A" w14:textId="1236833A" w:rsidR="00C069A7" w:rsidRPr="00240FC9" w:rsidRDefault="00C069A7" w:rsidP="00B45E58">
      <w:pPr>
        <w:autoSpaceDE w:val="0"/>
        <w:autoSpaceDN w:val="0"/>
        <w:adjustRightInd w:val="0"/>
        <w:jc w:val="left"/>
        <w:rPr>
          <w:rFonts w:ascii="CMR10" w:hAnsi="CMR10" w:cs="CMR10" w:hint="eastAsia"/>
          <w:kern w:val="0"/>
          <w:sz w:val="22"/>
          <w:szCs w:val="22"/>
        </w:rPr>
      </w:pPr>
      <w:bookmarkStart w:id="0" w:name="_GoBack"/>
      <w:bookmarkEnd w:id="0"/>
    </w:p>
    <w:p w14:paraId="71C7D916" w14:textId="4EFECE87" w:rsidR="00AC11DF" w:rsidRDefault="00AC11DF" w:rsidP="00AC11DF">
      <w:pPr>
        <w:rPr>
          <w:rFonts w:asciiTheme="minorHAnsi" w:hAnsiTheme="minorHAnsi" w:cstheme="minorHAnsi"/>
          <w:u w:val="single"/>
        </w:rPr>
      </w:pPr>
      <w:r>
        <w:rPr>
          <w:rFonts w:asciiTheme="minorHAnsi" w:hAnsiTheme="minorHAnsi" w:cstheme="minorHAnsi" w:hint="eastAsia"/>
          <w:u w:val="single"/>
        </w:rPr>
        <w:t>Options</w:t>
      </w:r>
    </w:p>
    <w:p w14:paraId="247C48BA" w14:textId="77777777" w:rsidR="00AC11DF" w:rsidRDefault="00AC11DF" w:rsidP="00AC11DF">
      <w:pPr>
        <w:rPr>
          <w:rFonts w:asciiTheme="minorHAnsi" w:hAnsiTheme="minorHAnsi" w:cstheme="minorHAnsi"/>
          <w:u w:val="single"/>
        </w:rPr>
      </w:pPr>
    </w:p>
    <w:p w14:paraId="5CFC50E5" w14:textId="77777777" w:rsidR="00CE4254" w:rsidRPr="00CE4254" w:rsidRDefault="00AC11DF" w:rsidP="00CE4254">
      <w:pPr>
        <w:rPr>
          <w:rFonts w:asciiTheme="minorHAnsi" w:hAnsiTheme="minorHAnsi" w:cstheme="minorHAnsi"/>
        </w:rPr>
      </w:pPr>
      <w:proofErr w:type="spellStart"/>
      <w:proofErr w:type="gramStart"/>
      <w:r w:rsidRPr="00AC11DF">
        <w:rPr>
          <w:rFonts w:asciiTheme="minorHAnsi" w:hAnsiTheme="minorHAnsi" w:cstheme="minorHAnsi"/>
        </w:rPr>
        <w:t>Hom</w:t>
      </w:r>
      <w:proofErr w:type="spellEnd"/>
      <w:r>
        <w:rPr>
          <w:rFonts w:asciiTheme="minorHAnsi" w:hAnsiTheme="minorHAnsi" w:cstheme="minorHAnsi"/>
        </w:rPr>
        <w:t>(</w:t>
      </w:r>
      <w:proofErr w:type="gramEnd"/>
      <w:r>
        <w:rPr>
          <w:rFonts w:asciiTheme="minorHAnsi" w:hAnsiTheme="minorHAnsi" w:cstheme="minorHAnsi"/>
        </w:rPr>
        <w:t>#)</w:t>
      </w:r>
      <w:r w:rsidR="00CE4254" w:rsidRPr="00CE4254">
        <w:rPr>
          <w:rFonts w:asciiTheme="minorHAnsi" w:hAnsiTheme="minorHAnsi" w:cstheme="minorHAnsi"/>
        </w:rPr>
        <w:t>specifies the number of variable of interests. The variables of interest are assumed to have homogeneous effects on the outcome across its distribution. Apart from specifying the number of variables of interests, users have to put the all the variables of interest right after the dependent variables, followed by other independent variables. The default value is 1.</w:t>
      </w:r>
    </w:p>
    <w:p w14:paraId="2045EB69" w14:textId="40717E05" w:rsidR="00AC11DF" w:rsidRDefault="00AC11DF" w:rsidP="00AC11DF">
      <w:pPr>
        <w:rPr>
          <w:rFonts w:asciiTheme="minorHAnsi" w:hAnsiTheme="minorHAnsi" w:cstheme="minorHAnsi"/>
        </w:rPr>
      </w:pPr>
    </w:p>
    <w:p w14:paraId="3F6F51EC" w14:textId="77777777" w:rsidR="00CE4254" w:rsidRDefault="00CE4254" w:rsidP="00CE4254">
      <w:pPr>
        <w:rPr>
          <w:rFonts w:asciiTheme="minorHAnsi" w:hAnsiTheme="minorHAnsi" w:cstheme="minorHAnsi"/>
        </w:rPr>
      </w:pPr>
      <w:proofErr w:type="gramStart"/>
      <w:r>
        <w:rPr>
          <w:rFonts w:asciiTheme="minorHAnsi" w:hAnsiTheme="minorHAnsi" w:cstheme="minorHAnsi"/>
        </w:rPr>
        <w:t>Boots(</w:t>
      </w:r>
      <w:proofErr w:type="gramEnd"/>
      <w:r>
        <w:rPr>
          <w:rFonts w:asciiTheme="minorHAnsi" w:hAnsiTheme="minorHAnsi" w:cstheme="minorHAnsi"/>
        </w:rPr>
        <w:t xml:space="preserve">#) specifies the sample size used for selecting the optimal quantile index tau. To select tau, an information criteria considering tradeoff between biasedness and efficiency is computed with a selected sample, whose size is specified by </w:t>
      </w:r>
      <w:proofErr w:type="gramStart"/>
      <w:r>
        <w:rPr>
          <w:rFonts w:asciiTheme="minorHAnsi" w:hAnsiTheme="minorHAnsi" w:cstheme="minorHAnsi"/>
        </w:rPr>
        <w:t>Boots(</w:t>
      </w:r>
      <w:proofErr w:type="gramEnd"/>
      <w:r>
        <w:rPr>
          <w:rFonts w:asciiTheme="minorHAnsi" w:hAnsiTheme="minorHAnsi" w:cstheme="minorHAnsi"/>
        </w:rPr>
        <w:t xml:space="preserve">). If no value is specified, or a negative value is specified, the sample size is calculated by the following formula. </w:t>
      </w:r>
    </w:p>
    <w:p w14:paraId="2CA69B0F" w14:textId="77777777" w:rsidR="00CE4254" w:rsidRPr="00BA0054" w:rsidRDefault="00CE4254" w:rsidP="00CE4254">
      <w:pPr>
        <w:rPr>
          <w:rFonts w:asciiTheme="minorHAnsi" w:hAnsiTheme="minorHAnsi" w:cstheme="minorHAnsi"/>
        </w:rPr>
      </w:pPr>
      <m:oMathPara>
        <m:oMath>
          <m:r>
            <m:rPr>
              <m:sty m:val="p"/>
            </m:rPr>
            <w:rPr>
              <w:rFonts w:ascii="Cambria Math" w:hAnsi="Cambria Math" w:cstheme="minorHAnsi"/>
            </w:rPr>
            <m:t>0.6n-0.2</m:t>
          </m:r>
          <m:sSup>
            <m:sSupPr>
              <m:ctrlPr>
                <w:rPr>
                  <w:rFonts w:ascii="Cambria Math" w:hAnsi="Cambria Math" w:cstheme="minorHAnsi"/>
                </w:rPr>
              </m:ctrlPr>
            </m:sSupPr>
            <m:e>
              <m:d>
                <m:dPr>
                  <m:ctrlPr>
                    <w:rPr>
                      <w:rFonts w:ascii="Cambria Math" w:hAnsi="Cambria Math" w:cstheme="minorHAnsi"/>
                      <w:i/>
                    </w:rPr>
                  </m:ctrlPr>
                </m:dPr>
                <m:e>
                  <m:r>
                    <w:rPr>
                      <w:rFonts w:ascii="Cambria Math" w:hAnsi="Cambria Math" w:cstheme="minorHAnsi"/>
                    </w:rPr>
                    <m:t>n-500</m:t>
                  </m:r>
                </m:e>
              </m:d>
            </m:e>
            <m:sup>
              <m:r>
                <w:rPr>
                  <w:rFonts w:ascii="Cambria Math" w:hAnsi="Cambria Math" w:cstheme="minorHAnsi"/>
                </w:rPr>
                <m:t>+</m:t>
              </m:r>
            </m:sup>
          </m:sSup>
          <m:r>
            <w:rPr>
              <w:rFonts w:ascii="Cambria Math" w:hAnsi="Cambria Math" w:cstheme="minorHAnsi"/>
            </w:rPr>
            <m:t>-0.2</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n-1000</m:t>
                  </m:r>
                </m:e>
              </m:d>
            </m:e>
            <m:sup>
              <m:r>
                <w:rPr>
                  <w:rFonts w:ascii="Cambria Math" w:hAnsi="Cambria Math" w:cstheme="minorHAnsi"/>
                </w:rPr>
                <m:t>+</m:t>
              </m:r>
            </m:sup>
          </m:sSup>
          <m:r>
            <w:rPr>
              <w:rFonts w:ascii="Cambria Math" w:hAnsi="Cambria Math" w:cstheme="minorHAnsi"/>
            </w:rPr>
            <m:t>-0.2[1-</m:t>
          </m:r>
          <m:f>
            <m:fPr>
              <m:ctrlPr>
                <w:rPr>
                  <w:rFonts w:ascii="Cambria Math" w:hAnsi="Cambria Math" w:cstheme="minorHAnsi"/>
                  <w:i/>
                </w:rPr>
              </m:ctrlPr>
            </m:fPr>
            <m:num>
              <m:r>
                <m:rPr>
                  <m:sty m:val="p"/>
                </m:rPr>
                <w:rPr>
                  <w:rFonts w:ascii="Cambria Math" w:hAnsi="Cambria Math" w:cstheme="minorHAnsi"/>
                </w:rPr>
                <m:t>ln⁡</m:t>
              </m:r>
              <m:r>
                <w:rPr>
                  <w:rFonts w:ascii="Cambria Math" w:hAnsi="Cambria Math" w:cstheme="minorHAnsi"/>
                </w:rPr>
                <m:t>(2000)</m:t>
              </m:r>
            </m:num>
            <m:den>
              <m:r>
                <m:rPr>
                  <m:sty m:val="p"/>
                </m:rPr>
                <w:rPr>
                  <w:rFonts w:ascii="Cambria Math" w:hAnsi="Cambria Math" w:cstheme="minorHAnsi"/>
                </w:rPr>
                <m:t>ln⁡</m:t>
              </m:r>
              <m:r>
                <w:rPr>
                  <w:rFonts w:ascii="Cambria Math" w:hAnsi="Cambria Math" w:cstheme="minorHAnsi"/>
                </w:rPr>
                <m:t>(n)</m:t>
              </m:r>
            </m:den>
          </m:f>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(n-2000)</m:t>
              </m:r>
            </m:e>
            <m:sup>
              <m:r>
                <w:rPr>
                  <w:rFonts w:ascii="Cambria Math" w:hAnsi="Cambria Math" w:cstheme="minorHAnsi"/>
                </w:rPr>
                <m:t>+</m:t>
              </m:r>
            </m:sup>
          </m:sSup>
        </m:oMath>
      </m:oMathPara>
    </w:p>
    <w:p w14:paraId="34691C4C" w14:textId="77777777" w:rsidR="00CE4254" w:rsidRDefault="00CE4254" w:rsidP="00AC11DF">
      <w:pPr>
        <w:rPr>
          <w:rFonts w:asciiTheme="minorHAnsi" w:hAnsiTheme="minorHAnsi" w:cstheme="minorHAnsi"/>
        </w:rPr>
      </w:pPr>
    </w:p>
    <w:p w14:paraId="4153E34F" w14:textId="3580BB55" w:rsidR="00CE4254" w:rsidRDefault="00CE4254" w:rsidP="00CE4254">
      <w:pPr>
        <w:rPr>
          <w:rFonts w:asciiTheme="minorHAnsi" w:hAnsiTheme="minorHAnsi" w:cstheme="minorHAnsi"/>
        </w:rPr>
      </w:pPr>
      <w:proofErr w:type="gramStart"/>
      <w:r w:rsidRPr="00CE4254">
        <w:rPr>
          <w:rFonts w:asciiTheme="minorHAnsi" w:hAnsiTheme="minorHAnsi" w:cstheme="minorHAnsi"/>
        </w:rPr>
        <w:lastRenderedPageBreak/>
        <w:t>Grid(</w:t>
      </w:r>
      <w:proofErr w:type="gramEnd"/>
      <w:r w:rsidRPr="00CE4254">
        <w:rPr>
          <w:rFonts w:asciiTheme="minorHAnsi" w:hAnsiTheme="minorHAnsi" w:cstheme="minorHAnsi"/>
        </w:rPr>
        <w:t xml:space="preserve">#) specifies the number of subintervals to divide region of search when selecting optimal quantile index tau. The upper bound of region of search is 0.3, while the lower bound is </w:t>
      </w:r>
      <w:proofErr w:type="gramStart"/>
      <w:r w:rsidRPr="00CE4254">
        <w:rPr>
          <w:rFonts w:asciiTheme="minorHAnsi" w:hAnsiTheme="minorHAnsi" w:cstheme="minorHAnsi"/>
        </w:rPr>
        <w:t>min(</w:t>
      </w:r>
      <w:proofErr w:type="gramEnd"/>
      <w:r w:rsidRPr="00CE4254">
        <w:rPr>
          <w:rFonts w:asciiTheme="minorHAnsi" w:hAnsiTheme="minorHAnsi" w:cstheme="minorHAnsi"/>
        </w:rPr>
        <w:t xml:space="preserve"> 0.1,0.8/</w:t>
      </w:r>
      <m:oMath>
        <m:sSub>
          <m:sSubPr>
            <m:ctrlPr>
              <w:rPr>
                <w:rFonts w:ascii="Cambria Math" w:hAnsi="Cambria Math" w:cstheme="minorHAnsi"/>
              </w:rPr>
            </m:ctrlPr>
          </m:sSubPr>
          <m:e>
            <m:r>
              <m:rPr>
                <m:sty m:val="p"/>
              </m:rPr>
              <w:rPr>
                <w:rFonts w:ascii="Cambria Math" w:hAnsi="Cambria Math" w:cstheme="minorHAnsi"/>
              </w:rPr>
              <m:t xml:space="preserve"> b</m:t>
            </m:r>
          </m:e>
          <m:sub>
            <m:r>
              <w:rPr>
                <w:rFonts w:ascii="Cambria Math" w:hAnsi="Cambria Math" w:cstheme="minorHAnsi"/>
              </w:rPr>
              <m:t>n</m:t>
            </m:r>
          </m:sub>
        </m:sSub>
      </m:oMath>
      <w:r w:rsidRPr="00CE4254">
        <w:rPr>
          <w:rFonts w:asciiTheme="minorHAnsi" w:hAnsiTheme="minorHAnsi" w:cstheme="minorHAnsi"/>
        </w:rPr>
        <w:t xml:space="preserve">) , where </w:t>
      </w:r>
      <m:oMath>
        <m:sSub>
          <m:sSubPr>
            <m:ctrlPr>
              <w:rPr>
                <w:rFonts w:ascii="Cambria Math" w:hAnsi="Cambria Math" w:cstheme="minorHAnsi"/>
              </w:rPr>
            </m:ctrlPr>
          </m:sSubPr>
          <m:e>
            <m:r>
              <m:rPr>
                <m:sty m:val="p"/>
              </m:rPr>
              <w:rPr>
                <w:rFonts w:ascii="Cambria Math" w:hAnsi="Cambria Math" w:cstheme="minorHAnsi"/>
              </w:rPr>
              <m:t xml:space="preserve"> b</m:t>
            </m:r>
          </m:e>
          <m:sub>
            <m:r>
              <w:rPr>
                <w:rFonts w:ascii="Cambria Math" w:hAnsi="Cambria Math" w:cstheme="minorHAnsi"/>
              </w:rPr>
              <m:t>n</m:t>
            </m:r>
          </m:sub>
        </m:sSub>
      </m:oMath>
      <w:r w:rsidRPr="00CE4254">
        <w:rPr>
          <w:rFonts w:asciiTheme="minorHAnsi" w:hAnsiTheme="minorHAnsi" w:cstheme="minorHAnsi"/>
        </w:rPr>
        <w:t xml:space="preserve"> is specified by Boots(). The default value is 40.</w:t>
      </w:r>
    </w:p>
    <w:p w14:paraId="3628EE39" w14:textId="77777777" w:rsidR="00CE4254" w:rsidRPr="00CE4254" w:rsidRDefault="00CE4254" w:rsidP="00CE4254">
      <w:pPr>
        <w:rPr>
          <w:rFonts w:asciiTheme="minorHAnsi" w:hAnsiTheme="minorHAnsi" w:cstheme="minorHAnsi"/>
        </w:rPr>
      </w:pPr>
    </w:p>
    <w:p w14:paraId="132DF834" w14:textId="3A145A62" w:rsidR="00E6745A" w:rsidRDefault="00E6745A" w:rsidP="00AC11DF">
      <w:pPr>
        <w:rPr>
          <w:rFonts w:asciiTheme="minorHAnsi" w:hAnsiTheme="minorHAnsi" w:cstheme="minorHAnsi"/>
        </w:rPr>
      </w:pPr>
      <w:proofErr w:type="gramStart"/>
      <w:r>
        <w:rPr>
          <w:rFonts w:asciiTheme="minorHAnsi" w:hAnsiTheme="minorHAnsi" w:cstheme="minorHAnsi"/>
        </w:rPr>
        <w:t>BTP(</w:t>
      </w:r>
      <w:proofErr w:type="gramEnd"/>
      <w:r>
        <w:rPr>
          <w:rFonts w:asciiTheme="minorHAnsi" w:hAnsiTheme="minorHAnsi" w:cstheme="minorHAnsi"/>
        </w:rPr>
        <w:t xml:space="preserve">#) </w:t>
      </w:r>
      <w:r w:rsidR="00132A60">
        <w:rPr>
          <w:rFonts w:asciiTheme="minorHAnsi" w:hAnsiTheme="minorHAnsi" w:cstheme="minorHAnsi"/>
        </w:rPr>
        <w:t>specifies the number of bootstrap replications. The default value is 150.</w:t>
      </w:r>
    </w:p>
    <w:p w14:paraId="68D295C0" w14:textId="77777777" w:rsidR="00AC11DF" w:rsidRDefault="00AC11DF" w:rsidP="00B45E58">
      <w:pPr>
        <w:autoSpaceDE w:val="0"/>
        <w:autoSpaceDN w:val="0"/>
        <w:adjustRightInd w:val="0"/>
        <w:jc w:val="left"/>
        <w:rPr>
          <w:rFonts w:ascii="CMR10" w:hAnsi="CMR10" w:cs="CMR10"/>
          <w:kern w:val="0"/>
          <w:sz w:val="22"/>
          <w:szCs w:val="22"/>
        </w:rPr>
      </w:pPr>
    </w:p>
    <w:p w14:paraId="191F0165" w14:textId="77777777" w:rsidR="00524C13" w:rsidRPr="00524C13" w:rsidRDefault="00524C13" w:rsidP="00B45E58">
      <w:pPr>
        <w:autoSpaceDE w:val="0"/>
        <w:autoSpaceDN w:val="0"/>
        <w:adjustRightInd w:val="0"/>
        <w:jc w:val="left"/>
        <w:rPr>
          <w:rFonts w:ascii="CMR10" w:hAnsi="CMR10" w:cs="CMR10"/>
          <w:kern w:val="0"/>
          <w:sz w:val="22"/>
          <w:szCs w:val="22"/>
          <w:u w:val="single"/>
        </w:rPr>
      </w:pPr>
      <w:r w:rsidRPr="00524C13">
        <w:rPr>
          <w:rFonts w:ascii="CMR10" w:hAnsi="CMR10" w:cs="CMR10" w:hint="eastAsia"/>
          <w:kern w:val="0"/>
          <w:sz w:val="22"/>
          <w:szCs w:val="22"/>
          <w:u w:val="single"/>
        </w:rPr>
        <w:t>Output</w:t>
      </w:r>
    </w:p>
    <w:p w14:paraId="191F0166" w14:textId="42E44E6B" w:rsidR="00524C13" w:rsidRDefault="00CE4254" w:rsidP="00B45E58">
      <w:pPr>
        <w:autoSpaceDE w:val="0"/>
        <w:autoSpaceDN w:val="0"/>
        <w:adjustRightInd w:val="0"/>
        <w:jc w:val="left"/>
        <w:rPr>
          <w:rFonts w:ascii="CMR10" w:hAnsi="CMR10" w:cs="CMR10"/>
          <w:kern w:val="0"/>
          <w:sz w:val="22"/>
          <w:szCs w:val="22"/>
        </w:rPr>
      </w:pPr>
      <w:r>
        <w:rPr>
          <w:rFonts w:ascii="CMR10" w:hAnsi="CMR10" w:cs="CMR10" w:hint="eastAsia"/>
          <w:kern w:val="0"/>
          <w:sz w:val="22"/>
          <w:szCs w:val="22"/>
        </w:rPr>
        <w:t>Scalars</w:t>
      </w:r>
    </w:p>
    <w:tbl>
      <w:tblPr>
        <w:tblStyle w:val="11"/>
        <w:tblW w:w="0" w:type="auto"/>
        <w:jc w:val="center"/>
        <w:tblLook w:val="04A0" w:firstRow="1" w:lastRow="0" w:firstColumn="1" w:lastColumn="0" w:noHBand="0" w:noVBand="1"/>
      </w:tblPr>
      <w:tblGrid>
        <w:gridCol w:w="1964"/>
        <w:gridCol w:w="6332"/>
      </w:tblGrid>
      <w:tr w:rsidR="00524C13" w14:paraId="191F0169" w14:textId="77777777" w:rsidTr="00722AE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4" w:type="dxa"/>
          </w:tcPr>
          <w:p w14:paraId="191F0167" w14:textId="77777777" w:rsidR="00524C13" w:rsidRDefault="00524C13" w:rsidP="00CE4254">
            <w:pPr>
              <w:autoSpaceDE w:val="0"/>
              <w:autoSpaceDN w:val="0"/>
              <w:adjustRightInd w:val="0"/>
              <w:jc w:val="center"/>
              <w:rPr>
                <w:rFonts w:ascii="CMR10" w:hAnsi="CMR10" w:cs="CMR10"/>
                <w:kern w:val="0"/>
                <w:sz w:val="22"/>
                <w:szCs w:val="22"/>
              </w:rPr>
            </w:pPr>
            <w:r>
              <w:rPr>
                <w:rFonts w:ascii="CMR10" w:hAnsi="CMR10" w:cs="CMR10" w:hint="eastAsia"/>
                <w:kern w:val="0"/>
                <w:sz w:val="22"/>
                <w:szCs w:val="22"/>
              </w:rPr>
              <w:t>Name</w:t>
            </w:r>
          </w:p>
        </w:tc>
        <w:tc>
          <w:tcPr>
            <w:tcW w:w="6332" w:type="dxa"/>
          </w:tcPr>
          <w:p w14:paraId="191F0168" w14:textId="77777777" w:rsidR="00524C13" w:rsidRDefault="00524C13" w:rsidP="00CE4254">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MR10" w:hAnsi="CMR10" w:cs="CMR10"/>
                <w:kern w:val="0"/>
                <w:sz w:val="22"/>
                <w:szCs w:val="22"/>
              </w:rPr>
            </w:pPr>
            <w:r>
              <w:rPr>
                <w:rFonts w:ascii="CMR10" w:hAnsi="CMR10" w:cs="CMR10" w:hint="eastAsia"/>
                <w:kern w:val="0"/>
                <w:sz w:val="22"/>
                <w:szCs w:val="22"/>
              </w:rPr>
              <w:t>Description</w:t>
            </w:r>
          </w:p>
        </w:tc>
      </w:tr>
      <w:tr w:rsidR="00524C13" w14:paraId="191F016C" w14:textId="77777777" w:rsidTr="00722A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4" w:type="dxa"/>
          </w:tcPr>
          <w:p w14:paraId="191F016A" w14:textId="1D5CD50C" w:rsidR="00524C13" w:rsidRDefault="00722AE3" w:rsidP="00CE4254">
            <w:pPr>
              <w:autoSpaceDE w:val="0"/>
              <w:autoSpaceDN w:val="0"/>
              <w:adjustRightInd w:val="0"/>
              <w:jc w:val="center"/>
              <w:rPr>
                <w:rFonts w:ascii="CMR10" w:hAnsi="CMR10" w:cs="CMR10"/>
                <w:kern w:val="0"/>
                <w:sz w:val="22"/>
                <w:szCs w:val="22"/>
              </w:rPr>
            </w:pPr>
            <w:r>
              <w:rPr>
                <w:rFonts w:ascii="CMR10" w:hAnsi="CMR10" w:cs="CMR10" w:hint="eastAsia"/>
                <w:kern w:val="0"/>
                <w:sz w:val="22"/>
                <w:szCs w:val="22"/>
              </w:rPr>
              <w:t>e</w:t>
            </w:r>
            <w:r>
              <w:rPr>
                <w:rFonts w:ascii="CMR10" w:hAnsi="CMR10" w:cs="CMR10"/>
                <w:kern w:val="0"/>
                <w:sz w:val="22"/>
                <w:szCs w:val="22"/>
              </w:rPr>
              <w:t>(tau0)</w:t>
            </w:r>
          </w:p>
        </w:tc>
        <w:tc>
          <w:tcPr>
            <w:tcW w:w="6332" w:type="dxa"/>
          </w:tcPr>
          <w:p w14:paraId="191F016B" w14:textId="1B6F4A43" w:rsidR="00524C13" w:rsidRPr="00524C13" w:rsidRDefault="00722AE3" w:rsidP="00CE425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MR10" w:hAnsi="CMR10" w:cs="CMR10"/>
                <w:kern w:val="0"/>
                <w:sz w:val="22"/>
                <w:szCs w:val="22"/>
              </w:rPr>
            </w:pPr>
            <w:r>
              <w:rPr>
                <w:rFonts w:ascii="CMR10" w:hAnsi="CMR10" w:cs="CMR10"/>
                <w:kern w:val="0"/>
                <w:sz w:val="22"/>
                <w:szCs w:val="22"/>
              </w:rPr>
              <w:t>O</w:t>
            </w:r>
            <w:r>
              <w:rPr>
                <w:rFonts w:ascii="CMR10" w:hAnsi="CMR10" w:cs="CMR10" w:hint="eastAsia"/>
                <w:kern w:val="0"/>
                <w:sz w:val="22"/>
                <w:szCs w:val="22"/>
              </w:rPr>
              <w:t>ptima</w:t>
            </w:r>
            <w:r>
              <w:rPr>
                <w:rFonts w:ascii="CMR10" w:hAnsi="CMR10" w:cs="CMR10"/>
                <w:kern w:val="0"/>
                <w:sz w:val="22"/>
                <w:szCs w:val="22"/>
              </w:rPr>
              <w:t>l quantile index</w:t>
            </w:r>
            <w:r w:rsidR="00647BD0">
              <w:rPr>
                <w:rFonts w:ascii="CMR10" w:hAnsi="CMR10" w:cs="CMR10"/>
                <w:kern w:val="0"/>
                <w:sz w:val="22"/>
                <w:szCs w:val="22"/>
              </w:rPr>
              <w:t>.</w:t>
            </w:r>
          </w:p>
        </w:tc>
      </w:tr>
      <w:tr w:rsidR="00524C13" w14:paraId="191F016F" w14:textId="77777777" w:rsidTr="00722AE3">
        <w:trPr>
          <w:jc w:val="center"/>
        </w:trPr>
        <w:tc>
          <w:tcPr>
            <w:cnfStyle w:val="001000000000" w:firstRow="0" w:lastRow="0" w:firstColumn="1" w:lastColumn="0" w:oddVBand="0" w:evenVBand="0" w:oddHBand="0" w:evenHBand="0" w:firstRowFirstColumn="0" w:firstRowLastColumn="0" w:lastRowFirstColumn="0" w:lastRowLastColumn="0"/>
            <w:tcW w:w="1964" w:type="dxa"/>
          </w:tcPr>
          <w:p w14:paraId="191F016D" w14:textId="612327D9" w:rsidR="00524C13" w:rsidRDefault="00722AE3" w:rsidP="00CE4254">
            <w:pPr>
              <w:autoSpaceDE w:val="0"/>
              <w:autoSpaceDN w:val="0"/>
              <w:adjustRightInd w:val="0"/>
              <w:jc w:val="center"/>
              <w:rPr>
                <w:rFonts w:ascii="CMR10" w:hAnsi="CMR10" w:cs="CMR10"/>
                <w:kern w:val="0"/>
                <w:sz w:val="22"/>
                <w:szCs w:val="22"/>
              </w:rPr>
            </w:pPr>
            <w:r>
              <w:rPr>
                <w:rFonts w:ascii="CMR10" w:hAnsi="CMR10" w:cs="CMR10"/>
                <w:kern w:val="0"/>
                <w:sz w:val="22"/>
                <w:szCs w:val="22"/>
              </w:rPr>
              <w:t>e(</w:t>
            </w:r>
            <w:proofErr w:type="spellStart"/>
            <w:r>
              <w:rPr>
                <w:rFonts w:ascii="CMR10" w:hAnsi="CMR10" w:cs="CMR10"/>
                <w:kern w:val="0"/>
                <w:sz w:val="22"/>
                <w:szCs w:val="22"/>
              </w:rPr>
              <w:t>specificationtest</w:t>
            </w:r>
            <w:proofErr w:type="spellEnd"/>
            <w:r>
              <w:rPr>
                <w:rFonts w:ascii="CMR10" w:hAnsi="CMR10" w:cs="CMR10"/>
                <w:kern w:val="0"/>
                <w:sz w:val="22"/>
                <w:szCs w:val="22"/>
              </w:rPr>
              <w:t>)</w:t>
            </w:r>
          </w:p>
        </w:tc>
        <w:tc>
          <w:tcPr>
            <w:tcW w:w="6332" w:type="dxa"/>
          </w:tcPr>
          <w:p w14:paraId="191F016E" w14:textId="6353A860" w:rsidR="00524C13" w:rsidRDefault="00722AE3" w:rsidP="00CE425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MR10" w:hAnsi="CMR10" w:cs="CMR10"/>
                <w:kern w:val="0"/>
                <w:sz w:val="22"/>
                <w:szCs w:val="22"/>
              </w:rPr>
            </w:pPr>
            <w:r>
              <w:rPr>
                <w:rFonts w:ascii="CMR10" w:hAnsi="CMR10" w:cs="CMR10"/>
                <w:kern w:val="0"/>
                <w:sz w:val="22"/>
                <w:szCs w:val="22"/>
              </w:rPr>
              <w:t>V</w:t>
            </w:r>
            <w:r>
              <w:rPr>
                <w:rFonts w:ascii="CMR10" w:hAnsi="CMR10" w:cs="CMR10" w:hint="eastAsia"/>
                <w:kern w:val="0"/>
                <w:sz w:val="22"/>
                <w:szCs w:val="22"/>
              </w:rPr>
              <w:t xml:space="preserve">alue </w:t>
            </w:r>
            <w:r>
              <w:rPr>
                <w:rFonts w:ascii="CMR10" w:hAnsi="CMR10" w:cs="CMR10"/>
                <w:kern w:val="0"/>
                <w:sz w:val="22"/>
                <w:szCs w:val="22"/>
              </w:rPr>
              <w:t>of specification test</w:t>
            </w:r>
            <w:r w:rsidR="00647BD0">
              <w:rPr>
                <w:rFonts w:ascii="CMR10" w:hAnsi="CMR10" w:cs="CMR10"/>
                <w:kern w:val="0"/>
                <w:sz w:val="22"/>
                <w:szCs w:val="22"/>
              </w:rPr>
              <w:t>.</w:t>
            </w:r>
          </w:p>
        </w:tc>
      </w:tr>
      <w:tr w:rsidR="00CE4254" w14:paraId="34B08FDC" w14:textId="77777777" w:rsidTr="00722A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4" w:type="dxa"/>
          </w:tcPr>
          <w:p w14:paraId="11AAE0D3" w14:textId="6F1F0D0F" w:rsidR="00CE4254" w:rsidRDefault="00CE4254" w:rsidP="00CE4254">
            <w:pPr>
              <w:autoSpaceDE w:val="0"/>
              <w:autoSpaceDN w:val="0"/>
              <w:adjustRightInd w:val="0"/>
              <w:jc w:val="center"/>
              <w:rPr>
                <w:rFonts w:ascii="CMR10" w:hAnsi="CMR10" w:cs="CMR10"/>
                <w:kern w:val="0"/>
                <w:sz w:val="22"/>
                <w:szCs w:val="22"/>
              </w:rPr>
            </w:pPr>
            <w:r>
              <w:rPr>
                <w:rFonts w:ascii="CMR10" w:hAnsi="CMR10" w:cs="CMR10" w:hint="eastAsia"/>
                <w:kern w:val="0"/>
                <w:sz w:val="22"/>
                <w:szCs w:val="22"/>
              </w:rPr>
              <w:t>e(</w:t>
            </w:r>
            <w:r>
              <w:rPr>
                <w:rFonts w:ascii="CMR10" w:hAnsi="CMR10" w:cs="CMR10"/>
                <w:kern w:val="0"/>
                <w:sz w:val="22"/>
                <w:szCs w:val="22"/>
              </w:rPr>
              <w:t>boots</w:t>
            </w:r>
            <w:r>
              <w:rPr>
                <w:rFonts w:ascii="CMR10" w:hAnsi="CMR10" w:cs="CMR10" w:hint="eastAsia"/>
                <w:kern w:val="0"/>
                <w:sz w:val="22"/>
                <w:szCs w:val="22"/>
              </w:rPr>
              <w:t>)</w:t>
            </w:r>
          </w:p>
        </w:tc>
        <w:tc>
          <w:tcPr>
            <w:tcW w:w="6332" w:type="dxa"/>
          </w:tcPr>
          <w:p w14:paraId="637FB0DA" w14:textId="1544E8B2" w:rsidR="00CE4254" w:rsidRDefault="00CE4254" w:rsidP="00CE425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MR10" w:hAnsi="CMR10" w:cs="CMR10"/>
                <w:kern w:val="0"/>
                <w:sz w:val="22"/>
                <w:szCs w:val="22"/>
              </w:rPr>
            </w:pPr>
            <w:r>
              <w:rPr>
                <w:rFonts w:ascii="CMR10" w:hAnsi="CMR10" w:cs="CMR10" w:hint="eastAsia"/>
                <w:kern w:val="0"/>
                <w:sz w:val="22"/>
                <w:szCs w:val="22"/>
              </w:rPr>
              <w:t>Subsampling size in the bootstrapping process</w:t>
            </w:r>
          </w:p>
        </w:tc>
      </w:tr>
      <w:tr w:rsidR="00CE4254" w14:paraId="07642513" w14:textId="77777777" w:rsidTr="00722AE3">
        <w:trPr>
          <w:jc w:val="center"/>
        </w:trPr>
        <w:tc>
          <w:tcPr>
            <w:cnfStyle w:val="001000000000" w:firstRow="0" w:lastRow="0" w:firstColumn="1" w:lastColumn="0" w:oddVBand="0" w:evenVBand="0" w:oddHBand="0" w:evenHBand="0" w:firstRowFirstColumn="0" w:firstRowLastColumn="0" w:lastRowFirstColumn="0" w:lastRowLastColumn="0"/>
            <w:tcW w:w="1964" w:type="dxa"/>
          </w:tcPr>
          <w:p w14:paraId="2EB1F6CD" w14:textId="3DC784AA" w:rsidR="00CE4254" w:rsidRDefault="00CE4254" w:rsidP="00CE4254">
            <w:pPr>
              <w:autoSpaceDE w:val="0"/>
              <w:autoSpaceDN w:val="0"/>
              <w:adjustRightInd w:val="0"/>
              <w:jc w:val="center"/>
              <w:rPr>
                <w:rFonts w:ascii="CMR10" w:hAnsi="CMR10" w:cs="CMR10"/>
                <w:kern w:val="0"/>
                <w:sz w:val="22"/>
                <w:szCs w:val="22"/>
              </w:rPr>
            </w:pPr>
            <w:r w:rsidRPr="00CE4254">
              <w:rPr>
                <w:rFonts w:ascii="CMR10" w:hAnsi="CMR10" w:cs="CMR10"/>
                <w:kern w:val="0"/>
                <w:sz w:val="22"/>
                <w:szCs w:val="22"/>
              </w:rPr>
              <w:t>e(</w:t>
            </w:r>
            <w:proofErr w:type="spellStart"/>
            <w:r w:rsidRPr="00CE4254">
              <w:rPr>
                <w:rFonts w:ascii="CMR10" w:hAnsi="CMR10" w:cs="CMR10"/>
                <w:kern w:val="0"/>
                <w:sz w:val="22"/>
                <w:szCs w:val="22"/>
              </w:rPr>
              <w:t>homvar</w:t>
            </w:r>
            <w:proofErr w:type="spellEnd"/>
            <w:r w:rsidRPr="00CE4254">
              <w:rPr>
                <w:rFonts w:ascii="CMR10" w:hAnsi="CMR10" w:cs="CMR10"/>
                <w:kern w:val="0"/>
                <w:sz w:val="22"/>
                <w:szCs w:val="22"/>
              </w:rPr>
              <w:t>)</w:t>
            </w:r>
          </w:p>
        </w:tc>
        <w:tc>
          <w:tcPr>
            <w:tcW w:w="6332" w:type="dxa"/>
          </w:tcPr>
          <w:p w14:paraId="7C55ECA3" w14:textId="2FF72ACD" w:rsidR="00CE4254" w:rsidRDefault="00CE4254" w:rsidP="00CE425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MR10" w:hAnsi="CMR10" w:cs="CMR10"/>
                <w:kern w:val="0"/>
                <w:sz w:val="22"/>
                <w:szCs w:val="22"/>
              </w:rPr>
            </w:pPr>
            <w:r w:rsidRPr="00CE4254">
              <w:rPr>
                <w:rFonts w:ascii="CMR10" w:hAnsi="CMR10" w:cs="CMR10"/>
                <w:kern w:val="0"/>
                <w:sz w:val="22"/>
                <w:szCs w:val="22"/>
              </w:rPr>
              <w:t>Number of variable(s) with homogeneous effect(s) on the outcome</w:t>
            </w:r>
          </w:p>
        </w:tc>
      </w:tr>
    </w:tbl>
    <w:p w14:paraId="191F0188" w14:textId="77777777" w:rsidR="00524C13" w:rsidRDefault="00524C13" w:rsidP="00B45E58">
      <w:pPr>
        <w:autoSpaceDE w:val="0"/>
        <w:autoSpaceDN w:val="0"/>
        <w:adjustRightInd w:val="0"/>
        <w:jc w:val="left"/>
        <w:rPr>
          <w:rFonts w:ascii="CMR10" w:hAnsi="CMR10" w:cs="CMR10"/>
          <w:kern w:val="0"/>
          <w:sz w:val="22"/>
          <w:szCs w:val="22"/>
        </w:rPr>
      </w:pPr>
    </w:p>
    <w:p w14:paraId="4BA12527" w14:textId="001B318C" w:rsidR="00CE4254" w:rsidRDefault="00CE4254" w:rsidP="00B45E58">
      <w:pPr>
        <w:autoSpaceDE w:val="0"/>
        <w:autoSpaceDN w:val="0"/>
        <w:adjustRightInd w:val="0"/>
        <w:jc w:val="left"/>
        <w:rPr>
          <w:rFonts w:ascii="CMR10" w:hAnsi="CMR10" w:cs="CMR10"/>
          <w:kern w:val="0"/>
          <w:sz w:val="22"/>
          <w:szCs w:val="22"/>
        </w:rPr>
      </w:pPr>
      <w:r>
        <w:rPr>
          <w:rFonts w:ascii="CMR10" w:hAnsi="CMR10" w:cs="CMR10" w:hint="eastAsia"/>
          <w:kern w:val="0"/>
          <w:sz w:val="22"/>
          <w:szCs w:val="22"/>
        </w:rPr>
        <w:t>Matrices</w:t>
      </w:r>
    </w:p>
    <w:tbl>
      <w:tblPr>
        <w:tblStyle w:val="11"/>
        <w:tblW w:w="0" w:type="auto"/>
        <w:jc w:val="center"/>
        <w:tblLook w:val="04A0" w:firstRow="1" w:lastRow="0" w:firstColumn="1" w:lastColumn="0" w:noHBand="0" w:noVBand="1"/>
      </w:tblPr>
      <w:tblGrid>
        <w:gridCol w:w="1964"/>
        <w:gridCol w:w="6332"/>
      </w:tblGrid>
      <w:tr w:rsidR="00CE4254" w14:paraId="0DA833C5" w14:textId="77777777" w:rsidTr="004A70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4" w:type="dxa"/>
          </w:tcPr>
          <w:p w14:paraId="48C4D4A0" w14:textId="2EC40BBE" w:rsidR="00CE4254" w:rsidRDefault="00CE4254" w:rsidP="00CE4254">
            <w:pPr>
              <w:autoSpaceDE w:val="0"/>
              <w:autoSpaceDN w:val="0"/>
              <w:adjustRightInd w:val="0"/>
              <w:jc w:val="center"/>
              <w:rPr>
                <w:rFonts w:ascii="CMR10" w:hAnsi="CMR10" w:cs="CMR10"/>
                <w:kern w:val="0"/>
                <w:sz w:val="22"/>
                <w:szCs w:val="22"/>
              </w:rPr>
            </w:pPr>
            <w:r>
              <w:rPr>
                <w:rFonts w:ascii="CMR10" w:hAnsi="CMR10" w:cs="CMR10" w:hint="eastAsia"/>
                <w:kern w:val="0"/>
                <w:sz w:val="22"/>
                <w:szCs w:val="22"/>
              </w:rPr>
              <w:t>Name</w:t>
            </w:r>
          </w:p>
        </w:tc>
        <w:tc>
          <w:tcPr>
            <w:tcW w:w="6332" w:type="dxa"/>
          </w:tcPr>
          <w:p w14:paraId="421DD604" w14:textId="320347C0" w:rsidR="00CE4254" w:rsidRDefault="00CE4254" w:rsidP="00CE4254">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MR10" w:hAnsi="CMR10" w:cs="CMR10"/>
                <w:kern w:val="0"/>
                <w:sz w:val="22"/>
                <w:szCs w:val="22"/>
              </w:rPr>
            </w:pPr>
            <w:r>
              <w:rPr>
                <w:rFonts w:ascii="CMR10" w:hAnsi="CMR10" w:cs="CMR10" w:hint="eastAsia"/>
                <w:kern w:val="0"/>
                <w:sz w:val="22"/>
                <w:szCs w:val="22"/>
              </w:rPr>
              <w:t>Description</w:t>
            </w:r>
          </w:p>
        </w:tc>
      </w:tr>
      <w:tr w:rsidR="00CE4254" w14:paraId="4A75ABEC" w14:textId="77777777" w:rsidTr="004A70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4" w:type="dxa"/>
          </w:tcPr>
          <w:p w14:paraId="66F08DAA" w14:textId="3A049BD6" w:rsidR="00CE4254" w:rsidRDefault="00CE4254" w:rsidP="00CE4254">
            <w:pPr>
              <w:autoSpaceDE w:val="0"/>
              <w:autoSpaceDN w:val="0"/>
              <w:adjustRightInd w:val="0"/>
              <w:jc w:val="center"/>
              <w:rPr>
                <w:rFonts w:ascii="CMR10" w:hAnsi="CMR10" w:cs="CMR10"/>
                <w:kern w:val="0"/>
                <w:sz w:val="22"/>
                <w:szCs w:val="22"/>
              </w:rPr>
            </w:pPr>
            <w:r>
              <w:rPr>
                <w:rFonts w:ascii="CMR10" w:hAnsi="CMR10" w:cs="CMR10"/>
                <w:kern w:val="0"/>
                <w:sz w:val="22"/>
                <w:szCs w:val="22"/>
              </w:rPr>
              <w:t>e(</w:t>
            </w:r>
            <w:proofErr w:type="spellStart"/>
            <w:r>
              <w:rPr>
                <w:rFonts w:ascii="CMR10" w:hAnsi="CMR10" w:cs="CMR10"/>
                <w:kern w:val="0"/>
                <w:sz w:val="22"/>
                <w:szCs w:val="22"/>
              </w:rPr>
              <w:t>beta_hom</w:t>
            </w:r>
            <w:proofErr w:type="spellEnd"/>
            <w:r>
              <w:rPr>
                <w:rFonts w:ascii="CMR10" w:hAnsi="CMR10" w:cs="CMR10"/>
                <w:kern w:val="0"/>
                <w:sz w:val="22"/>
                <w:szCs w:val="22"/>
              </w:rPr>
              <w:t>)</w:t>
            </w:r>
          </w:p>
        </w:tc>
        <w:tc>
          <w:tcPr>
            <w:tcW w:w="6332" w:type="dxa"/>
          </w:tcPr>
          <w:p w14:paraId="3577A806" w14:textId="37D60CC2" w:rsidR="00CE4254" w:rsidRDefault="00CE4254" w:rsidP="00CE425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MR10" w:hAnsi="CMR10" w:cs="CMR10"/>
                <w:kern w:val="0"/>
                <w:sz w:val="22"/>
                <w:szCs w:val="22"/>
              </w:rPr>
            </w:pPr>
            <w:r>
              <w:rPr>
                <w:rFonts w:ascii="CMR10" w:hAnsi="CMR10" w:cs="CMR10"/>
                <w:kern w:val="0"/>
                <w:sz w:val="22"/>
                <w:szCs w:val="22"/>
              </w:rPr>
              <w:t>Estimated coefficient</w:t>
            </w:r>
            <w:r w:rsidR="00C069A7">
              <w:rPr>
                <w:rFonts w:ascii="CMR10" w:hAnsi="CMR10" w:cs="CMR10"/>
                <w:kern w:val="0"/>
                <w:sz w:val="22"/>
                <w:szCs w:val="22"/>
              </w:rPr>
              <w:t>(s)</w:t>
            </w:r>
            <w:r>
              <w:rPr>
                <w:rFonts w:ascii="CMR10" w:hAnsi="CMR10" w:cs="CMR10"/>
                <w:kern w:val="0"/>
                <w:sz w:val="22"/>
                <w:szCs w:val="22"/>
              </w:rPr>
              <w:t xml:space="preserve"> of interest.</w:t>
            </w:r>
          </w:p>
        </w:tc>
      </w:tr>
      <w:tr w:rsidR="00CE4254" w14:paraId="12A020C2" w14:textId="77777777" w:rsidTr="004A703F">
        <w:trPr>
          <w:jc w:val="center"/>
        </w:trPr>
        <w:tc>
          <w:tcPr>
            <w:cnfStyle w:val="001000000000" w:firstRow="0" w:lastRow="0" w:firstColumn="1" w:lastColumn="0" w:oddVBand="0" w:evenVBand="0" w:oddHBand="0" w:evenHBand="0" w:firstRowFirstColumn="0" w:firstRowLastColumn="0" w:lastRowFirstColumn="0" w:lastRowLastColumn="0"/>
            <w:tcW w:w="1964" w:type="dxa"/>
          </w:tcPr>
          <w:p w14:paraId="08D6B7A7" w14:textId="77777777" w:rsidR="00CE4254" w:rsidRDefault="00CE4254" w:rsidP="00CE4254">
            <w:pPr>
              <w:autoSpaceDE w:val="0"/>
              <w:autoSpaceDN w:val="0"/>
              <w:adjustRightInd w:val="0"/>
              <w:jc w:val="center"/>
              <w:rPr>
                <w:rFonts w:ascii="CMR10" w:hAnsi="CMR10" w:cs="CMR10"/>
                <w:kern w:val="0"/>
                <w:sz w:val="22"/>
                <w:szCs w:val="22"/>
              </w:rPr>
            </w:pPr>
            <w:r>
              <w:rPr>
                <w:rFonts w:ascii="CMR10" w:hAnsi="CMR10" w:cs="CMR10"/>
                <w:kern w:val="0"/>
                <w:sz w:val="22"/>
                <w:szCs w:val="22"/>
              </w:rPr>
              <w:t>e(</w:t>
            </w:r>
            <w:proofErr w:type="spellStart"/>
            <w:r>
              <w:rPr>
                <w:rFonts w:ascii="CMR10" w:hAnsi="CMR10" w:cs="CMR10"/>
                <w:kern w:val="0"/>
                <w:sz w:val="22"/>
                <w:szCs w:val="22"/>
              </w:rPr>
              <w:t>std_b</w:t>
            </w:r>
            <w:proofErr w:type="spellEnd"/>
            <w:r>
              <w:rPr>
                <w:rFonts w:ascii="CMR10" w:hAnsi="CMR10" w:cs="CMR10"/>
                <w:kern w:val="0"/>
                <w:sz w:val="22"/>
                <w:szCs w:val="22"/>
              </w:rPr>
              <w:t>)</w:t>
            </w:r>
          </w:p>
        </w:tc>
        <w:tc>
          <w:tcPr>
            <w:tcW w:w="6332" w:type="dxa"/>
          </w:tcPr>
          <w:p w14:paraId="30504627" w14:textId="7337F02E" w:rsidR="00CE4254" w:rsidRDefault="00CE4254" w:rsidP="00CE425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MR10" w:hAnsi="CMR10" w:cs="CMR10"/>
                <w:kern w:val="0"/>
                <w:sz w:val="22"/>
                <w:szCs w:val="22"/>
              </w:rPr>
            </w:pPr>
            <w:r>
              <w:rPr>
                <w:rFonts w:ascii="CMR10" w:hAnsi="CMR10" w:cs="CMR10" w:hint="eastAsia"/>
                <w:kern w:val="0"/>
                <w:sz w:val="22"/>
                <w:szCs w:val="22"/>
              </w:rPr>
              <w:t xml:space="preserve">Standard error of the </w:t>
            </w:r>
            <w:r w:rsidR="00C069A7">
              <w:rPr>
                <w:rFonts w:ascii="CMR10" w:hAnsi="CMR10" w:cs="CMR10"/>
                <w:kern w:val="0"/>
                <w:sz w:val="22"/>
                <w:szCs w:val="22"/>
              </w:rPr>
              <w:t>estimator(s)</w:t>
            </w:r>
          </w:p>
        </w:tc>
      </w:tr>
    </w:tbl>
    <w:p w14:paraId="10D4A4D9" w14:textId="77777777" w:rsidR="00CE4254" w:rsidRPr="00CE4254" w:rsidRDefault="00CE4254" w:rsidP="00B45E58">
      <w:pPr>
        <w:autoSpaceDE w:val="0"/>
        <w:autoSpaceDN w:val="0"/>
        <w:adjustRightInd w:val="0"/>
        <w:jc w:val="left"/>
        <w:rPr>
          <w:rFonts w:ascii="CMR10" w:hAnsi="CMR10" w:cs="CMR10"/>
          <w:kern w:val="0"/>
          <w:sz w:val="22"/>
          <w:szCs w:val="22"/>
        </w:rPr>
      </w:pPr>
    </w:p>
    <w:p w14:paraId="191F0189" w14:textId="081CAC48" w:rsidR="00E33870" w:rsidRDefault="00E8512D" w:rsidP="00B45E58">
      <w:pPr>
        <w:autoSpaceDE w:val="0"/>
        <w:autoSpaceDN w:val="0"/>
        <w:adjustRightInd w:val="0"/>
        <w:jc w:val="left"/>
        <w:rPr>
          <w:u w:val="single"/>
        </w:rPr>
      </w:pPr>
      <w:r>
        <w:rPr>
          <w:u w:val="single"/>
        </w:rPr>
        <w:t>Remarks</w:t>
      </w:r>
    </w:p>
    <w:p w14:paraId="02D5998A" w14:textId="34F81419" w:rsidR="00CE4254" w:rsidRPr="00CE4254" w:rsidRDefault="00CE4254" w:rsidP="00CE4254">
      <w:pPr>
        <w:numPr>
          <w:ilvl w:val="0"/>
          <w:numId w:val="6"/>
        </w:numPr>
        <w:autoSpaceDE w:val="0"/>
        <w:autoSpaceDN w:val="0"/>
        <w:adjustRightInd w:val="0"/>
      </w:pPr>
      <w:r w:rsidRPr="00CE4254">
        <w:t xml:space="preserve">Users should specify the number of variables of interest by using the option </w:t>
      </w:r>
      <w:proofErr w:type="spellStart"/>
      <w:proofErr w:type="gramStart"/>
      <w:r w:rsidRPr="00CE4254">
        <w:t>hom</w:t>
      </w:r>
      <w:proofErr w:type="spellEnd"/>
      <w:r w:rsidRPr="00CE4254">
        <w:t>(</w:t>
      </w:r>
      <w:proofErr w:type="gramEnd"/>
      <w:r w:rsidRPr="00CE4254">
        <w:t>). Apart from specifying number of variables whose coefficients are to be estimated, users should put names of those variables right after the dependent variable, followed by other independent variables. Users can specify more than one variables whose coeff</w:t>
      </w:r>
      <w:r w:rsidR="00C069A7">
        <w:t>i</w:t>
      </w:r>
      <w:r w:rsidRPr="00CE4254">
        <w:t>cients are to be estimated.</w:t>
      </w:r>
    </w:p>
    <w:p w14:paraId="576FF243" w14:textId="1F63065E" w:rsidR="00CE4254" w:rsidRPr="00CE4254" w:rsidRDefault="00CE4254" w:rsidP="00CE4254">
      <w:pPr>
        <w:numPr>
          <w:ilvl w:val="0"/>
          <w:numId w:val="6"/>
        </w:numPr>
        <w:autoSpaceDE w:val="0"/>
        <w:autoSpaceDN w:val="0"/>
        <w:adjustRightInd w:val="0"/>
      </w:pPr>
      <w:r w:rsidRPr="00CE4254">
        <w:t>During c</w:t>
      </w:r>
      <w:r w:rsidR="00C069A7">
        <w:rPr>
          <w:rFonts w:hint="eastAsia"/>
        </w:rPr>
        <w:t>o</w:t>
      </w:r>
      <w:r w:rsidRPr="00CE4254">
        <w:t>mputation, the command will display the estimated time and progress bar. After estimation, results will be displayed.</w:t>
      </w:r>
    </w:p>
    <w:p w14:paraId="191F0193" w14:textId="77777777" w:rsidR="00C90F3E" w:rsidRDefault="00C90F3E" w:rsidP="00B45E58">
      <w:pPr>
        <w:autoSpaceDE w:val="0"/>
        <w:autoSpaceDN w:val="0"/>
        <w:adjustRightInd w:val="0"/>
        <w:jc w:val="left"/>
      </w:pPr>
    </w:p>
    <w:p w14:paraId="191F0194" w14:textId="77777777" w:rsidR="00C90F3E" w:rsidRPr="00C90F3E" w:rsidRDefault="00C90F3E" w:rsidP="00B45E58">
      <w:pPr>
        <w:autoSpaceDE w:val="0"/>
        <w:autoSpaceDN w:val="0"/>
        <w:adjustRightInd w:val="0"/>
        <w:jc w:val="left"/>
        <w:rPr>
          <w:u w:val="single"/>
        </w:rPr>
      </w:pPr>
      <w:r w:rsidRPr="00C90F3E">
        <w:rPr>
          <w:u w:val="single"/>
        </w:rPr>
        <w:t>Example</w:t>
      </w:r>
    </w:p>
    <w:p w14:paraId="191F0195" w14:textId="77777777" w:rsidR="00C90F3E" w:rsidRDefault="00C90F3E" w:rsidP="00B45E58">
      <w:pPr>
        <w:autoSpaceDE w:val="0"/>
        <w:autoSpaceDN w:val="0"/>
        <w:adjustRightInd w:val="0"/>
        <w:jc w:val="left"/>
      </w:pPr>
    </w:p>
    <w:p w14:paraId="2751492F" w14:textId="77777777" w:rsidR="00E8512D" w:rsidRDefault="00E8512D" w:rsidP="00E8512D">
      <w:pPr>
        <w:autoSpaceDE w:val="0"/>
        <w:autoSpaceDN w:val="0"/>
        <w:adjustRightInd w:val="0"/>
        <w:jc w:val="left"/>
      </w:pPr>
      <w:r>
        <w:t xml:space="preserve">. </w:t>
      </w:r>
      <w:proofErr w:type="spellStart"/>
      <w:proofErr w:type="gramStart"/>
      <w:r>
        <w:t>eqreg</w:t>
      </w:r>
      <w:proofErr w:type="spellEnd"/>
      <w:proofErr w:type="gramEnd"/>
      <w:r>
        <w:t xml:space="preserve"> </w:t>
      </w:r>
      <w:proofErr w:type="spellStart"/>
      <w:r>
        <w:t>log_wage</w:t>
      </w:r>
      <w:proofErr w:type="spellEnd"/>
      <w:r>
        <w:t xml:space="preserve"> black </w:t>
      </w:r>
      <w:proofErr w:type="spellStart"/>
      <w:r>
        <w:t>hispanic</w:t>
      </w:r>
      <w:proofErr w:type="spellEnd"/>
      <w:r>
        <w:t xml:space="preserve"> age AFQT0 AFQT0_2              </w:t>
      </w:r>
    </w:p>
    <w:p w14:paraId="13E9D23F" w14:textId="77777777" w:rsidR="00C069A7" w:rsidRPr="00C069A7" w:rsidRDefault="00E8512D" w:rsidP="00C069A7">
      <w:pPr>
        <w:autoSpaceDE w:val="0"/>
        <w:autoSpaceDN w:val="0"/>
        <w:adjustRightInd w:val="0"/>
        <w:jc w:val="left"/>
      </w:pPr>
      <w:r>
        <w:t xml:space="preserve"> </w:t>
      </w:r>
      <w:r w:rsidR="00C069A7" w:rsidRPr="00C069A7">
        <w:t>(</w:t>
      </w:r>
      <w:proofErr w:type="gramStart"/>
      <w:r w:rsidR="00C069A7" w:rsidRPr="00C069A7">
        <w:t>black</w:t>
      </w:r>
      <w:proofErr w:type="gramEnd"/>
      <w:r w:rsidR="00C069A7" w:rsidRPr="00C069A7">
        <w:t xml:space="preserve"> is the variable of interest)</w:t>
      </w:r>
    </w:p>
    <w:p w14:paraId="37300C24" w14:textId="77777777" w:rsidR="00C069A7" w:rsidRPr="00C069A7" w:rsidRDefault="00C069A7" w:rsidP="00C069A7">
      <w:pPr>
        <w:autoSpaceDE w:val="0"/>
        <w:autoSpaceDN w:val="0"/>
        <w:adjustRightInd w:val="0"/>
        <w:jc w:val="left"/>
      </w:pPr>
      <w:r w:rsidRPr="00C069A7">
        <w:t xml:space="preserve">. </w:t>
      </w:r>
      <w:proofErr w:type="spellStart"/>
      <w:proofErr w:type="gramStart"/>
      <w:r w:rsidRPr="00C069A7">
        <w:t>eqreg</w:t>
      </w:r>
      <w:proofErr w:type="spellEnd"/>
      <w:proofErr w:type="gramEnd"/>
      <w:r w:rsidRPr="00C069A7">
        <w:t xml:space="preserve"> </w:t>
      </w:r>
      <w:proofErr w:type="spellStart"/>
      <w:r w:rsidRPr="00C069A7">
        <w:t>log_wage</w:t>
      </w:r>
      <w:proofErr w:type="spellEnd"/>
      <w:r w:rsidRPr="00C069A7">
        <w:t xml:space="preserve"> black </w:t>
      </w:r>
      <w:proofErr w:type="spellStart"/>
      <w:r w:rsidRPr="00C069A7">
        <w:t>hispanic</w:t>
      </w:r>
      <w:proofErr w:type="spellEnd"/>
      <w:r w:rsidRPr="00C069A7">
        <w:t xml:space="preserve"> age AFQT0 AFQT0_2, </w:t>
      </w:r>
      <w:proofErr w:type="spellStart"/>
      <w:r w:rsidRPr="00C069A7">
        <w:t>hom</w:t>
      </w:r>
      <w:proofErr w:type="spellEnd"/>
      <w:r w:rsidRPr="00C069A7">
        <w:t xml:space="preserve">(2) </w:t>
      </w:r>
    </w:p>
    <w:p w14:paraId="494E8197" w14:textId="77777777" w:rsidR="00C069A7" w:rsidRPr="00C069A7" w:rsidRDefault="00C069A7" w:rsidP="00C069A7">
      <w:pPr>
        <w:autoSpaceDE w:val="0"/>
        <w:autoSpaceDN w:val="0"/>
        <w:adjustRightInd w:val="0"/>
        <w:jc w:val="left"/>
      </w:pPr>
      <w:r w:rsidRPr="00C069A7">
        <w:t>(</w:t>
      </w:r>
      <w:proofErr w:type="gramStart"/>
      <w:r w:rsidRPr="00C069A7">
        <w:t>black</w:t>
      </w:r>
      <w:proofErr w:type="gramEnd"/>
      <w:r w:rsidRPr="00C069A7">
        <w:t xml:space="preserve"> and </w:t>
      </w:r>
      <w:proofErr w:type="spellStart"/>
      <w:r w:rsidRPr="00C069A7">
        <w:t>hispanic</w:t>
      </w:r>
      <w:proofErr w:type="spellEnd"/>
      <w:r w:rsidRPr="00C069A7">
        <w:t xml:space="preserve"> are variables of interest)</w:t>
      </w:r>
    </w:p>
    <w:p w14:paraId="518622F4" w14:textId="06ACF5A9" w:rsidR="00E8512D" w:rsidRDefault="00E8512D" w:rsidP="00E8512D">
      <w:pPr>
        <w:autoSpaceDE w:val="0"/>
        <w:autoSpaceDN w:val="0"/>
        <w:adjustRightInd w:val="0"/>
        <w:jc w:val="left"/>
      </w:pPr>
      <w:r>
        <w:t xml:space="preserve">. </w:t>
      </w:r>
      <w:proofErr w:type="spellStart"/>
      <w:proofErr w:type="gramStart"/>
      <w:r>
        <w:t>eqreg</w:t>
      </w:r>
      <w:proofErr w:type="spellEnd"/>
      <w:proofErr w:type="gramEnd"/>
      <w:r>
        <w:t xml:space="preserve"> </w:t>
      </w:r>
      <w:proofErr w:type="spellStart"/>
      <w:r>
        <w:t>log_wage</w:t>
      </w:r>
      <w:proofErr w:type="spellEnd"/>
      <w:r>
        <w:t xml:space="preserve"> black </w:t>
      </w:r>
      <w:proofErr w:type="spellStart"/>
      <w:r>
        <w:t>hispanic</w:t>
      </w:r>
      <w:proofErr w:type="spellEnd"/>
      <w:r>
        <w:t xml:space="preserve"> age AFQT0 AFQT0_2, </w:t>
      </w:r>
      <w:proofErr w:type="spellStart"/>
      <w:r>
        <w:t>btp</w:t>
      </w:r>
      <w:proofErr w:type="spellEnd"/>
      <w:r>
        <w:t>(300)</w:t>
      </w:r>
    </w:p>
    <w:p w14:paraId="191F0197" w14:textId="77777777" w:rsidR="00C90F3E" w:rsidRPr="00E8512D" w:rsidRDefault="00C90F3E" w:rsidP="00B45E58">
      <w:pPr>
        <w:autoSpaceDE w:val="0"/>
        <w:autoSpaceDN w:val="0"/>
        <w:adjustRightInd w:val="0"/>
        <w:jc w:val="left"/>
      </w:pPr>
    </w:p>
    <w:p w14:paraId="6574367A" w14:textId="1C58D8BC" w:rsidR="00E8512D" w:rsidRDefault="00E8512D" w:rsidP="00E8512D">
      <w:pPr>
        <w:autoSpaceDE w:val="0"/>
        <w:autoSpaceDN w:val="0"/>
        <w:adjustRightInd w:val="0"/>
        <w:jc w:val="left"/>
        <w:rPr>
          <w:u w:val="single"/>
        </w:rPr>
      </w:pPr>
      <w:r>
        <w:rPr>
          <w:u w:val="single"/>
        </w:rPr>
        <w:t>Version Requirements</w:t>
      </w:r>
    </w:p>
    <w:p w14:paraId="4CE562A2" w14:textId="77777777" w:rsidR="00E8512D" w:rsidRDefault="00E8512D" w:rsidP="00E8512D">
      <w:pPr>
        <w:autoSpaceDE w:val="0"/>
        <w:autoSpaceDN w:val="0"/>
        <w:adjustRightInd w:val="0"/>
        <w:jc w:val="left"/>
        <w:rPr>
          <w:u w:val="single"/>
        </w:rPr>
      </w:pPr>
    </w:p>
    <w:p w14:paraId="177F6197" w14:textId="157DF794" w:rsidR="00E8512D" w:rsidRDefault="00E8512D" w:rsidP="00E8512D">
      <w:pPr>
        <w:autoSpaceDE w:val="0"/>
        <w:autoSpaceDN w:val="0"/>
        <w:adjustRightInd w:val="0"/>
        <w:jc w:val="left"/>
      </w:pPr>
      <w:r w:rsidRPr="00E8512D">
        <w:t>This command requires Stata 12 or upper.</w:t>
      </w:r>
    </w:p>
    <w:p w14:paraId="1C8F9F77" w14:textId="77777777" w:rsidR="00E8512D" w:rsidRPr="00E8512D" w:rsidRDefault="00E8512D" w:rsidP="00E8512D">
      <w:pPr>
        <w:autoSpaceDE w:val="0"/>
        <w:autoSpaceDN w:val="0"/>
        <w:adjustRightInd w:val="0"/>
        <w:jc w:val="left"/>
      </w:pPr>
    </w:p>
    <w:p w14:paraId="3DB1B3D0" w14:textId="3732BF80" w:rsidR="00E8512D" w:rsidRDefault="00E8512D" w:rsidP="00E8512D">
      <w:pPr>
        <w:autoSpaceDE w:val="0"/>
        <w:autoSpaceDN w:val="0"/>
        <w:adjustRightInd w:val="0"/>
        <w:jc w:val="left"/>
        <w:rPr>
          <w:u w:val="single"/>
        </w:rPr>
      </w:pPr>
      <w:r>
        <w:rPr>
          <w:u w:val="single"/>
        </w:rPr>
        <w:t>Methods and Formulas</w:t>
      </w:r>
    </w:p>
    <w:p w14:paraId="2B912C30" w14:textId="77777777" w:rsidR="00E8512D" w:rsidRDefault="00E8512D" w:rsidP="00E8512D">
      <w:pPr>
        <w:autoSpaceDE w:val="0"/>
        <w:autoSpaceDN w:val="0"/>
        <w:adjustRightInd w:val="0"/>
        <w:jc w:val="left"/>
        <w:rPr>
          <w:u w:val="single"/>
        </w:rPr>
      </w:pPr>
    </w:p>
    <w:p w14:paraId="7D7A007B" w14:textId="3EF58ABF" w:rsidR="00E8512D" w:rsidRPr="0036606F" w:rsidRDefault="00E8512D" w:rsidP="00E8512D">
      <w:r w:rsidRPr="0036606F">
        <w:t xml:space="preserve">See Xavier </w:t>
      </w:r>
      <w:proofErr w:type="spellStart"/>
      <w:r w:rsidRPr="0036606F">
        <w:t>D'Haultfoeuille</w:t>
      </w:r>
      <w:proofErr w:type="spellEnd"/>
      <w:r w:rsidRPr="0036606F">
        <w:t>, Ar</w:t>
      </w:r>
      <w:r w:rsidR="00D228F3" w:rsidRPr="0036606F">
        <w:t>n</w:t>
      </w:r>
      <w:r w:rsidR="00576336" w:rsidRPr="0036606F">
        <w:t xml:space="preserve">aud </w:t>
      </w:r>
      <w:proofErr w:type="spellStart"/>
      <w:r w:rsidR="00576336" w:rsidRPr="0036606F">
        <w:t>Maurel</w:t>
      </w:r>
      <w:proofErr w:type="spellEnd"/>
      <w:r w:rsidR="00576336" w:rsidRPr="0036606F">
        <w:t xml:space="preserve">, </w:t>
      </w:r>
      <w:proofErr w:type="spellStart"/>
      <w:r w:rsidR="00576336" w:rsidRPr="0036606F">
        <w:t>Yichong</w:t>
      </w:r>
      <w:proofErr w:type="spellEnd"/>
      <w:r w:rsidR="00576336" w:rsidRPr="0036606F">
        <w:t xml:space="preserve"> Zhang (2016), </w:t>
      </w:r>
      <w:r w:rsidR="00D228F3" w:rsidRPr="0036606F">
        <w:t>Extremal Quantile Regression for Selection Models and the Black-White Wage Gap</w:t>
      </w:r>
      <w:r w:rsidR="00576336" w:rsidRPr="0036606F">
        <w:t xml:space="preserve">, Mimeo. </w:t>
      </w:r>
      <w:r w:rsidR="00D228F3" w:rsidRPr="0036606F">
        <w:t xml:space="preserve"> </w:t>
      </w:r>
    </w:p>
    <w:p w14:paraId="7B58F0B8" w14:textId="77777777" w:rsidR="00E8512D" w:rsidRPr="0036606F" w:rsidRDefault="00E8512D" w:rsidP="00E8512D">
      <w:pPr>
        <w:autoSpaceDE w:val="0"/>
        <w:autoSpaceDN w:val="0"/>
        <w:adjustRightInd w:val="0"/>
        <w:jc w:val="left"/>
      </w:pPr>
    </w:p>
    <w:p w14:paraId="04606A72" w14:textId="427BA43F" w:rsidR="00E8512D" w:rsidRDefault="00E8512D" w:rsidP="00E8512D">
      <w:pPr>
        <w:autoSpaceDE w:val="0"/>
        <w:autoSpaceDN w:val="0"/>
        <w:adjustRightInd w:val="0"/>
        <w:jc w:val="left"/>
        <w:rPr>
          <w:u w:val="single"/>
        </w:rPr>
      </w:pPr>
      <w:r>
        <w:rPr>
          <w:u w:val="single"/>
        </w:rPr>
        <w:t>Supporting Package</w:t>
      </w:r>
    </w:p>
    <w:p w14:paraId="0CA09B7A" w14:textId="77777777" w:rsidR="00E8512D" w:rsidRPr="00C90F3E" w:rsidRDefault="00E8512D" w:rsidP="00E8512D">
      <w:pPr>
        <w:autoSpaceDE w:val="0"/>
        <w:autoSpaceDN w:val="0"/>
        <w:adjustRightInd w:val="0"/>
        <w:jc w:val="left"/>
        <w:rPr>
          <w:u w:val="single"/>
        </w:rPr>
      </w:pPr>
    </w:p>
    <w:p w14:paraId="016EECA7" w14:textId="3B829F1A" w:rsidR="00E8512D" w:rsidRDefault="00E8512D" w:rsidP="00E8512D">
      <w:pPr>
        <w:autoSpaceDE w:val="0"/>
        <w:autoSpaceDN w:val="0"/>
        <w:adjustRightInd w:val="0"/>
      </w:pPr>
      <w:r>
        <w:t>This command requires -</w:t>
      </w:r>
      <w:proofErr w:type="spellStart"/>
      <w:r>
        <w:t>moremata</w:t>
      </w:r>
      <w:proofErr w:type="spellEnd"/>
      <w:r>
        <w:t xml:space="preserve">- package. Before calling this command, </w:t>
      </w:r>
      <w:r w:rsidR="0053138B">
        <w:t>the user needs to</w:t>
      </w:r>
      <w:r>
        <w:t xml:space="preserve"> in</w:t>
      </w:r>
      <w:r w:rsidR="0053138B">
        <w:t>s</w:t>
      </w:r>
      <w:r>
        <w:t>tall -</w:t>
      </w:r>
      <w:proofErr w:type="spellStart"/>
      <w:r>
        <w:t>moremata</w:t>
      </w:r>
      <w:proofErr w:type="spellEnd"/>
      <w:r>
        <w:t>- by typing</w:t>
      </w:r>
      <w:r w:rsidR="0053138B">
        <w:t>:</w:t>
      </w:r>
    </w:p>
    <w:p w14:paraId="17797998" w14:textId="77777777" w:rsidR="00E8512D" w:rsidRDefault="00E8512D" w:rsidP="00E8512D">
      <w:pPr>
        <w:autoSpaceDE w:val="0"/>
        <w:autoSpaceDN w:val="0"/>
        <w:adjustRightInd w:val="0"/>
      </w:pPr>
    </w:p>
    <w:p w14:paraId="191F01B8" w14:textId="2A42F435" w:rsidR="00C366EF" w:rsidRDefault="00E8512D" w:rsidP="00E8512D">
      <w:pPr>
        <w:autoSpaceDE w:val="0"/>
        <w:autoSpaceDN w:val="0"/>
        <w:adjustRightInd w:val="0"/>
      </w:pPr>
      <w:r>
        <w:t xml:space="preserve"> . </w:t>
      </w:r>
      <w:proofErr w:type="spellStart"/>
      <w:proofErr w:type="gramStart"/>
      <w:r>
        <w:t>ssc</w:t>
      </w:r>
      <w:proofErr w:type="spellEnd"/>
      <w:proofErr w:type="gramEnd"/>
      <w:r>
        <w:t xml:space="preserve"> install </w:t>
      </w:r>
      <w:proofErr w:type="spellStart"/>
      <w:r>
        <w:t>moremata</w:t>
      </w:r>
      <w:proofErr w:type="spellEnd"/>
    </w:p>
    <w:sectPr w:rsidR="00C36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21BA5"/>
    <w:multiLevelType w:val="hybridMultilevel"/>
    <w:tmpl w:val="A1E09E70"/>
    <w:lvl w:ilvl="0" w:tplc="57F26560">
      <w:start w:val="1"/>
      <w:numFmt w:val="decimal"/>
      <w:lvlText w:val="%1."/>
      <w:lvlJc w:val="left"/>
      <w:pPr>
        <w:ind w:left="360" w:hanging="360"/>
      </w:pPr>
      <w:rPr>
        <w:rFonts w:hint="default"/>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5F11B5"/>
    <w:multiLevelType w:val="hybridMultilevel"/>
    <w:tmpl w:val="A45C0784"/>
    <w:lvl w:ilvl="0" w:tplc="82FC94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DD6A17"/>
    <w:multiLevelType w:val="multilevel"/>
    <w:tmpl w:val="7B6EA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2761BE"/>
    <w:multiLevelType w:val="hybridMultilevel"/>
    <w:tmpl w:val="29285DD8"/>
    <w:lvl w:ilvl="0" w:tplc="D8000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70321D"/>
    <w:multiLevelType w:val="hybridMultilevel"/>
    <w:tmpl w:val="7742C218"/>
    <w:lvl w:ilvl="0" w:tplc="90BC2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FB027D"/>
    <w:multiLevelType w:val="hybridMultilevel"/>
    <w:tmpl w:val="59384490"/>
    <w:lvl w:ilvl="0" w:tplc="8274FC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96C"/>
    <w:rsid w:val="000509E0"/>
    <w:rsid w:val="00132A60"/>
    <w:rsid w:val="0016761E"/>
    <w:rsid w:val="001C3A32"/>
    <w:rsid w:val="00240FC9"/>
    <w:rsid w:val="002C3E85"/>
    <w:rsid w:val="0036606F"/>
    <w:rsid w:val="00393189"/>
    <w:rsid w:val="004C3B1A"/>
    <w:rsid w:val="00524C13"/>
    <w:rsid w:val="0053138B"/>
    <w:rsid w:val="00531CCC"/>
    <w:rsid w:val="00576336"/>
    <w:rsid w:val="00625F26"/>
    <w:rsid w:val="00647BD0"/>
    <w:rsid w:val="006A796C"/>
    <w:rsid w:val="006E17D4"/>
    <w:rsid w:val="006E4567"/>
    <w:rsid w:val="00722AE3"/>
    <w:rsid w:val="008034A8"/>
    <w:rsid w:val="00882813"/>
    <w:rsid w:val="00905ADF"/>
    <w:rsid w:val="00970D5D"/>
    <w:rsid w:val="009B15FE"/>
    <w:rsid w:val="009B62EE"/>
    <w:rsid w:val="00A36266"/>
    <w:rsid w:val="00AC11DF"/>
    <w:rsid w:val="00B45E58"/>
    <w:rsid w:val="00B469B3"/>
    <w:rsid w:val="00B54F13"/>
    <w:rsid w:val="00BA0054"/>
    <w:rsid w:val="00BF269A"/>
    <w:rsid w:val="00C069A7"/>
    <w:rsid w:val="00C366EF"/>
    <w:rsid w:val="00C90F3E"/>
    <w:rsid w:val="00CE4254"/>
    <w:rsid w:val="00D228F3"/>
    <w:rsid w:val="00D46858"/>
    <w:rsid w:val="00E328F1"/>
    <w:rsid w:val="00E33870"/>
    <w:rsid w:val="00E6745A"/>
    <w:rsid w:val="00E8512D"/>
    <w:rsid w:val="00E86B4D"/>
    <w:rsid w:val="00F96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1F013B"/>
  <w15:docId w15:val="{02BB63D7-C719-476B-AC54-FA81289C6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8034A8"/>
    <w:pPr>
      <w:ind w:leftChars="2500" w:left="100"/>
    </w:pPr>
  </w:style>
  <w:style w:type="character" w:customStyle="1" w:styleId="Char">
    <w:name w:val="日期 Char"/>
    <w:basedOn w:val="a0"/>
    <w:link w:val="a3"/>
    <w:uiPriority w:val="99"/>
    <w:semiHidden/>
    <w:rsid w:val="008034A8"/>
  </w:style>
  <w:style w:type="character" w:styleId="a4">
    <w:name w:val="Placeholder Text"/>
    <w:basedOn w:val="a0"/>
    <w:uiPriority w:val="99"/>
    <w:semiHidden/>
    <w:rsid w:val="00B45E58"/>
    <w:rPr>
      <w:color w:val="808080"/>
    </w:rPr>
  </w:style>
  <w:style w:type="table" w:styleId="a5">
    <w:name w:val="Table Grid"/>
    <w:basedOn w:val="a1"/>
    <w:uiPriority w:val="39"/>
    <w:rsid w:val="00D46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无格式表格 11"/>
    <w:basedOn w:val="a1"/>
    <w:uiPriority w:val="41"/>
    <w:rsid w:val="00D4685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List Paragraph"/>
    <w:basedOn w:val="a"/>
    <w:uiPriority w:val="34"/>
    <w:qFormat/>
    <w:rsid w:val="00C90F3E"/>
    <w:pPr>
      <w:ind w:firstLineChars="200" w:firstLine="420"/>
    </w:pPr>
  </w:style>
  <w:style w:type="table" w:customStyle="1" w:styleId="1">
    <w:name w:val="网格型浅色1"/>
    <w:basedOn w:val="a1"/>
    <w:uiPriority w:val="40"/>
    <w:rsid w:val="00524C1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39595">
      <w:bodyDiv w:val="1"/>
      <w:marLeft w:val="0"/>
      <w:marRight w:val="0"/>
      <w:marTop w:val="0"/>
      <w:marBottom w:val="0"/>
      <w:divBdr>
        <w:top w:val="none" w:sz="0" w:space="0" w:color="auto"/>
        <w:left w:val="none" w:sz="0" w:space="0" w:color="auto"/>
        <w:bottom w:val="none" w:sz="0" w:space="0" w:color="auto"/>
        <w:right w:val="none" w:sz="0" w:space="0" w:color="auto"/>
      </w:divBdr>
      <w:divsChild>
        <w:div w:id="1506552195">
          <w:marLeft w:val="0"/>
          <w:marRight w:val="0"/>
          <w:marTop w:val="0"/>
          <w:marBottom w:val="240"/>
          <w:divBdr>
            <w:top w:val="none" w:sz="0" w:space="0" w:color="auto"/>
            <w:left w:val="none" w:sz="0" w:space="0" w:color="auto"/>
            <w:bottom w:val="none" w:sz="0" w:space="0" w:color="auto"/>
            <w:right w:val="none" w:sz="0" w:space="0" w:color="auto"/>
          </w:divBdr>
        </w:div>
      </w:divsChild>
    </w:div>
    <w:div w:id="179317098">
      <w:bodyDiv w:val="1"/>
      <w:marLeft w:val="0"/>
      <w:marRight w:val="0"/>
      <w:marTop w:val="0"/>
      <w:marBottom w:val="0"/>
      <w:divBdr>
        <w:top w:val="none" w:sz="0" w:space="0" w:color="auto"/>
        <w:left w:val="none" w:sz="0" w:space="0" w:color="auto"/>
        <w:bottom w:val="none" w:sz="0" w:space="0" w:color="auto"/>
        <w:right w:val="none" w:sz="0" w:space="0" w:color="auto"/>
      </w:divBdr>
      <w:divsChild>
        <w:div w:id="1523083782">
          <w:marLeft w:val="0"/>
          <w:marRight w:val="0"/>
          <w:marTop w:val="0"/>
          <w:marBottom w:val="240"/>
          <w:divBdr>
            <w:top w:val="none" w:sz="0" w:space="0" w:color="auto"/>
            <w:left w:val="none" w:sz="0" w:space="0" w:color="auto"/>
            <w:bottom w:val="none" w:sz="0" w:space="0" w:color="auto"/>
            <w:right w:val="none" w:sz="0" w:space="0" w:color="auto"/>
          </w:divBdr>
        </w:div>
      </w:divsChild>
    </w:div>
    <w:div w:id="278996614">
      <w:bodyDiv w:val="1"/>
      <w:marLeft w:val="0"/>
      <w:marRight w:val="0"/>
      <w:marTop w:val="0"/>
      <w:marBottom w:val="0"/>
      <w:divBdr>
        <w:top w:val="none" w:sz="0" w:space="0" w:color="auto"/>
        <w:left w:val="none" w:sz="0" w:space="0" w:color="auto"/>
        <w:bottom w:val="none" w:sz="0" w:space="0" w:color="auto"/>
        <w:right w:val="none" w:sz="0" w:space="0" w:color="auto"/>
      </w:divBdr>
      <w:divsChild>
        <w:div w:id="706099151">
          <w:marLeft w:val="0"/>
          <w:marRight w:val="0"/>
          <w:marTop w:val="0"/>
          <w:marBottom w:val="240"/>
          <w:divBdr>
            <w:top w:val="none" w:sz="0" w:space="0" w:color="auto"/>
            <w:left w:val="none" w:sz="0" w:space="0" w:color="auto"/>
            <w:bottom w:val="none" w:sz="0" w:space="0" w:color="auto"/>
            <w:right w:val="none" w:sz="0" w:space="0" w:color="auto"/>
          </w:divBdr>
        </w:div>
      </w:divsChild>
    </w:div>
    <w:div w:id="291517579">
      <w:bodyDiv w:val="1"/>
      <w:marLeft w:val="0"/>
      <w:marRight w:val="0"/>
      <w:marTop w:val="0"/>
      <w:marBottom w:val="0"/>
      <w:divBdr>
        <w:top w:val="none" w:sz="0" w:space="0" w:color="auto"/>
        <w:left w:val="none" w:sz="0" w:space="0" w:color="auto"/>
        <w:bottom w:val="none" w:sz="0" w:space="0" w:color="auto"/>
        <w:right w:val="none" w:sz="0" w:space="0" w:color="auto"/>
      </w:divBdr>
      <w:divsChild>
        <w:div w:id="647593183">
          <w:marLeft w:val="0"/>
          <w:marRight w:val="0"/>
          <w:marTop w:val="0"/>
          <w:marBottom w:val="240"/>
          <w:divBdr>
            <w:top w:val="none" w:sz="0" w:space="0" w:color="auto"/>
            <w:left w:val="none" w:sz="0" w:space="0" w:color="auto"/>
            <w:bottom w:val="none" w:sz="0" w:space="0" w:color="auto"/>
            <w:right w:val="none" w:sz="0" w:space="0" w:color="auto"/>
          </w:divBdr>
        </w:div>
      </w:divsChild>
    </w:div>
    <w:div w:id="318117746">
      <w:bodyDiv w:val="1"/>
      <w:marLeft w:val="0"/>
      <w:marRight w:val="0"/>
      <w:marTop w:val="0"/>
      <w:marBottom w:val="0"/>
      <w:divBdr>
        <w:top w:val="none" w:sz="0" w:space="0" w:color="auto"/>
        <w:left w:val="none" w:sz="0" w:space="0" w:color="auto"/>
        <w:bottom w:val="none" w:sz="0" w:space="0" w:color="auto"/>
        <w:right w:val="none" w:sz="0" w:space="0" w:color="auto"/>
      </w:divBdr>
      <w:divsChild>
        <w:div w:id="1733306922">
          <w:marLeft w:val="0"/>
          <w:marRight w:val="0"/>
          <w:marTop w:val="0"/>
          <w:marBottom w:val="240"/>
          <w:divBdr>
            <w:top w:val="none" w:sz="0" w:space="0" w:color="auto"/>
            <w:left w:val="none" w:sz="0" w:space="0" w:color="auto"/>
            <w:bottom w:val="none" w:sz="0" w:space="0" w:color="auto"/>
            <w:right w:val="none" w:sz="0" w:space="0" w:color="auto"/>
          </w:divBdr>
        </w:div>
      </w:divsChild>
    </w:div>
    <w:div w:id="345249077">
      <w:bodyDiv w:val="1"/>
      <w:marLeft w:val="0"/>
      <w:marRight w:val="0"/>
      <w:marTop w:val="0"/>
      <w:marBottom w:val="0"/>
      <w:divBdr>
        <w:top w:val="none" w:sz="0" w:space="0" w:color="auto"/>
        <w:left w:val="none" w:sz="0" w:space="0" w:color="auto"/>
        <w:bottom w:val="none" w:sz="0" w:space="0" w:color="auto"/>
        <w:right w:val="none" w:sz="0" w:space="0" w:color="auto"/>
      </w:divBdr>
      <w:divsChild>
        <w:div w:id="1024478244">
          <w:marLeft w:val="0"/>
          <w:marRight w:val="0"/>
          <w:marTop w:val="0"/>
          <w:marBottom w:val="240"/>
          <w:divBdr>
            <w:top w:val="none" w:sz="0" w:space="0" w:color="auto"/>
            <w:left w:val="none" w:sz="0" w:space="0" w:color="auto"/>
            <w:bottom w:val="none" w:sz="0" w:space="0" w:color="auto"/>
            <w:right w:val="none" w:sz="0" w:space="0" w:color="auto"/>
          </w:divBdr>
        </w:div>
      </w:divsChild>
    </w:div>
    <w:div w:id="522286403">
      <w:bodyDiv w:val="1"/>
      <w:marLeft w:val="0"/>
      <w:marRight w:val="0"/>
      <w:marTop w:val="0"/>
      <w:marBottom w:val="0"/>
      <w:divBdr>
        <w:top w:val="none" w:sz="0" w:space="0" w:color="auto"/>
        <w:left w:val="none" w:sz="0" w:space="0" w:color="auto"/>
        <w:bottom w:val="none" w:sz="0" w:space="0" w:color="auto"/>
        <w:right w:val="none" w:sz="0" w:space="0" w:color="auto"/>
      </w:divBdr>
      <w:divsChild>
        <w:div w:id="151263867">
          <w:marLeft w:val="0"/>
          <w:marRight w:val="0"/>
          <w:marTop w:val="0"/>
          <w:marBottom w:val="240"/>
          <w:divBdr>
            <w:top w:val="none" w:sz="0" w:space="0" w:color="auto"/>
            <w:left w:val="none" w:sz="0" w:space="0" w:color="auto"/>
            <w:bottom w:val="none" w:sz="0" w:space="0" w:color="auto"/>
            <w:right w:val="none" w:sz="0" w:space="0" w:color="auto"/>
          </w:divBdr>
        </w:div>
        <w:div w:id="1808817730">
          <w:marLeft w:val="0"/>
          <w:marRight w:val="0"/>
          <w:marTop w:val="0"/>
          <w:marBottom w:val="240"/>
          <w:divBdr>
            <w:top w:val="none" w:sz="0" w:space="0" w:color="auto"/>
            <w:left w:val="none" w:sz="0" w:space="0" w:color="auto"/>
            <w:bottom w:val="none" w:sz="0" w:space="0" w:color="auto"/>
            <w:right w:val="none" w:sz="0" w:space="0" w:color="auto"/>
          </w:divBdr>
        </w:div>
      </w:divsChild>
    </w:div>
    <w:div w:id="543060530">
      <w:bodyDiv w:val="1"/>
      <w:marLeft w:val="0"/>
      <w:marRight w:val="0"/>
      <w:marTop w:val="0"/>
      <w:marBottom w:val="0"/>
      <w:divBdr>
        <w:top w:val="none" w:sz="0" w:space="0" w:color="auto"/>
        <w:left w:val="none" w:sz="0" w:space="0" w:color="auto"/>
        <w:bottom w:val="none" w:sz="0" w:space="0" w:color="auto"/>
        <w:right w:val="none" w:sz="0" w:space="0" w:color="auto"/>
      </w:divBdr>
      <w:divsChild>
        <w:div w:id="1689722533">
          <w:marLeft w:val="0"/>
          <w:marRight w:val="0"/>
          <w:marTop w:val="0"/>
          <w:marBottom w:val="240"/>
          <w:divBdr>
            <w:top w:val="none" w:sz="0" w:space="0" w:color="auto"/>
            <w:left w:val="none" w:sz="0" w:space="0" w:color="auto"/>
            <w:bottom w:val="none" w:sz="0" w:space="0" w:color="auto"/>
            <w:right w:val="none" w:sz="0" w:space="0" w:color="auto"/>
          </w:divBdr>
        </w:div>
      </w:divsChild>
    </w:div>
    <w:div w:id="657274455">
      <w:bodyDiv w:val="1"/>
      <w:marLeft w:val="0"/>
      <w:marRight w:val="0"/>
      <w:marTop w:val="0"/>
      <w:marBottom w:val="0"/>
      <w:divBdr>
        <w:top w:val="none" w:sz="0" w:space="0" w:color="auto"/>
        <w:left w:val="none" w:sz="0" w:space="0" w:color="auto"/>
        <w:bottom w:val="none" w:sz="0" w:space="0" w:color="auto"/>
        <w:right w:val="none" w:sz="0" w:space="0" w:color="auto"/>
      </w:divBdr>
      <w:divsChild>
        <w:div w:id="1946300754">
          <w:marLeft w:val="0"/>
          <w:marRight w:val="0"/>
          <w:marTop w:val="0"/>
          <w:marBottom w:val="240"/>
          <w:divBdr>
            <w:top w:val="none" w:sz="0" w:space="0" w:color="auto"/>
            <w:left w:val="none" w:sz="0" w:space="0" w:color="auto"/>
            <w:bottom w:val="none" w:sz="0" w:space="0" w:color="auto"/>
            <w:right w:val="none" w:sz="0" w:space="0" w:color="auto"/>
          </w:divBdr>
        </w:div>
      </w:divsChild>
    </w:div>
    <w:div w:id="729694031">
      <w:bodyDiv w:val="1"/>
      <w:marLeft w:val="0"/>
      <w:marRight w:val="0"/>
      <w:marTop w:val="0"/>
      <w:marBottom w:val="0"/>
      <w:divBdr>
        <w:top w:val="none" w:sz="0" w:space="0" w:color="auto"/>
        <w:left w:val="none" w:sz="0" w:space="0" w:color="auto"/>
        <w:bottom w:val="none" w:sz="0" w:space="0" w:color="auto"/>
        <w:right w:val="none" w:sz="0" w:space="0" w:color="auto"/>
      </w:divBdr>
      <w:divsChild>
        <w:div w:id="2046561162">
          <w:marLeft w:val="0"/>
          <w:marRight w:val="0"/>
          <w:marTop w:val="0"/>
          <w:marBottom w:val="240"/>
          <w:divBdr>
            <w:top w:val="none" w:sz="0" w:space="0" w:color="auto"/>
            <w:left w:val="none" w:sz="0" w:space="0" w:color="auto"/>
            <w:bottom w:val="none" w:sz="0" w:space="0" w:color="auto"/>
            <w:right w:val="none" w:sz="0" w:space="0" w:color="auto"/>
          </w:divBdr>
        </w:div>
      </w:divsChild>
    </w:div>
    <w:div w:id="737826248">
      <w:bodyDiv w:val="1"/>
      <w:marLeft w:val="0"/>
      <w:marRight w:val="0"/>
      <w:marTop w:val="0"/>
      <w:marBottom w:val="0"/>
      <w:divBdr>
        <w:top w:val="none" w:sz="0" w:space="0" w:color="auto"/>
        <w:left w:val="none" w:sz="0" w:space="0" w:color="auto"/>
        <w:bottom w:val="none" w:sz="0" w:space="0" w:color="auto"/>
        <w:right w:val="none" w:sz="0" w:space="0" w:color="auto"/>
      </w:divBdr>
      <w:divsChild>
        <w:div w:id="2014992488">
          <w:marLeft w:val="0"/>
          <w:marRight w:val="0"/>
          <w:marTop w:val="0"/>
          <w:marBottom w:val="240"/>
          <w:divBdr>
            <w:top w:val="none" w:sz="0" w:space="0" w:color="auto"/>
            <w:left w:val="none" w:sz="0" w:space="0" w:color="auto"/>
            <w:bottom w:val="none" w:sz="0" w:space="0" w:color="auto"/>
            <w:right w:val="none" w:sz="0" w:space="0" w:color="auto"/>
          </w:divBdr>
        </w:div>
      </w:divsChild>
    </w:div>
    <w:div w:id="1055469279">
      <w:bodyDiv w:val="1"/>
      <w:marLeft w:val="0"/>
      <w:marRight w:val="0"/>
      <w:marTop w:val="0"/>
      <w:marBottom w:val="0"/>
      <w:divBdr>
        <w:top w:val="none" w:sz="0" w:space="0" w:color="auto"/>
        <w:left w:val="none" w:sz="0" w:space="0" w:color="auto"/>
        <w:bottom w:val="none" w:sz="0" w:space="0" w:color="auto"/>
        <w:right w:val="none" w:sz="0" w:space="0" w:color="auto"/>
      </w:divBdr>
      <w:divsChild>
        <w:div w:id="442071554">
          <w:marLeft w:val="0"/>
          <w:marRight w:val="0"/>
          <w:marTop w:val="0"/>
          <w:marBottom w:val="240"/>
          <w:divBdr>
            <w:top w:val="none" w:sz="0" w:space="0" w:color="auto"/>
            <w:left w:val="none" w:sz="0" w:space="0" w:color="auto"/>
            <w:bottom w:val="none" w:sz="0" w:space="0" w:color="auto"/>
            <w:right w:val="none" w:sz="0" w:space="0" w:color="auto"/>
          </w:divBdr>
        </w:div>
      </w:divsChild>
    </w:div>
    <w:div w:id="1202671282">
      <w:bodyDiv w:val="1"/>
      <w:marLeft w:val="0"/>
      <w:marRight w:val="0"/>
      <w:marTop w:val="0"/>
      <w:marBottom w:val="0"/>
      <w:divBdr>
        <w:top w:val="none" w:sz="0" w:space="0" w:color="auto"/>
        <w:left w:val="none" w:sz="0" w:space="0" w:color="auto"/>
        <w:bottom w:val="none" w:sz="0" w:space="0" w:color="auto"/>
        <w:right w:val="none" w:sz="0" w:space="0" w:color="auto"/>
      </w:divBdr>
      <w:divsChild>
        <w:div w:id="799498008">
          <w:marLeft w:val="0"/>
          <w:marRight w:val="0"/>
          <w:marTop w:val="0"/>
          <w:marBottom w:val="240"/>
          <w:divBdr>
            <w:top w:val="none" w:sz="0" w:space="0" w:color="auto"/>
            <w:left w:val="none" w:sz="0" w:space="0" w:color="auto"/>
            <w:bottom w:val="none" w:sz="0" w:space="0" w:color="auto"/>
            <w:right w:val="none" w:sz="0" w:space="0" w:color="auto"/>
          </w:divBdr>
        </w:div>
        <w:div w:id="1284339305">
          <w:marLeft w:val="0"/>
          <w:marRight w:val="0"/>
          <w:marTop w:val="0"/>
          <w:marBottom w:val="240"/>
          <w:divBdr>
            <w:top w:val="none" w:sz="0" w:space="0" w:color="auto"/>
            <w:left w:val="none" w:sz="0" w:space="0" w:color="auto"/>
            <w:bottom w:val="none" w:sz="0" w:space="0" w:color="auto"/>
            <w:right w:val="none" w:sz="0" w:space="0" w:color="auto"/>
          </w:divBdr>
        </w:div>
      </w:divsChild>
    </w:div>
    <w:div w:id="1413359124">
      <w:bodyDiv w:val="1"/>
      <w:marLeft w:val="0"/>
      <w:marRight w:val="0"/>
      <w:marTop w:val="0"/>
      <w:marBottom w:val="0"/>
      <w:divBdr>
        <w:top w:val="none" w:sz="0" w:space="0" w:color="auto"/>
        <w:left w:val="none" w:sz="0" w:space="0" w:color="auto"/>
        <w:bottom w:val="none" w:sz="0" w:space="0" w:color="auto"/>
        <w:right w:val="none" w:sz="0" w:space="0" w:color="auto"/>
      </w:divBdr>
      <w:divsChild>
        <w:div w:id="954364494">
          <w:marLeft w:val="0"/>
          <w:marRight w:val="0"/>
          <w:marTop w:val="0"/>
          <w:marBottom w:val="240"/>
          <w:divBdr>
            <w:top w:val="none" w:sz="0" w:space="0" w:color="auto"/>
            <w:left w:val="none" w:sz="0" w:space="0" w:color="auto"/>
            <w:bottom w:val="none" w:sz="0" w:space="0" w:color="auto"/>
            <w:right w:val="none" w:sz="0" w:space="0" w:color="auto"/>
          </w:divBdr>
        </w:div>
      </w:divsChild>
    </w:div>
    <w:div w:id="1425033454">
      <w:bodyDiv w:val="1"/>
      <w:marLeft w:val="0"/>
      <w:marRight w:val="0"/>
      <w:marTop w:val="0"/>
      <w:marBottom w:val="0"/>
      <w:divBdr>
        <w:top w:val="none" w:sz="0" w:space="0" w:color="auto"/>
        <w:left w:val="none" w:sz="0" w:space="0" w:color="auto"/>
        <w:bottom w:val="none" w:sz="0" w:space="0" w:color="auto"/>
        <w:right w:val="none" w:sz="0" w:space="0" w:color="auto"/>
      </w:divBdr>
      <w:divsChild>
        <w:div w:id="756485440">
          <w:marLeft w:val="0"/>
          <w:marRight w:val="0"/>
          <w:marTop w:val="0"/>
          <w:marBottom w:val="240"/>
          <w:divBdr>
            <w:top w:val="none" w:sz="0" w:space="0" w:color="auto"/>
            <w:left w:val="none" w:sz="0" w:space="0" w:color="auto"/>
            <w:bottom w:val="none" w:sz="0" w:space="0" w:color="auto"/>
            <w:right w:val="none" w:sz="0" w:space="0" w:color="auto"/>
          </w:divBdr>
        </w:div>
      </w:divsChild>
    </w:div>
    <w:div w:id="1472140476">
      <w:bodyDiv w:val="1"/>
      <w:marLeft w:val="0"/>
      <w:marRight w:val="0"/>
      <w:marTop w:val="0"/>
      <w:marBottom w:val="0"/>
      <w:divBdr>
        <w:top w:val="none" w:sz="0" w:space="0" w:color="auto"/>
        <w:left w:val="none" w:sz="0" w:space="0" w:color="auto"/>
        <w:bottom w:val="none" w:sz="0" w:space="0" w:color="auto"/>
        <w:right w:val="none" w:sz="0" w:space="0" w:color="auto"/>
      </w:divBdr>
    </w:div>
    <w:div w:id="1577209589">
      <w:bodyDiv w:val="1"/>
      <w:marLeft w:val="0"/>
      <w:marRight w:val="0"/>
      <w:marTop w:val="0"/>
      <w:marBottom w:val="0"/>
      <w:divBdr>
        <w:top w:val="none" w:sz="0" w:space="0" w:color="auto"/>
        <w:left w:val="none" w:sz="0" w:space="0" w:color="auto"/>
        <w:bottom w:val="none" w:sz="0" w:space="0" w:color="auto"/>
        <w:right w:val="none" w:sz="0" w:space="0" w:color="auto"/>
      </w:divBdr>
      <w:divsChild>
        <w:div w:id="779373045">
          <w:marLeft w:val="0"/>
          <w:marRight w:val="0"/>
          <w:marTop w:val="0"/>
          <w:marBottom w:val="240"/>
          <w:divBdr>
            <w:top w:val="none" w:sz="0" w:space="0" w:color="auto"/>
            <w:left w:val="none" w:sz="0" w:space="0" w:color="auto"/>
            <w:bottom w:val="none" w:sz="0" w:space="0" w:color="auto"/>
            <w:right w:val="none" w:sz="0" w:space="0" w:color="auto"/>
          </w:divBdr>
        </w:div>
      </w:divsChild>
    </w:div>
    <w:div w:id="1689795344">
      <w:bodyDiv w:val="1"/>
      <w:marLeft w:val="0"/>
      <w:marRight w:val="0"/>
      <w:marTop w:val="0"/>
      <w:marBottom w:val="0"/>
      <w:divBdr>
        <w:top w:val="none" w:sz="0" w:space="0" w:color="auto"/>
        <w:left w:val="none" w:sz="0" w:space="0" w:color="auto"/>
        <w:bottom w:val="none" w:sz="0" w:space="0" w:color="auto"/>
        <w:right w:val="none" w:sz="0" w:space="0" w:color="auto"/>
      </w:divBdr>
      <w:divsChild>
        <w:div w:id="2081059293">
          <w:marLeft w:val="0"/>
          <w:marRight w:val="0"/>
          <w:marTop w:val="0"/>
          <w:marBottom w:val="240"/>
          <w:divBdr>
            <w:top w:val="none" w:sz="0" w:space="0" w:color="auto"/>
            <w:left w:val="none" w:sz="0" w:space="0" w:color="auto"/>
            <w:bottom w:val="none" w:sz="0" w:space="0" w:color="auto"/>
            <w:right w:val="none" w:sz="0" w:space="0" w:color="auto"/>
          </w:divBdr>
        </w:div>
      </w:divsChild>
    </w:div>
    <w:div w:id="1805806098">
      <w:bodyDiv w:val="1"/>
      <w:marLeft w:val="0"/>
      <w:marRight w:val="0"/>
      <w:marTop w:val="0"/>
      <w:marBottom w:val="0"/>
      <w:divBdr>
        <w:top w:val="none" w:sz="0" w:space="0" w:color="auto"/>
        <w:left w:val="none" w:sz="0" w:space="0" w:color="auto"/>
        <w:bottom w:val="none" w:sz="0" w:space="0" w:color="auto"/>
        <w:right w:val="none" w:sz="0" w:space="0" w:color="auto"/>
      </w:divBdr>
      <w:divsChild>
        <w:div w:id="1384405665">
          <w:marLeft w:val="0"/>
          <w:marRight w:val="0"/>
          <w:marTop w:val="0"/>
          <w:marBottom w:val="240"/>
          <w:divBdr>
            <w:top w:val="none" w:sz="0" w:space="0" w:color="auto"/>
            <w:left w:val="none" w:sz="0" w:space="0" w:color="auto"/>
            <w:bottom w:val="none" w:sz="0" w:space="0" w:color="auto"/>
            <w:right w:val="none" w:sz="0" w:space="0" w:color="auto"/>
          </w:divBdr>
        </w:div>
      </w:divsChild>
    </w:div>
    <w:div w:id="1827471683">
      <w:bodyDiv w:val="1"/>
      <w:marLeft w:val="0"/>
      <w:marRight w:val="0"/>
      <w:marTop w:val="0"/>
      <w:marBottom w:val="0"/>
      <w:divBdr>
        <w:top w:val="none" w:sz="0" w:space="0" w:color="auto"/>
        <w:left w:val="none" w:sz="0" w:space="0" w:color="auto"/>
        <w:bottom w:val="none" w:sz="0" w:space="0" w:color="auto"/>
        <w:right w:val="none" w:sz="0" w:space="0" w:color="auto"/>
      </w:divBdr>
    </w:div>
    <w:div w:id="1852064486">
      <w:bodyDiv w:val="1"/>
      <w:marLeft w:val="0"/>
      <w:marRight w:val="0"/>
      <w:marTop w:val="0"/>
      <w:marBottom w:val="0"/>
      <w:divBdr>
        <w:top w:val="none" w:sz="0" w:space="0" w:color="auto"/>
        <w:left w:val="none" w:sz="0" w:space="0" w:color="auto"/>
        <w:bottom w:val="none" w:sz="0" w:space="0" w:color="auto"/>
        <w:right w:val="none" w:sz="0" w:space="0" w:color="auto"/>
      </w:divBdr>
      <w:divsChild>
        <w:div w:id="967737089">
          <w:marLeft w:val="0"/>
          <w:marRight w:val="0"/>
          <w:marTop w:val="0"/>
          <w:marBottom w:val="240"/>
          <w:divBdr>
            <w:top w:val="none" w:sz="0" w:space="0" w:color="auto"/>
            <w:left w:val="none" w:sz="0" w:space="0" w:color="auto"/>
            <w:bottom w:val="none" w:sz="0" w:space="0" w:color="auto"/>
            <w:right w:val="none" w:sz="0" w:space="0" w:color="auto"/>
          </w:divBdr>
        </w:div>
      </w:divsChild>
    </w:div>
    <w:div w:id="2039817274">
      <w:bodyDiv w:val="1"/>
      <w:marLeft w:val="0"/>
      <w:marRight w:val="0"/>
      <w:marTop w:val="0"/>
      <w:marBottom w:val="0"/>
      <w:divBdr>
        <w:top w:val="none" w:sz="0" w:space="0" w:color="auto"/>
        <w:left w:val="none" w:sz="0" w:space="0" w:color="auto"/>
        <w:bottom w:val="none" w:sz="0" w:space="0" w:color="auto"/>
        <w:right w:val="none" w:sz="0" w:space="0" w:color="auto"/>
      </w:divBdr>
      <w:divsChild>
        <w:div w:id="180958694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3</Pages>
  <Words>601</Words>
  <Characters>3429</Characters>
  <Application>Microsoft Office Word</Application>
  <DocSecurity>0</DocSecurity>
  <Lines>28</Lines>
  <Paragraphs>8</Paragraphs>
  <ScaleCrop>false</ScaleCrop>
  <Company>装机版Ghost Win7 SP1  201308</Company>
  <LinksUpToDate>false</LinksUpToDate>
  <CharactersWithSpaces>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Xiaoyun Qiu</dc:creator>
  <cp:keywords/>
  <dc:description/>
  <cp:lastModifiedBy>Xiaoyun Qiu</cp:lastModifiedBy>
  <cp:revision>14</cp:revision>
  <cp:lastPrinted>2015-09-27T01:24:00Z</cp:lastPrinted>
  <dcterms:created xsi:type="dcterms:W3CDTF">2016-12-27T20:01:00Z</dcterms:created>
  <dcterms:modified xsi:type="dcterms:W3CDTF">2016-12-28T18:17:00Z</dcterms:modified>
</cp:coreProperties>
</file>