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7A955">
      <w:pPr>
        <w:jc w:val="center"/>
        <w:rPr>
          <w:rFonts w:hint="eastAsia"/>
          <w:b/>
          <w:bCs w:val="0"/>
          <w:sz w:val="36"/>
          <w:szCs w:val="36"/>
          <w:lang w:val="en-US" w:eastAsia="zh-CN"/>
        </w:rPr>
      </w:pPr>
      <w:r>
        <w:rPr>
          <w:rFonts w:hint="eastAsia" w:ascii="宋体" w:hAnsi="宋体"/>
          <w:b/>
          <w:bCs w:val="0"/>
          <w:sz w:val="36"/>
          <w:szCs w:val="36"/>
          <w:u w:val="none"/>
          <w:lang w:val="en-US" w:eastAsia="zh-CN"/>
        </w:rPr>
        <w:t>《查吉儿自助充——校内电瓶车充电矛盾解决方案》</w:t>
      </w:r>
      <w:r>
        <w:rPr>
          <w:rFonts w:hint="eastAsia"/>
          <w:b/>
          <w:bCs w:val="0"/>
          <w:sz w:val="36"/>
          <w:szCs w:val="36"/>
          <w:lang w:val="en-US" w:eastAsia="zh-CN"/>
        </w:rPr>
        <w:t>结项报告</w:t>
      </w:r>
    </w:p>
    <w:tbl>
      <w:tblPr>
        <w:tblStyle w:val="4"/>
        <w:tblW w:w="856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4"/>
        <w:gridCol w:w="1212"/>
        <w:gridCol w:w="1987"/>
        <w:gridCol w:w="1415"/>
        <w:gridCol w:w="2223"/>
      </w:tblGrid>
      <w:tr w14:paraId="53AEA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8561" w:type="dxa"/>
            <w:gridSpan w:val="5"/>
            <w:noWrap w:val="0"/>
            <w:vAlign w:val="center"/>
          </w:tcPr>
          <w:p w14:paraId="460670FA">
            <w:pPr>
              <w:numPr>
                <w:ilvl w:val="0"/>
                <w:numId w:val="0"/>
              </w:numPr>
              <w:spacing w:line="480" w:lineRule="auto"/>
              <w:rPr>
                <w:rFonts w:hint="eastAsia" w:ascii="宋体" w:hAnsi="宋体"/>
                <w:bCs/>
                <w:sz w:val="28"/>
                <w:szCs w:val="28"/>
                <w:u w:val="none"/>
                <w:lang w:val="en-US" w:eastAsia="zh-CN"/>
              </w:rPr>
            </w:pPr>
            <w:r>
              <w:rPr>
                <w:rFonts w:hint="eastAsia" w:eastAsia="黑体"/>
                <w:sz w:val="30"/>
                <w:lang w:val="en-US" w:eastAsia="zh-CN"/>
              </w:rPr>
              <w:t>一、</w:t>
            </w:r>
            <w:r>
              <w:rPr>
                <w:rFonts w:hint="eastAsia" w:eastAsia="黑体"/>
                <w:sz w:val="30"/>
              </w:rPr>
              <w:t>项目基本信息</w:t>
            </w:r>
          </w:p>
        </w:tc>
      </w:tr>
      <w:tr w14:paraId="4321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724" w:type="dxa"/>
            <w:noWrap w:val="0"/>
            <w:vAlign w:val="center"/>
          </w:tcPr>
          <w:p w14:paraId="2CC8319E">
            <w:pPr>
              <w:jc w:val="center"/>
              <w:rPr>
                <w:rFonts w:hint="eastAsia" w:ascii="宋体" w:hAnsi="宋体"/>
                <w:b/>
                <w:bCs/>
                <w:sz w:val="28"/>
              </w:rPr>
            </w:pPr>
            <w:r>
              <w:rPr>
                <w:rFonts w:hint="eastAsia" w:ascii="宋体" w:hAnsi="宋体"/>
                <w:b/>
                <w:bCs/>
                <w:sz w:val="28"/>
              </w:rPr>
              <w:t>项目名称</w:t>
            </w:r>
          </w:p>
        </w:tc>
        <w:tc>
          <w:tcPr>
            <w:tcW w:w="6837" w:type="dxa"/>
            <w:gridSpan w:val="4"/>
            <w:noWrap w:val="0"/>
            <w:vAlign w:val="center"/>
          </w:tcPr>
          <w:p w14:paraId="28178A85">
            <w:pPr>
              <w:spacing w:line="360" w:lineRule="auto"/>
              <w:jc w:val="center"/>
              <w:rPr>
                <w:rFonts w:hint="eastAsia" w:ascii="宋体" w:hAnsi="宋体" w:cs="仿宋_GB2312"/>
                <w:b/>
                <w:bCs/>
                <w:sz w:val="28"/>
              </w:rPr>
            </w:pPr>
            <w:r>
              <w:rPr>
                <w:rFonts w:hint="eastAsia" w:ascii="宋体" w:hAnsi="宋体"/>
                <w:bCs/>
                <w:sz w:val="28"/>
                <w:szCs w:val="28"/>
                <w:u w:val="none"/>
                <w:lang w:val="en-US" w:eastAsia="zh-CN"/>
              </w:rPr>
              <w:t>查吉儿自助充——校内电瓶车充电矛盾解决方案</w:t>
            </w:r>
          </w:p>
        </w:tc>
      </w:tr>
      <w:tr w14:paraId="547B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724" w:type="dxa"/>
            <w:vMerge w:val="restart"/>
            <w:noWrap w:val="0"/>
            <w:vAlign w:val="center"/>
          </w:tcPr>
          <w:p w14:paraId="17F1C3DE">
            <w:pPr>
              <w:jc w:val="center"/>
              <w:rPr>
                <w:rFonts w:hint="eastAsia" w:ascii="宋体" w:hAnsi="宋体"/>
                <w:b/>
                <w:bCs/>
                <w:sz w:val="28"/>
              </w:rPr>
            </w:pPr>
            <w:r>
              <w:rPr>
                <w:rFonts w:hint="eastAsia" w:ascii="宋体" w:hAnsi="宋体"/>
                <w:b/>
                <w:bCs/>
                <w:sz w:val="28"/>
              </w:rPr>
              <w:t>项目负责人</w:t>
            </w:r>
          </w:p>
        </w:tc>
        <w:tc>
          <w:tcPr>
            <w:tcW w:w="1212" w:type="dxa"/>
            <w:noWrap w:val="0"/>
            <w:vAlign w:val="center"/>
          </w:tcPr>
          <w:p w14:paraId="2F0EF38A">
            <w:pPr>
              <w:jc w:val="center"/>
              <w:rPr>
                <w:rFonts w:hint="eastAsia" w:ascii="宋体" w:hAnsi="宋体"/>
                <w:b/>
                <w:bCs/>
                <w:sz w:val="28"/>
              </w:rPr>
            </w:pPr>
            <w:r>
              <w:rPr>
                <w:rFonts w:hint="eastAsia" w:ascii="宋体" w:hAnsi="宋体"/>
                <w:b/>
                <w:bCs/>
                <w:sz w:val="28"/>
              </w:rPr>
              <w:t>姓 名</w:t>
            </w:r>
          </w:p>
        </w:tc>
        <w:tc>
          <w:tcPr>
            <w:tcW w:w="1987" w:type="dxa"/>
            <w:noWrap w:val="0"/>
            <w:vAlign w:val="center"/>
          </w:tcPr>
          <w:p w14:paraId="054CE11B">
            <w:pPr>
              <w:jc w:val="center"/>
              <w:rPr>
                <w:rFonts w:hint="eastAsia" w:ascii="宋体" w:hAnsi="宋体" w:cs="仿宋_GB2312"/>
                <w:sz w:val="24"/>
              </w:rPr>
            </w:pPr>
            <w:r>
              <w:rPr>
                <w:rFonts w:hint="eastAsia" w:ascii="宋体" w:hAnsi="宋体" w:cs="仿宋_GB2312"/>
                <w:sz w:val="24"/>
              </w:rPr>
              <w:t>王颢璇</w:t>
            </w:r>
          </w:p>
        </w:tc>
        <w:tc>
          <w:tcPr>
            <w:tcW w:w="1415" w:type="dxa"/>
            <w:noWrap w:val="0"/>
            <w:vAlign w:val="center"/>
          </w:tcPr>
          <w:p w14:paraId="26B6848B">
            <w:pPr>
              <w:ind w:left="57"/>
              <w:jc w:val="center"/>
              <w:rPr>
                <w:rFonts w:hint="eastAsia" w:ascii="宋体" w:hAnsi="宋体"/>
                <w:b/>
                <w:bCs/>
                <w:sz w:val="28"/>
              </w:rPr>
            </w:pPr>
            <w:r>
              <w:rPr>
                <w:rFonts w:hint="eastAsia" w:ascii="宋体" w:hAnsi="宋体"/>
                <w:b/>
                <w:bCs/>
                <w:sz w:val="28"/>
              </w:rPr>
              <w:t>所在院系</w:t>
            </w:r>
          </w:p>
        </w:tc>
        <w:tc>
          <w:tcPr>
            <w:tcW w:w="2223" w:type="dxa"/>
            <w:noWrap w:val="0"/>
            <w:vAlign w:val="center"/>
          </w:tcPr>
          <w:p w14:paraId="1E7E155F">
            <w:pPr>
              <w:jc w:val="center"/>
              <w:rPr>
                <w:rFonts w:hint="eastAsia" w:ascii="宋体" w:hAnsi="宋体" w:cs="仿宋_GB2312"/>
                <w:sz w:val="24"/>
              </w:rPr>
            </w:pPr>
            <w:r>
              <w:rPr>
                <w:rFonts w:hint="eastAsia" w:ascii="宋体" w:hAnsi="宋体" w:cs="仿宋_GB2312"/>
                <w:sz w:val="24"/>
              </w:rPr>
              <w:t>求是学院丹青学园</w:t>
            </w:r>
          </w:p>
        </w:tc>
      </w:tr>
      <w:tr w14:paraId="4280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724" w:type="dxa"/>
            <w:vMerge w:val="continue"/>
            <w:noWrap w:val="0"/>
            <w:vAlign w:val="center"/>
          </w:tcPr>
          <w:p w14:paraId="060FFC8A">
            <w:pPr>
              <w:jc w:val="center"/>
              <w:rPr>
                <w:rFonts w:hint="eastAsia" w:ascii="宋体" w:hAnsi="宋体"/>
                <w:b/>
                <w:bCs/>
                <w:sz w:val="28"/>
              </w:rPr>
            </w:pPr>
          </w:p>
        </w:tc>
        <w:tc>
          <w:tcPr>
            <w:tcW w:w="1212" w:type="dxa"/>
            <w:noWrap w:val="0"/>
            <w:vAlign w:val="center"/>
          </w:tcPr>
          <w:p w14:paraId="69E3ADA3">
            <w:pPr>
              <w:jc w:val="center"/>
              <w:rPr>
                <w:rFonts w:hint="eastAsia" w:ascii="宋体" w:hAnsi="宋体"/>
                <w:b/>
                <w:bCs/>
                <w:sz w:val="28"/>
              </w:rPr>
            </w:pPr>
            <w:r>
              <w:rPr>
                <w:rFonts w:hint="eastAsia" w:ascii="宋体" w:hAnsi="宋体"/>
                <w:b/>
                <w:bCs/>
                <w:sz w:val="28"/>
              </w:rPr>
              <w:t>学 号</w:t>
            </w:r>
          </w:p>
        </w:tc>
        <w:tc>
          <w:tcPr>
            <w:tcW w:w="1987" w:type="dxa"/>
            <w:noWrap w:val="0"/>
            <w:vAlign w:val="center"/>
          </w:tcPr>
          <w:p w14:paraId="48555DC0">
            <w:pPr>
              <w:jc w:val="center"/>
              <w:rPr>
                <w:rFonts w:hint="eastAsia" w:ascii="宋体" w:hAnsi="宋体" w:cs="仿宋_GB2312"/>
                <w:sz w:val="24"/>
              </w:rPr>
            </w:pPr>
            <w:r>
              <w:rPr>
                <w:rFonts w:ascii="宋体" w:hAnsi="宋体" w:cs="仿宋_GB2312"/>
                <w:sz w:val="24"/>
              </w:rPr>
              <w:t>3240102951</w:t>
            </w:r>
          </w:p>
        </w:tc>
        <w:tc>
          <w:tcPr>
            <w:tcW w:w="1415" w:type="dxa"/>
            <w:noWrap w:val="0"/>
            <w:vAlign w:val="center"/>
          </w:tcPr>
          <w:p w14:paraId="1EEACB8C">
            <w:pPr>
              <w:ind w:left="57"/>
              <w:jc w:val="center"/>
              <w:rPr>
                <w:rFonts w:hint="eastAsia" w:ascii="宋体" w:hAnsi="宋体"/>
                <w:b/>
                <w:bCs/>
                <w:sz w:val="28"/>
              </w:rPr>
            </w:pPr>
            <w:r>
              <w:rPr>
                <w:rFonts w:hint="eastAsia" w:ascii="宋体" w:hAnsi="宋体"/>
                <w:b/>
                <w:bCs/>
                <w:sz w:val="28"/>
              </w:rPr>
              <w:t>联系方式</w:t>
            </w:r>
          </w:p>
        </w:tc>
        <w:tc>
          <w:tcPr>
            <w:tcW w:w="2223" w:type="dxa"/>
            <w:noWrap w:val="0"/>
            <w:vAlign w:val="center"/>
          </w:tcPr>
          <w:p w14:paraId="4A120CE6">
            <w:pPr>
              <w:jc w:val="center"/>
              <w:rPr>
                <w:rFonts w:hint="eastAsia" w:ascii="宋体" w:hAnsi="宋体" w:cs="仿宋_GB2312"/>
                <w:sz w:val="24"/>
              </w:rPr>
            </w:pPr>
            <w:r>
              <w:rPr>
                <w:rFonts w:hint="eastAsia" w:ascii="宋体" w:hAnsi="宋体" w:cs="仿宋_GB2312"/>
                <w:sz w:val="24"/>
              </w:rPr>
              <w:t>1</w:t>
            </w:r>
            <w:r>
              <w:rPr>
                <w:rFonts w:ascii="宋体" w:hAnsi="宋体" w:cs="仿宋_GB2312"/>
                <w:sz w:val="24"/>
              </w:rPr>
              <w:t>3357637913</w:t>
            </w:r>
          </w:p>
        </w:tc>
      </w:tr>
      <w:tr w14:paraId="1884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724" w:type="dxa"/>
            <w:vMerge w:val="restart"/>
            <w:tcBorders>
              <w:right w:val="double" w:color="auto" w:sz="4" w:space="0"/>
            </w:tcBorders>
            <w:noWrap w:val="0"/>
            <w:vAlign w:val="center"/>
          </w:tcPr>
          <w:p w14:paraId="6343CD43">
            <w:pPr>
              <w:jc w:val="center"/>
              <w:rPr>
                <w:rFonts w:hint="eastAsia" w:ascii="宋体" w:hAnsi="宋体"/>
                <w:b/>
                <w:bCs/>
                <w:sz w:val="28"/>
              </w:rPr>
            </w:pPr>
            <w:r>
              <w:rPr>
                <w:rFonts w:hint="eastAsia" w:ascii="宋体" w:hAnsi="宋体"/>
                <w:b/>
                <w:bCs/>
                <w:sz w:val="28"/>
              </w:rPr>
              <w:t>项目主要</w:t>
            </w:r>
          </w:p>
          <w:p w14:paraId="331D505A">
            <w:pPr>
              <w:jc w:val="center"/>
              <w:rPr>
                <w:rFonts w:hint="eastAsia" w:ascii="宋体" w:hAnsi="宋体"/>
                <w:b/>
                <w:sz w:val="28"/>
                <w:szCs w:val="28"/>
              </w:rPr>
            </w:pPr>
            <w:r>
              <w:rPr>
                <w:rFonts w:hint="eastAsia" w:ascii="宋体" w:hAnsi="宋体"/>
                <w:b/>
                <w:bCs/>
                <w:sz w:val="28"/>
              </w:rPr>
              <w:t>参与人员</w:t>
            </w:r>
          </w:p>
        </w:tc>
        <w:tc>
          <w:tcPr>
            <w:tcW w:w="1212" w:type="dxa"/>
            <w:tcBorders>
              <w:top w:val="double" w:color="auto" w:sz="4" w:space="0"/>
              <w:left w:val="double" w:color="auto" w:sz="4" w:space="0"/>
            </w:tcBorders>
            <w:noWrap w:val="0"/>
            <w:vAlign w:val="center"/>
          </w:tcPr>
          <w:p w14:paraId="566F67E3">
            <w:pPr>
              <w:jc w:val="center"/>
              <w:rPr>
                <w:rFonts w:hint="eastAsia" w:ascii="宋体" w:hAnsi="宋体"/>
                <w:b/>
                <w:bCs/>
                <w:sz w:val="28"/>
                <w:szCs w:val="28"/>
              </w:rPr>
            </w:pPr>
            <w:r>
              <w:rPr>
                <w:rFonts w:hint="eastAsia" w:ascii="宋体" w:hAnsi="宋体"/>
                <w:b/>
                <w:bCs/>
                <w:sz w:val="28"/>
                <w:szCs w:val="28"/>
              </w:rPr>
              <w:t>姓 名</w:t>
            </w:r>
          </w:p>
        </w:tc>
        <w:tc>
          <w:tcPr>
            <w:tcW w:w="1987" w:type="dxa"/>
            <w:tcBorders>
              <w:top w:val="double" w:color="auto" w:sz="4" w:space="0"/>
            </w:tcBorders>
            <w:noWrap w:val="0"/>
            <w:vAlign w:val="center"/>
          </w:tcPr>
          <w:p w14:paraId="2EC683E6">
            <w:pPr>
              <w:jc w:val="center"/>
              <w:rPr>
                <w:rFonts w:hint="eastAsia" w:ascii="宋体" w:hAnsi="宋体"/>
                <w:b/>
                <w:bCs/>
                <w:sz w:val="28"/>
                <w:szCs w:val="28"/>
              </w:rPr>
            </w:pPr>
            <w:r>
              <w:rPr>
                <w:rFonts w:hint="eastAsia" w:ascii="宋体" w:hAnsi="宋体"/>
                <w:b/>
                <w:bCs/>
                <w:sz w:val="28"/>
                <w:szCs w:val="28"/>
              </w:rPr>
              <w:t>学 号</w:t>
            </w:r>
          </w:p>
        </w:tc>
        <w:tc>
          <w:tcPr>
            <w:tcW w:w="1415" w:type="dxa"/>
            <w:tcBorders>
              <w:top w:val="double" w:color="auto" w:sz="4" w:space="0"/>
              <w:right w:val="single" w:color="auto" w:sz="4" w:space="0"/>
            </w:tcBorders>
            <w:noWrap w:val="0"/>
            <w:vAlign w:val="center"/>
          </w:tcPr>
          <w:p w14:paraId="04ADC867">
            <w:pPr>
              <w:jc w:val="center"/>
              <w:rPr>
                <w:rFonts w:hint="eastAsia" w:ascii="宋体" w:hAnsi="宋体"/>
                <w:b/>
                <w:bCs/>
                <w:sz w:val="28"/>
                <w:szCs w:val="28"/>
              </w:rPr>
            </w:pPr>
            <w:r>
              <w:rPr>
                <w:rFonts w:hint="eastAsia" w:ascii="宋体" w:hAnsi="宋体"/>
                <w:b/>
                <w:bCs/>
                <w:sz w:val="28"/>
                <w:szCs w:val="28"/>
              </w:rPr>
              <w:t>所在院系</w:t>
            </w:r>
          </w:p>
        </w:tc>
        <w:tc>
          <w:tcPr>
            <w:tcW w:w="2223" w:type="dxa"/>
            <w:tcBorders>
              <w:top w:val="double" w:color="auto" w:sz="4" w:space="0"/>
              <w:left w:val="single" w:color="auto" w:sz="4" w:space="0"/>
              <w:right w:val="double" w:color="auto" w:sz="4" w:space="0"/>
            </w:tcBorders>
            <w:noWrap w:val="0"/>
            <w:vAlign w:val="center"/>
          </w:tcPr>
          <w:p w14:paraId="0B81DE9A">
            <w:pPr>
              <w:jc w:val="center"/>
              <w:rPr>
                <w:rFonts w:hint="eastAsia" w:ascii="宋体" w:hAnsi="宋体"/>
                <w:b/>
                <w:bCs/>
                <w:sz w:val="28"/>
                <w:szCs w:val="28"/>
              </w:rPr>
            </w:pPr>
            <w:r>
              <w:rPr>
                <w:rFonts w:hint="eastAsia" w:ascii="宋体" w:hAnsi="宋体"/>
                <w:b/>
                <w:bCs/>
                <w:sz w:val="28"/>
                <w:szCs w:val="28"/>
              </w:rPr>
              <w:t>联系方式</w:t>
            </w:r>
          </w:p>
        </w:tc>
      </w:tr>
      <w:tr w14:paraId="518DF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724" w:type="dxa"/>
            <w:vMerge w:val="continue"/>
            <w:tcBorders>
              <w:right w:val="double" w:color="auto" w:sz="4" w:space="0"/>
            </w:tcBorders>
            <w:noWrap w:val="0"/>
            <w:vAlign w:val="center"/>
          </w:tcPr>
          <w:p w14:paraId="2E5BDD15">
            <w:pPr>
              <w:jc w:val="center"/>
              <w:rPr>
                <w:rFonts w:hint="eastAsia" w:ascii="宋体" w:hAnsi="宋体"/>
                <w:b/>
                <w:sz w:val="28"/>
                <w:szCs w:val="28"/>
              </w:rPr>
            </w:pPr>
          </w:p>
        </w:tc>
        <w:tc>
          <w:tcPr>
            <w:tcW w:w="1212" w:type="dxa"/>
            <w:tcBorders>
              <w:left w:val="double" w:color="auto" w:sz="4" w:space="0"/>
            </w:tcBorders>
            <w:noWrap w:val="0"/>
            <w:vAlign w:val="center"/>
          </w:tcPr>
          <w:p w14:paraId="4A6C0EAC">
            <w:pPr>
              <w:jc w:val="center"/>
              <w:rPr>
                <w:rFonts w:hint="eastAsia" w:ascii="宋体" w:hAnsi="宋体" w:cs="仿宋_GB2312"/>
                <w:sz w:val="24"/>
              </w:rPr>
            </w:pPr>
            <w:r>
              <w:rPr>
                <w:rFonts w:hint="eastAsia" w:ascii="宋体" w:hAnsi="宋体" w:cs="仿宋_GB2312"/>
                <w:sz w:val="24"/>
              </w:rPr>
              <w:t>方康哲</w:t>
            </w:r>
          </w:p>
        </w:tc>
        <w:tc>
          <w:tcPr>
            <w:tcW w:w="1987" w:type="dxa"/>
            <w:noWrap w:val="0"/>
            <w:vAlign w:val="center"/>
          </w:tcPr>
          <w:p w14:paraId="1783C7EF">
            <w:pPr>
              <w:jc w:val="center"/>
              <w:rPr>
                <w:rFonts w:hint="eastAsia" w:ascii="宋体" w:hAnsi="宋体" w:cs="仿宋_GB2312"/>
                <w:sz w:val="24"/>
              </w:rPr>
            </w:pPr>
            <w:r>
              <w:rPr>
                <w:rFonts w:hint="eastAsia" w:ascii="宋体" w:hAnsi="宋体" w:cs="仿宋_GB2312"/>
                <w:sz w:val="24"/>
              </w:rPr>
              <w:t>3</w:t>
            </w:r>
            <w:r>
              <w:rPr>
                <w:rFonts w:ascii="宋体" w:hAnsi="宋体" w:cs="仿宋_GB2312"/>
                <w:sz w:val="24"/>
              </w:rPr>
              <w:t>240103325</w:t>
            </w:r>
          </w:p>
        </w:tc>
        <w:tc>
          <w:tcPr>
            <w:tcW w:w="1415" w:type="dxa"/>
            <w:tcBorders>
              <w:right w:val="single" w:color="auto" w:sz="4" w:space="0"/>
            </w:tcBorders>
            <w:noWrap w:val="0"/>
            <w:vAlign w:val="center"/>
          </w:tcPr>
          <w:p w14:paraId="6F139D80">
            <w:pPr>
              <w:jc w:val="center"/>
              <w:rPr>
                <w:rFonts w:hint="eastAsia" w:ascii="宋体" w:hAnsi="宋体" w:cs="仿宋_GB2312"/>
                <w:sz w:val="24"/>
              </w:rPr>
            </w:pPr>
            <w:r>
              <w:rPr>
                <w:rFonts w:hint="eastAsia" w:ascii="宋体" w:hAnsi="宋体" w:cs="仿宋_GB2312"/>
                <w:sz w:val="24"/>
              </w:rPr>
              <w:t>求是学院蓝田学园</w:t>
            </w:r>
          </w:p>
        </w:tc>
        <w:tc>
          <w:tcPr>
            <w:tcW w:w="2223" w:type="dxa"/>
            <w:tcBorders>
              <w:left w:val="single" w:color="auto" w:sz="4" w:space="0"/>
              <w:right w:val="double" w:color="auto" w:sz="4" w:space="0"/>
            </w:tcBorders>
            <w:noWrap w:val="0"/>
            <w:vAlign w:val="center"/>
          </w:tcPr>
          <w:p w14:paraId="6E668164">
            <w:pPr>
              <w:jc w:val="center"/>
              <w:rPr>
                <w:rFonts w:hint="eastAsia" w:ascii="宋体" w:hAnsi="宋体" w:cs="仿宋_GB2312"/>
                <w:sz w:val="24"/>
              </w:rPr>
            </w:pPr>
            <w:r>
              <w:rPr>
                <w:rFonts w:hint="eastAsia" w:ascii="宋体" w:hAnsi="宋体" w:cs="仿宋_GB2312"/>
                <w:sz w:val="24"/>
              </w:rPr>
              <w:t>1</w:t>
            </w:r>
            <w:r>
              <w:rPr>
                <w:rFonts w:ascii="宋体" w:hAnsi="宋体" w:cs="仿宋_GB2312"/>
                <w:sz w:val="24"/>
              </w:rPr>
              <w:t>5257923807</w:t>
            </w:r>
          </w:p>
        </w:tc>
      </w:tr>
      <w:tr w14:paraId="63293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724" w:type="dxa"/>
            <w:vMerge w:val="continue"/>
            <w:tcBorders>
              <w:right w:val="double" w:color="auto" w:sz="4" w:space="0"/>
            </w:tcBorders>
            <w:noWrap w:val="0"/>
            <w:vAlign w:val="center"/>
          </w:tcPr>
          <w:p w14:paraId="2529C986">
            <w:pPr>
              <w:jc w:val="center"/>
              <w:rPr>
                <w:rFonts w:hint="eastAsia" w:ascii="宋体" w:hAnsi="宋体"/>
                <w:b/>
                <w:sz w:val="28"/>
                <w:szCs w:val="28"/>
              </w:rPr>
            </w:pPr>
          </w:p>
        </w:tc>
        <w:tc>
          <w:tcPr>
            <w:tcW w:w="1212" w:type="dxa"/>
            <w:tcBorders>
              <w:left w:val="double" w:color="auto" w:sz="4" w:space="0"/>
            </w:tcBorders>
            <w:noWrap w:val="0"/>
            <w:vAlign w:val="center"/>
          </w:tcPr>
          <w:p w14:paraId="4A6540C5">
            <w:pPr>
              <w:jc w:val="center"/>
              <w:rPr>
                <w:rFonts w:hint="eastAsia" w:ascii="宋体" w:hAnsi="宋体" w:cs="仿宋_GB2312"/>
                <w:sz w:val="24"/>
              </w:rPr>
            </w:pPr>
            <w:r>
              <w:rPr>
                <w:rFonts w:hint="eastAsia" w:ascii="宋体" w:hAnsi="宋体" w:cs="仿宋_GB2312"/>
                <w:sz w:val="24"/>
              </w:rPr>
              <w:t>陈子乐</w:t>
            </w:r>
          </w:p>
        </w:tc>
        <w:tc>
          <w:tcPr>
            <w:tcW w:w="1987" w:type="dxa"/>
            <w:noWrap w:val="0"/>
            <w:vAlign w:val="center"/>
          </w:tcPr>
          <w:p w14:paraId="5A006ECA">
            <w:pPr>
              <w:jc w:val="center"/>
              <w:rPr>
                <w:rFonts w:hint="eastAsia" w:ascii="宋体" w:hAnsi="宋体" w:cs="仿宋_GB2312"/>
                <w:sz w:val="24"/>
              </w:rPr>
            </w:pPr>
            <w:r>
              <w:rPr>
                <w:rFonts w:ascii="宋体" w:hAnsi="宋体" w:cs="仿宋_GB2312"/>
                <w:sz w:val="24"/>
              </w:rPr>
              <w:t>3240102967</w:t>
            </w:r>
          </w:p>
        </w:tc>
        <w:tc>
          <w:tcPr>
            <w:tcW w:w="1415" w:type="dxa"/>
            <w:tcBorders>
              <w:right w:val="single" w:color="auto" w:sz="4" w:space="0"/>
            </w:tcBorders>
            <w:noWrap w:val="0"/>
            <w:vAlign w:val="center"/>
          </w:tcPr>
          <w:p w14:paraId="26A9B8D0">
            <w:pPr>
              <w:jc w:val="center"/>
              <w:rPr>
                <w:rFonts w:hint="eastAsia" w:ascii="宋体" w:hAnsi="宋体" w:cs="仿宋_GB2312"/>
                <w:sz w:val="24"/>
              </w:rPr>
            </w:pPr>
            <w:r>
              <w:rPr>
                <w:rFonts w:hint="eastAsia" w:ascii="宋体" w:hAnsi="宋体" w:cs="仿宋_GB2312"/>
                <w:sz w:val="24"/>
              </w:rPr>
              <w:t>求是学院云峰学园</w:t>
            </w:r>
          </w:p>
        </w:tc>
        <w:tc>
          <w:tcPr>
            <w:tcW w:w="2223" w:type="dxa"/>
            <w:tcBorders>
              <w:left w:val="single" w:color="auto" w:sz="4" w:space="0"/>
              <w:right w:val="double" w:color="auto" w:sz="4" w:space="0"/>
            </w:tcBorders>
            <w:noWrap w:val="0"/>
            <w:vAlign w:val="center"/>
          </w:tcPr>
          <w:p w14:paraId="384D0A3F">
            <w:pPr>
              <w:jc w:val="center"/>
              <w:rPr>
                <w:rFonts w:hint="eastAsia" w:ascii="宋体" w:hAnsi="宋体" w:cs="仿宋_GB2312"/>
                <w:sz w:val="24"/>
              </w:rPr>
            </w:pPr>
            <w:r>
              <w:rPr>
                <w:rFonts w:ascii="宋体" w:hAnsi="宋体" w:cs="仿宋_GB2312"/>
                <w:sz w:val="24"/>
              </w:rPr>
              <w:t>13105642688</w:t>
            </w:r>
          </w:p>
        </w:tc>
      </w:tr>
      <w:tr w14:paraId="6B8F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724" w:type="dxa"/>
            <w:vMerge w:val="continue"/>
            <w:tcBorders>
              <w:right w:val="double" w:color="auto" w:sz="4" w:space="0"/>
            </w:tcBorders>
            <w:noWrap w:val="0"/>
            <w:vAlign w:val="center"/>
          </w:tcPr>
          <w:p w14:paraId="2142E3B0">
            <w:pPr>
              <w:jc w:val="center"/>
              <w:rPr>
                <w:rFonts w:hint="eastAsia" w:ascii="宋体" w:hAnsi="宋体"/>
                <w:b/>
                <w:sz w:val="28"/>
                <w:szCs w:val="28"/>
              </w:rPr>
            </w:pPr>
          </w:p>
        </w:tc>
        <w:tc>
          <w:tcPr>
            <w:tcW w:w="1212" w:type="dxa"/>
            <w:tcBorders>
              <w:left w:val="double" w:color="auto" w:sz="4" w:space="0"/>
            </w:tcBorders>
            <w:noWrap w:val="0"/>
            <w:vAlign w:val="center"/>
          </w:tcPr>
          <w:p w14:paraId="70BB8E56">
            <w:pPr>
              <w:jc w:val="center"/>
              <w:rPr>
                <w:rFonts w:hint="eastAsia" w:ascii="宋体" w:hAnsi="宋体" w:cs="仿宋_GB2312"/>
                <w:sz w:val="24"/>
              </w:rPr>
            </w:pPr>
            <w:r>
              <w:rPr>
                <w:rFonts w:hint="eastAsia" w:ascii="宋体" w:hAnsi="宋体" w:cs="仿宋_GB2312"/>
                <w:sz w:val="24"/>
              </w:rPr>
              <w:t>张煜晖</w:t>
            </w:r>
          </w:p>
        </w:tc>
        <w:tc>
          <w:tcPr>
            <w:tcW w:w="1987" w:type="dxa"/>
            <w:noWrap w:val="0"/>
            <w:vAlign w:val="center"/>
          </w:tcPr>
          <w:p w14:paraId="25007C23">
            <w:pPr>
              <w:jc w:val="center"/>
              <w:rPr>
                <w:rFonts w:hint="eastAsia" w:ascii="宋体" w:hAnsi="宋体" w:cs="仿宋_GB2312"/>
                <w:sz w:val="24"/>
              </w:rPr>
            </w:pPr>
            <w:r>
              <w:rPr>
                <w:rFonts w:hint="eastAsia" w:ascii="宋体" w:hAnsi="宋体" w:cs="仿宋_GB2312"/>
                <w:sz w:val="24"/>
              </w:rPr>
              <w:t>3</w:t>
            </w:r>
            <w:r>
              <w:rPr>
                <w:rFonts w:ascii="宋体" w:hAnsi="宋体" w:cs="仿宋_GB2312"/>
                <w:sz w:val="24"/>
              </w:rPr>
              <w:t>240102956</w:t>
            </w:r>
          </w:p>
        </w:tc>
        <w:tc>
          <w:tcPr>
            <w:tcW w:w="1415" w:type="dxa"/>
            <w:tcBorders>
              <w:right w:val="single" w:color="auto" w:sz="4" w:space="0"/>
            </w:tcBorders>
            <w:noWrap w:val="0"/>
            <w:vAlign w:val="center"/>
          </w:tcPr>
          <w:p w14:paraId="2B4AA694">
            <w:pPr>
              <w:jc w:val="center"/>
              <w:rPr>
                <w:rFonts w:hint="eastAsia" w:ascii="宋体" w:hAnsi="宋体" w:cs="仿宋_GB2312"/>
                <w:sz w:val="24"/>
              </w:rPr>
            </w:pPr>
            <w:r>
              <w:rPr>
                <w:rFonts w:hint="eastAsia" w:ascii="宋体" w:hAnsi="宋体" w:cs="仿宋_GB2312"/>
                <w:sz w:val="24"/>
              </w:rPr>
              <w:t>求是学院蓝田学园</w:t>
            </w:r>
          </w:p>
        </w:tc>
        <w:tc>
          <w:tcPr>
            <w:tcW w:w="2223" w:type="dxa"/>
            <w:tcBorders>
              <w:left w:val="single" w:color="auto" w:sz="4" w:space="0"/>
              <w:right w:val="double" w:color="auto" w:sz="4" w:space="0"/>
            </w:tcBorders>
            <w:noWrap w:val="0"/>
            <w:vAlign w:val="center"/>
          </w:tcPr>
          <w:p w14:paraId="0F57E319">
            <w:pPr>
              <w:jc w:val="center"/>
              <w:rPr>
                <w:rFonts w:hint="eastAsia" w:ascii="宋体" w:hAnsi="宋体" w:cs="仿宋_GB2312"/>
                <w:sz w:val="24"/>
              </w:rPr>
            </w:pPr>
            <w:r>
              <w:rPr>
                <w:rFonts w:hint="eastAsia" w:ascii="宋体" w:hAnsi="宋体" w:cs="仿宋_GB2312"/>
                <w:sz w:val="24"/>
              </w:rPr>
              <w:t>1</w:t>
            </w:r>
            <w:r>
              <w:rPr>
                <w:rFonts w:ascii="宋体" w:hAnsi="宋体" w:cs="仿宋_GB2312"/>
                <w:sz w:val="24"/>
              </w:rPr>
              <w:t>3676647326</w:t>
            </w:r>
          </w:p>
        </w:tc>
      </w:tr>
      <w:tr w14:paraId="6BFB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724" w:type="dxa"/>
            <w:vMerge w:val="continue"/>
            <w:tcBorders>
              <w:right w:val="double" w:color="auto" w:sz="4" w:space="0"/>
            </w:tcBorders>
            <w:noWrap w:val="0"/>
            <w:vAlign w:val="center"/>
          </w:tcPr>
          <w:p w14:paraId="3DA56043">
            <w:pPr>
              <w:jc w:val="center"/>
              <w:rPr>
                <w:rFonts w:hint="eastAsia" w:ascii="宋体" w:hAnsi="宋体"/>
                <w:b/>
                <w:sz w:val="28"/>
                <w:szCs w:val="28"/>
              </w:rPr>
            </w:pPr>
          </w:p>
        </w:tc>
        <w:tc>
          <w:tcPr>
            <w:tcW w:w="1212" w:type="dxa"/>
            <w:tcBorders>
              <w:left w:val="double" w:color="auto" w:sz="4" w:space="0"/>
            </w:tcBorders>
            <w:noWrap w:val="0"/>
            <w:vAlign w:val="center"/>
          </w:tcPr>
          <w:p w14:paraId="61753CF5">
            <w:pPr>
              <w:jc w:val="center"/>
              <w:rPr>
                <w:rFonts w:hint="eastAsia" w:ascii="宋体" w:hAnsi="宋体" w:cs="仿宋_GB2312"/>
                <w:sz w:val="24"/>
              </w:rPr>
            </w:pPr>
            <w:r>
              <w:rPr>
                <w:rFonts w:hint="eastAsia" w:ascii="宋体" w:hAnsi="宋体" w:cs="仿宋_GB2312"/>
                <w:sz w:val="24"/>
              </w:rPr>
              <w:t>阮文斌</w:t>
            </w:r>
          </w:p>
        </w:tc>
        <w:tc>
          <w:tcPr>
            <w:tcW w:w="1987" w:type="dxa"/>
            <w:noWrap w:val="0"/>
            <w:vAlign w:val="center"/>
          </w:tcPr>
          <w:p w14:paraId="55D2D0B2">
            <w:pPr>
              <w:jc w:val="center"/>
              <w:rPr>
                <w:rFonts w:hint="eastAsia" w:ascii="宋体" w:hAnsi="宋体" w:cs="仿宋_GB2312"/>
                <w:sz w:val="24"/>
              </w:rPr>
            </w:pPr>
            <w:r>
              <w:rPr>
                <w:rFonts w:hint="eastAsia" w:ascii="宋体" w:hAnsi="宋体" w:cs="仿宋_GB2312"/>
                <w:sz w:val="24"/>
              </w:rPr>
              <w:t>3</w:t>
            </w:r>
            <w:r>
              <w:rPr>
                <w:rFonts w:ascii="宋体" w:hAnsi="宋体" w:cs="仿宋_GB2312"/>
                <w:sz w:val="24"/>
              </w:rPr>
              <w:t>240104208</w:t>
            </w:r>
          </w:p>
        </w:tc>
        <w:tc>
          <w:tcPr>
            <w:tcW w:w="1415" w:type="dxa"/>
            <w:tcBorders>
              <w:right w:val="single" w:color="auto" w:sz="4" w:space="0"/>
            </w:tcBorders>
            <w:noWrap w:val="0"/>
            <w:vAlign w:val="center"/>
          </w:tcPr>
          <w:p w14:paraId="5416B8C6">
            <w:pPr>
              <w:jc w:val="center"/>
              <w:rPr>
                <w:rFonts w:hint="eastAsia" w:ascii="宋体" w:hAnsi="宋体" w:cs="仿宋_GB2312"/>
                <w:sz w:val="24"/>
              </w:rPr>
            </w:pPr>
            <w:r>
              <w:rPr>
                <w:rFonts w:hint="eastAsia" w:ascii="宋体" w:hAnsi="宋体" w:cs="仿宋_GB2312"/>
                <w:sz w:val="24"/>
              </w:rPr>
              <w:t>求是学院蓝田学园</w:t>
            </w:r>
          </w:p>
        </w:tc>
        <w:tc>
          <w:tcPr>
            <w:tcW w:w="2223" w:type="dxa"/>
            <w:tcBorders>
              <w:left w:val="single" w:color="auto" w:sz="4" w:space="0"/>
              <w:right w:val="double" w:color="auto" w:sz="4" w:space="0"/>
            </w:tcBorders>
            <w:noWrap w:val="0"/>
            <w:vAlign w:val="center"/>
          </w:tcPr>
          <w:p w14:paraId="1B0A8190">
            <w:pPr>
              <w:jc w:val="center"/>
              <w:rPr>
                <w:rFonts w:hint="eastAsia" w:ascii="宋体" w:hAnsi="宋体" w:cs="仿宋_GB2312"/>
                <w:sz w:val="24"/>
              </w:rPr>
            </w:pPr>
            <w:r>
              <w:rPr>
                <w:rFonts w:hint="eastAsia" w:ascii="宋体" w:hAnsi="宋体" w:cs="仿宋_GB2312"/>
                <w:sz w:val="24"/>
              </w:rPr>
              <w:t>1</w:t>
            </w:r>
            <w:r>
              <w:rPr>
                <w:rFonts w:ascii="宋体" w:hAnsi="宋体" w:cs="仿宋_GB2312"/>
                <w:sz w:val="24"/>
              </w:rPr>
              <w:t>5958896428</w:t>
            </w:r>
          </w:p>
        </w:tc>
      </w:tr>
      <w:tr w14:paraId="48FC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724" w:type="dxa"/>
            <w:vMerge w:val="continue"/>
            <w:tcBorders>
              <w:right w:val="double" w:color="auto" w:sz="4" w:space="0"/>
            </w:tcBorders>
            <w:noWrap w:val="0"/>
            <w:vAlign w:val="center"/>
          </w:tcPr>
          <w:p w14:paraId="6AEABA83">
            <w:pPr>
              <w:jc w:val="center"/>
              <w:rPr>
                <w:rFonts w:hint="eastAsia" w:ascii="宋体" w:hAnsi="宋体"/>
                <w:b/>
                <w:sz w:val="28"/>
                <w:szCs w:val="28"/>
              </w:rPr>
            </w:pPr>
          </w:p>
        </w:tc>
        <w:tc>
          <w:tcPr>
            <w:tcW w:w="1212" w:type="dxa"/>
            <w:tcBorders>
              <w:left w:val="double" w:color="auto" w:sz="4" w:space="0"/>
            </w:tcBorders>
            <w:noWrap w:val="0"/>
            <w:vAlign w:val="center"/>
          </w:tcPr>
          <w:p w14:paraId="76DD76EF">
            <w:pPr>
              <w:jc w:val="center"/>
              <w:rPr>
                <w:rFonts w:hint="eastAsia" w:ascii="宋体" w:hAnsi="宋体" w:cs="仿宋_GB2312"/>
                <w:sz w:val="24"/>
              </w:rPr>
            </w:pPr>
            <w:r>
              <w:rPr>
                <w:rFonts w:ascii="宋体" w:hAnsi="宋体" w:cs="仿宋_GB2312"/>
                <w:sz w:val="24"/>
              </w:rPr>
              <w:t>毛煜笑</w:t>
            </w:r>
          </w:p>
        </w:tc>
        <w:tc>
          <w:tcPr>
            <w:tcW w:w="1987" w:type="dxa"/>
            <w:noWrap w:val="0"/>
            <w:vAlign w:val="center"/>
          </w:tcPr>
          <w:p w14:paraId="7F0CF0E3">
            <w:pPr>
              <w:jc w:val="center"/>
              <w:rPr>
                <w:rFonts w:hint="eastAsia" w:ascii="宋体" w:hAnsi="宋体" w:cs="仿宋_GB2312"/>
                <w:sz w:val="24"/>
              </w:rPr>
            </w:pPr>
            <w:r>
              <w:rPr>
                <w:rFonts w:hint="eastAsia" w:ascii="宋体" w:hAnsi="宋体" w:cs="仿宋_GB2312"/>
                <w:sz w:val="24"/>
              </w:rPr>
              <w:t>3</w:t>
            </w:r>
            <w:r>
              <w:rPr>
                <w:rFonts w:ascii="宋体" w:hAnsi="宋体" w:cs="仿宋_GB2312"/>
                <w:sz w:val="24"/>
              </w:rPr>
              <w:t>240104468</w:t>
            </w:r>
          </w:p>
        </w:tc>
        <w:tc>
          <w:tcPr>
            <w:tcW w:w="1415" w:type="dxa"/>
            <w:tcBorders>
              <w:right w:val="single" w:color="auto" w:sz="4" w:space="0"/>
            </w:tcBorders>
            <w:noWrap w:val="0"/>
            <w:vAlign w:val="center"/>
          </w:tcPr>
          <w:p w14:paraId="4B289D44">
            <w:pPr>
              <w:jc w:val="center"/>
              <w:rPr>
                <w:rFonts w:hint="eastAsia" w:ascii="宋体" w:hAnsi="宋体" w:cs="仿宋_GB2312"/>
                <w:sz w:val="24"/>
              </w:rPr>
            </w:pPr>
            <w:r>
              <w:rPr>
                <w:rFonts w:hint="eastAsia" w:ascii="宋体" w:hAnsi="宋体" w:cs="仿宋_GB2312"/>
                <w:sz w:val="24"/>
              </w:rPr>
              <w:t>求是学院丹青学园</w:t>
            </w:r>
          </w:p>
        </w:tc>
        <w:tc>
          <w:tcPr>
            <w:tcW w:w="2223" w:type="dxa"/>
            <w:tcBorders>
              <w:left w:val="single" w:color="auto" w:sz="4" w:space="0"/>
              <w:right w:val="double" w:color="auto" w:sz="4" w:space="0"/>
            </w:tcBorders>
            <w:noWrap w:val="0"/>
            <w:vAlign w:val="center"/>
          </w:tcPr>
          <w:p w14:paraId="7E370081">
            <w:pPr>
              <w:jc w:val="center"/>
              <w:rPr>
                <w:rFonts w:hint="eastAsia" w:ascii="宋体" w:hAnsi="宋体" w:cs="仿宋_GB2312"/>
                <w:sz w:val="24"/>
              </w:rPr>
            </w:pPr>
            <w:r>
              <w:rPr>
                <w:rFonts w:hint="eastAsia" w:ascii="宋体" w:hAnsi="宋体" w:cs="仿宋_GB2312"/>
                <w:sz w:val="24"/>
              </w:rPr>
              <w:t>1</w:t>
            </w:r>
            <w:r>
              <w:rPr>
                <w:rFonts w:ascii="宋体" w:hAnsi="宋体" w:cs="仿宋_GB2312"/>
                <w:sz w:val="24"/>
              </w:rPr>
              <w:t>3757121112</w:t>
            </w:r>
          </w:p>
        </w:tc>
      </w:tr>
      <w:tr w14:paraId="5E3C3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724" w:type="dxa"/>
            <w:vMerge w:val="continue"/>
            <w:tcBorders>
              <w:right w:val="double" w:color="auto" w:sz="4" w:space="0"/>
            </w:tcBorders>
            <w:noWrap w:val="0"/>
            <w:vAlign w:val="center"/>
          </w:tcPr>
          <w:p w14:paraId="47240C5D">
            <w:pPr>
              <w:jc w:val="center"/>
              <w:rPr>
                <w:rFonts w:hint="eastAsia" w:ascii="宋体" w:hAnsi="宋体"/>
                <w:b/>
                <w:sz w:val="28"/>
                <w:szCs w:val="28"/>
              </w:rPr>
            </w:pPr>
          </w:p>
        </w:tc>
        <w:tc>
          <w:tcPr>
            <w:tcW w:w="1212" w:type="dxa"/>
            <w:tcBorders>
              <w:left w:val="double" w:color="auto" w:sz="4" w:space="0"/>
            </w:tcBorders>
            <w:noWrap w:val="0"/>
            <w:vAlign w:val="center"/>
          </w:tcPr>
          <w:p w14:paraId="5F2827AE">
            <w:pPr>
              <w:jc w:val="center"/>
              <w:rPr>
                <w:rFonts w:hint="eastAsia" w:ascii="宋体" w:hAnsi="宋体" w:cs="仿宋_GB2312"/>
                <w:sz w:val="24"/>
              </w:rPr>
            </w:pPr>
            <w:r>
              <w:rPr>
                <w:rFonts w:hint="eastAsia" w:ascii="宋体" w:hAnsi="宋体" w:cs="仿宋_GB2312"/>
                <w:sz w:val="24"/>
              </w:rPr>
              <w:t>吴雨萱</w:t>
            </w:r>
          </w:p>
        </w:tc>
        <w:tc>
          <w:tcPr>
            <w:tcW w:w="1987" w:type="dxa"/>
            <w:noWrap w:val="0"/>
            <w:vAlign w:val="center"/>
          </w:tcPr>
          <w:p w14:paraId="443CD038">
            <w:pPr>
              <w:jc w:val="center"/>
              <w:rPr>
                <w:rFonts w:hint="eastAsia" w:ascii="宋体" w:hAnsi="宋体" w:cs="仿宋_GB2312"/>
                <w:sz w:val="24"/>
              </w:rPr>
            </w:pPr>
            <w:r>
              <w:rPr>
                <w:rFonts w:hint="eastAsia" w:ascii="宋体" w:hAnsi="宋体" w:cs="仿宋_GB2312"/>
                <w:sz w:val="24"/>
              </w:rPr>
              <w:t>3</w:t>
            </w:r>
            <w:r>
              <w:rPr>
                <w:rFonts w:ascii="宋体" w:hAnsi="宋体" w:cs="仿宋_GB2312"/>
                <w:sz w:val="24"/>
              </w:rPr>
              <w:t>240102494</w:t>
            </w:r>
          </w:p>
        </w:tc>
        <w:tc>
          <w:tcPr>
            <w:tcW w:w="1415" w:type="dxa"/>
            <w:tcBorders>
              <w:right w:val="single" w:color="auto" w:sz="4" w:space="0"/>
            </w:tcBorders>
            <w:noWrap w:val="0"/>
            <w:vAlign w:val="center"/>
          </w:tcPr>
          <w:p w14:paraId="53E538CD">
            <w:pPr>
              <w:jc w:val="center"/>
              <w:rPr>
                <w:rFonts w:hint="eastAsia" w:ascii="宋体" w:hAnsi="宋体" w:cs="仿宋_GB2312"/>
                <w:sz w:val="24"/>
              </w:rPr>
            </w:pPr>
            <w:r>
              <w:rPr>
                <w:rFonts w:hint="eastAsia" w:ascii="宋体" w:hAnsi="宋体" w:cs="仿宋_GB2312"/>
                <w:sz w:val="24"/>
              </w:rPr>
              <w:t>求是学院丹青学园</w:t>
            </w:r>
          </w:p>
        </w:tc>
        <w:tc>
          <w:tcPr>
            <w:tcW w:w="2223" w:type="dxa"/>
            <w:tcBorders>
              <w:left w:val="single" w:color="auto" w:sz="4" w:space="0"/>
              <w:right w:val="double" w:color="auto" w:sz="4" w:space="0"/>
            </w:tcBorders>
            <w:noWrap w:val="0"/>
            <w:vAlign w:val="center"/>
          </w:tcPr>
          <w:p w14:paraId="17821365">
            <w:pPr>
              <w:jc w:val="center"/>
              <w:rPr>
                <w:rFonts w:hint="eastAsia" w:ascii="宋体" w:hAnsi="宋体" w:cs="仿宋_GB2312"/>
                <w:sz w:val="24"/>
              </w:rPr>
            </w:pPr>
            <w:r>
              <w:rPr>
                <w:rFonts w:hint="eastAsia" w:ascii="宋体" w:hAnsi="宋体" w:cs="仿宋_GB2312"/>
                <w:sz w:val="24"/>
              </w:rPr>
              <w:t>1</w:t>
            </w:r>
            <w:r>
              <w:rPr>
                <w:rFonts w:ascii="宋体" w:hAnsi="宋体" w:cs="仿宋_GB2312"/>
                <w:sz w:val="24"/>
              </w:rPr>
              <w:t>3715257597</w:t>
            </w:r>
          </w:p>
        </w:tc>
      </w:tr>
      <w:tr w14:paraId="39D3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724" w:type="dxa"/>
            <w:vMerge w:val="continue"/>
            <w:tcBorders>
              <w:right w:val="double" w:color="auto" w:sz="4" w:space="0"/>
            </w:tcBorders>
            <w:noWrap w:val="0"/>
            <w:vAlign w:val="center"/>
          </w:tcPr>
          <w:p w14:paraId="2046EF8E">
            <w:pPr>
              <w:jc w:val="center"/>
              <w:rPr>
                <w:rFonts w:hint="eastAsia" w:ascii="宋体" w:hAnsi="宋体"/>
                <w:b/>
                <w:sz w:val="28"/>
                <w:szCs w:val="28"/>
              </w:rPr>
            </w:pPr>
          </w:p>
        </w:tc>
        <w:tc>
          <w:tcPr>
            <w:tcW w:w="1212" w:type="dxa"/>
            <w:tcBorders>
              <w:left w:val="double" w:color="auto" w:sz="4" w:space="0"/>
            </w:tcBorders>
            <w:noWrap w:val="0"/>
            <w:vAlign w:val="center"/>
          </w:tcPr>
          <w:p w14:paraId="3E1D3C8F">
            <w:pPr>
              <w:jc w:val="center"/>
              <w:rPr>
                <w:rFonts w:hint="eastAsia" w:ascii="宋体" w:hAnsi="宋体" w:cs="仿宋_GB2312"/>
                <w:sz w:val="24"/>
              </w:rPr>
            </w:pPr>
            <w:r>
              <w:rPr>
                <w:rFonts w:hint="eastAsia" w:ascii="宋体" w:hAnsi="宋体" w:cs="仿宋_GB2312"/>
                <w:sz w:val="24"/>
              </w:rPr>
              <w:t>张倚晴</w:t>
            </w:r>
          </w:p>
        </w:tc>
        <w:tc>
          <w:tcPr>
            <w:tcW w:w="1987" w:type="dxa"/>
            <w:noWrap w:val="0"/>
            <w:vAlign w:val="center"/>
          </w:tcPr>
          <w:p w14:paraId="2EF2CFDC">
            <w:pPr>
              <w:jc w:val="center"/>
              <w:rPr>
                <w:rFonts w:hint="eastAsia" w:ascii="宋体" w:hAnsi="宋体" w:cs="仿宋_GB2312"/>
                <w:sz w:val="24"/>
              </w:rPr>
            </w:pPr>
            <w:r>
              <w:rPr>
                <w:rFonts w:hint="eastAsia" w:ascii="宋体" w:hAnsi="宋体" w:cs="仿宋_GB2312"/>
                <w:sz w:val="24"/>
              </w:rPr>
              <w:t>3</w:t>
            </w:r>
            <w:r>
              <w:rPr>
                <w:rFonts w:ascii="宋体" w:hAnsi="宋体" w:cs="仿宋_GB2312"/>
                <w:sz w:val="24"/>
              </w:rPr>
              <w:t>240103337</w:t>
            </w:r>
          </w:p>
        </w:tc>
        <w:tc>
          <w:tcPr>
            <w:tcW w:w="1415" w:type="dxa"/>
            <w:tcBorders>
              <w:right w:val="single" w:color="auto" w:sz="4" w:space="0"/>
            </w:tcBorders>
            <w:noWrap w:val="0"/>
            <w:vAlign w:val="center"/>
          </w:tcPr>
          <w:p w14:paraId="791F0265">
            <w:pPr>
              <w:jc w:val="center"/>
              <w:rPr>
                <w:rFonts w:hint="eastAsia" w:ascii="宋体" w:hAnsi="宋体" w:cs="仿宋_GB2312"/>
                <w:sz w:val="24"/>
              </w:rPr>
            </w:pPr>
            <w:r>
              <w:rPr>
                <w:rFonts w:hint="eastAsia" w:ascii="宋体" w:hAnsi="宋体" w:cs="仿宋_GB2312"/>
                <w:sz w:val="24"/>
              </w:rPr>
              <w:t>求是学院丹青学园</w:t>
            </w:r>
          </w:p>
        </w:tc>
        <w:tc>
          <w:tcPr>
            <w:tcW w:w="2223" w:type="dxa"/>
            <w:tcBorders>
              <w:left w:val="single" w:color="auto" w:sz="4" w:space="0"/>
              <w:right w:val="double" w:color="auto" w:sz="4" w:space="0"/>
            </w:tcBorders>
            <w:noWrap w:val="0"/>
            <w:vAlign w:val="center"/>
          </w:tcPr>
          <w:p w14:paraId="3B53D914">
            <w:pPr>
              <w:jc w:val="center"/>
              <w:rPr>
                <w:rFonts w:hint="eastAsia" w:ascii="宋体" w:hAnsi="宋体" w:cs="仿宋_GB2312"/>
                <w:sz w:val="24"/>
              </w:rPr>
            </w:pPr>
            <w:r>
              <w:rPr>
                <w:rFonts w:hint="eastAsia" w:ascii="宋体" w:hAnsi="宋体" w:cs="仿宋_GB2312"/>
                <w:sz w:val="24"/>
              </w:rPr>
              <w:t>1</w:t>
            </w:r>
            <w:r>
              <w:rPr>
                <w:rFonts w:ascii="宋体" w:hAnsi="宋体" w:cs="仿宋_GB2312"/>
                <w:sz w:val="24"/>
              </w:rPr>
              <w:t>5967922407</w:t>
            </w:r>
          </w:p>
        </w:tc>
      </w:tr>
      <w:tr w14:paraId="76418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724" w:type="dxa"/>
            <w:vMerge w:val="continue"/>
            <w:tcBorders>
              <w:right w:val="double" w:color="auto" w:sz="4" w:space="0"/>
            </w:tcBorders>
            <w:noWrap w:val="0"/>
            <w:vAlign w:val="center"/>
          </w:tcPr>
          <w:p w14:paraId="286330BD">
            <w:pPr>
              <w:jc w:val="center"/>
              <w:rPr>
                <w:rFonts w:hint="eastAsia" w:ascii="宋体" w:hAnsi="宋体"/>
                <w:b/>
                <w:sz w:val="28"/>
                <w:szCs w:val="28"/>
              </w:rPr>
            </w:pPr>
          </w:p>
        </w:tc>
        <w:tc>
          <w:tcPr>
            <w:tcW w:w="1212" w:type="dxa"/>
            <w:tcBorders>
              <w:left w:val="double" w:color="auto" w:sz="4" w:space="0"/>
            </w:tcBorders>
            <w:noWrap w:val="0"/>
            <w:vAlign w:val="center"/>
          </w:tcPr>
          <w:p w14:paraId="516263F1">
            <w:pPr>
              <w:jc w:val="center"/>
              <w:rPr>
                <w:rFonts w:hint="eastAsia" w:ascii="宋体" w:hAnsi="宋体" w:cs="仿宋_GB2312"/>
                <w:sz w:val="24"/>
              </w:rPr>
            </w:pPr>
            <w:r>
              <w:rPr>
                <w:rFonts w:hint="eastAsia" w:ascii="宋体" w:hAnsi="宋体" w:cs="仿宋_GB2312"/>
                <w:sz w:val="24"/>
              </w:rPr>
              <w:t>周婧璇</w:t>
            </w:r>
          </w:p>
        </w:tc>
        <w:tc>
          <w:tcPr>
            <w:tcW w:w="1987" w:type="dxa"/>
            <w:noWrap w:val="0"/>
            <w:vAlign w:val="center"/>
          </w:tcPr>
          <w:p w14:paraId="486FE791">
            <w:pPr>
              <w:jc w:val="center"/>
              <w:rPr>
                <w:rFonts w:hint="eastAsia" w:ascii="宋体" w:hAnsi="宋体" w:cs="仿宋_GB2312"/>
                <w:sz w:val="24"/>
              </w:rPr>
            </w:pPr>
            <w:r>
              <w:rPr>
                <w:rFonts w:hint="eastAsia" w:ascii="宋体" w:hAnsi="宋体" w:cs="仿宋_GB2312"/>
                <w:sz w:val="24"/>
              </w:rPr>
              <w:t>3</w:t>
            </w:r>
            <w:r>
              <w:rPr>
                <w:rFonts w:ascii="宋体" w:hAnsi="宋体" w:cs="仿宋_GB2312"/>
                <w:sz w:val="24"/>
              </w:rPr>
              <w:t>240102613</w:t>
            </w:r>
          </w:p>
        </w:tc>
        <w:tc>
          <w:tcPr>
            <w:tcW w:w="1415" w:type="dxa"/>
            <w:tcBorders>
              <w:right w:val="single" w:color="auto" w:sz="4" w:space="0"/>
            </w:tcBorders>
            <w:noWrap w:val="0"/>
            <w:vAlign w:val="center"/>
          </w:tcPr>
          <w:p w14:paraId="318D28A4">
            <w:pPr>
              <w:jc w:val="center"/>
              <w:rPr>
                <w:rFonts w:hint="eastAsia" w:ascii="宋体" w:hAnsi="宋体" w:cs="仿宋_GB2312"/>
                <w:sz w:val="24"/>
              </w:rPr>
            </w:pPr>
            <w:r>
              <w:rPr>
                <w:rFonts w:hint="eastAsia" w:ascii="宋体" w:hAnsi="宋体" w:cs="仿宋_GB2312"/>
                <w:sz w:val="24"/>
              </w:rPr>
              <w:t>求是学院蓝田学园</w:t>
            </w:r>
          </w:p>
        </w:tc>
        <w:tc>
          <w:tcPr>
            <w:tcW w:w="2223" w:type="dxa"/>
            <w:tcBorders>
              <w:left w:val="single" w:color="auto" w:sz="4" w:space="0"/>
              <w:right w:val="double" w:color="auto" w:sz="4" w:space="0"/>
            </w:tcBorders>
            <w:noWrap w:val="0"/>
            <w:vAlign w:val="center"/>
          </w:tcPr>
          <w:p w14:paraId="5512ADD0">
            <w:pPr>
              <w:jc w:val="center"/>
              <w:rPr>
                <w:rFonts w:hint="eastAsia" w:ascii="宋体" w:hAnsi="宋体" w:cs="仿宋_GB2312"/>
                <w:sz w:val="24"/>
              </w:rPr>
            </w:pPr>
            <w:r>
              <w:rPr>
                <w:rFonts w:hint="eastAsia" w:ascii="宋体" w:hAnsi="宋体" w:cs="仿宋_GB2312"/>
                <w:sz w:val="24"/>
              </w:rPr>
              <w:t>1</w:t>
            </w:r>
            <w:r>
              <w:rPr>
                <w:rFonts w:ascii="宋体" w:hAnsi="宋体" w:cs="仿宋_GB2312"/>
                <w:sz w:val="24"/>
              </w:rPr>
              <w:t>9700766901</w:t>
            </w:r>
          </w:p>
        </w:tc>
      </w:tr>
      <w:tr w14:paraId="4B801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724" w:type="dxa"/>
            <w:vMerge w:val="continue"/>
            <w:tcBorders>
              <w:right w:val="double" w:color="auto" w:sz="4" w:space="0"/>
            </w:tcBorders>
            <w:noWrap w:val="0"/>
            <w:vAlign w:val="center"/>
          </w:tcPr>
          <w:p w14:paraId="500394B8">
            <w:pPr>
              <w:jc w:val="center"/>
              <w:rPr>
                <w:rFonts w:hint="eastAsia" w:ascii="宋体" w:hAnsi="宋体"/>
                <w:b/>
                <w:sz w:val="28"/>
                <w:szCs w:val="28"/>
              </w:rPr>
            </w:pPr>
          </w:p>
        </w:tc>
        <w:tc>
          <w:tcPr>
            <w:tcW w:w="1212" w:type="dxa"/>
            <w:tcBorders>
              <w:left w:val="double" w:color="auto" w:sz="4" w:space="0"/>
            </w:tcBorders>
            <w:noWrap w:val="0"/>
            <w:vAlign w:val="center"/>
          </w:tcPr>
          <w:p w14:paraId="59B43348">
            <w:pPr>
              <w:jc w:val="center"/>
              <w:rPr>
                <w:rFonts w:hint="eastAsia" w:ascii="宋体" w:hAnsi="宋体" w:cs="仿宋_GB2312"/>
                <w:sz w:val="24"/>
              </w:rPr>
            </w:pPr>
            <w:r>
              <w:rPr>
                <w:rFonts w:hint="eastAsia" w:ascii="宋体" w:hAnsi="宋体" w:cs="仿宋_GB2312"/>
                <w:sz w:val="24"/>
              </w:rPr>
              <w:t>伍睿祎</w:t>
            </w:r>
          </w:p>
        </w:tc>
        <w:tc>
          <w:tcPr>
            <w:tcW w:w="1987" w:type="dxa"/>
            <w:noWrap w:val="0"/>
            <w:vAlign w:val="center"/>
          </w:tcPr>
          <w:p w14:paraId="0DCA5D43">
            <w:pPr>
              <w:jc w:val="center"/>
              <w:rPr>
                <w:rFonts w:hint="eastAsia" w:ascii="宋体" w:hAnsi="宋体" w:cs="仿宋_GB2312"/>
                <w:sz w:val="24"/>
              </w:rPr>
            </w:pPr>
            <w:r>
              <w:rPr>
                <w:rFonts w:hint="eastAsia" w:ascii="宋体" w:hAnsi="宋体" w:cs="仿宋_GB2312"/>
                <w:sz w:val="24"/>
              </w:rPr>
              <w:t>3</w:t>
            </w:r>
            <w:r>
              <w:rPr>
                <w:rFonts w:ascii="宋体" w:hAnsi="宋体" w:cs="仿宋_GB2312"/>
                <w:sz w:val="24"/>
              </w:rPr>
              <w:t>240105204</w:t>
            </w:r>
          </w:p>
        </w:tc>
        <w:tc>
          <w:tcPr>
            <w:tcW w:w="1415" w:type="dxa"/>
            <w:tcBorders>
              <w:right w:val="single" w:color="auto" w:sz="4" w:space="0"/>
            </w:tcBorders>
            <w:noWrap w:val="0"/>
            <w:vAlign w:val="center"/>
          </w:tcPr>
          <w:p w14:paraId="45BBE99A">
            <w:pPr>
              <w:jc w:val="center"/>
              <w:rPr>
                <w:rFonts w:hint="eastAsia" w:ascii="宋体" w:hAnsi="宋体" w:cs="仿宋_GB2312"/>
                <w:sz w:val="24"/>
              </w:rPr>
            </w:pPr>
            <w:r>
              <w:rPr>
                <w:rFonts w:hint="eastAsia" w:ascii="宋体" w:hAnsi="宋体" w:cs="仿宋_GB2312"/>
                <w:sz w:val="24"/>
              </w:rPr>
              <w:t>求是学院丹青学园</w:t>
            </w:r>
          </w:p>
        </w:tc>
        <w:tc>
          <w:tcPr>
            <w:tcW w:w="2223" w:type="dxa"/>
            <w:tcBorders>
              <w:left w:val="single" w:color="auto" w:sz="4" w:space="0"/>
              <w:right w:val="double" w:color="auto" w:sz="4" w:space="0"/>
            </w:tcBorders>
            <w:noWrap w:val="0"/>
            <w:vAlign w:val="center"/>
          </w:tcPr>
          <w:p w14:paraId="5652BB9A">
            <w:pPr>
              <w:jc w:val="center"/>
              <w:rPr>
                <w:rFonts w:hint="eastAsia" w:ascii="宋体" w:hAnsi="宋体" w:cs="仿宋_GB2312"/>
                <w:sz w:val="24"/>
              </w:rPr>
            </w:pPr>
            <w:r>
              <w:rPr>
                <w:rFonts w:hint="eastAsia" w:ascii="宋体" w:hAnsi="宋体" w:cs="仿宋_GB2312"/>
                <w:sz w:val="24"/>
              </w:rPr>
              <w:t>19817168591</w:t>
            </w:r>
          </w:p>
        </w:tc>
      </w:tr>
      <w:tr w14:paraId="0B013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4" w:type="dxa"/>
            <w:vMerge w:val="restart"/>
            <w:noWrap w:val="0"/>
            <w:vAlign w:val="center"/>
          </w:tcPr>
          <w:p w14:paraId="44C29053">
            <w:pPr>
              <w:jc w:val="center"/>
              <w:rPr>
                <w:rFonts w:hint="eastAsia" w:ascii="宋体" w:hAnsi="宋体"/>
                <w:b/>
                <w:bCs/>
                <w:sz w:val="28"/>
              </w:rPr>
            </w:pPr>
            <w:r>
              <w:rPr>
                <w:rFonts w:hint="eastAsia" w:ascii="宋体" w:hAnsi="宋体"/>
                <w:b/>
                <w:bCs/>
                <w:sz w:val="28"/>
              </w:rPr>
              <w:t>指导教师</w:t>
            </w:r>
          </w:p>
        </w:tc>
        <w:tc>
          <w:tcPr>
            <w:tcW w:w="1212" w:type="dxa"/>
            <w:noWrap w:val="0"/>
            <w:vAlign w:val="center"/>
          </w:tcPr>
          <w:p w14:paraId="3D11856A">
            <w:pPr>
              <w:jc w:val="center"/>
              <w:rPr>
                <w:rFonts w:hint="eastAsia" w:ascii="宋体" w:hAnsi="宋体"/>
                <w:b/>
                <w:bCs/>
                <w:sz w:val="28"/>
                <w:szCs w:val="28"/>
              </w:rPr>
            </w:pPr>
            <w:r>
              <w:rPr>
                <w:rFonts w:hint="eastAsia" w:ascii="宋体" w:hAnsi="宋体"/>
                <w:b/>
                <w:bCs/>
                <w:sz w:val="28"/>
                <w:szCs w:val="28"/>
              </w:rPr>
              <w:t>姓 名</w:t>
            </w:r>
          </w:p>
        </w:tc>
        <w:tc>
          <w:tcPr>
            <w:tcW w:w="1987" w:type="dxa"/>
            <w:noWrap w:val="0"/>
            <w:vAlign w:val="center"/>
          </w:tcPr>
          <w:p w14:paraId="2563C4C6">
            <w:pPr>
              <w:jc w:val="center"/>
              <w:rPr>
                <w:rFonts w:hint="eastAsia" w:ascii="宋体" w:hAnsi="宋体"/>
                <w:b/>
                <w:bCs/>
                <w:sz w:val="28"/>
                <w:szCs w:val="28"/>
              </w:rPr>
            </w:pPr>
            <w:r>
              <w:rPr>
                <w:rFonts w:hint="eastAsia" w:ascii="宋体" w:hAnsi="宋体"/>
                <w:b/>
                <w:bCs/>
                <w:sz w:val="28"/>
                <w:szCs w:val="28"/>
              </w:rPr>
              <w:t>职称职务</w:t>
            </w:r>
          </w:p>
        </w:tc>
        <w:tc>
          <w:tcPr>
            <w:tcW w:w="1415" w:type="dxa"/>
            <w:noWrap w:val="0"/>
            <w:vAlign w:val="center"/>
          </w:tcPr>
          <w:p w14:paraId="24DB1AB2">
            <w:pPr>
              <w:jc w:val="center"/>
              <w:rPr>
                <w:rFonts w:hint="eastAsia" w:ascii="宋体" w:hAnsi="宋体"/>
                <w:b/>
                <w:bCs/>
                <w:sz w:val="28"/>
                <w:szCs w:val="28"/>
              </w:rPr>
            </w:pPr>
            <w:r>
              <w:rPr>
                <w:rFonts w:hint="eastAsia" w:ascii="宋体" w:hAnsi="宋体"/>
                <w:b/>
                <w:bCs/>
                <w:sz w:val="28"/>
                <w:szCs w:val="28"/>
              </w:rPr>
              <w:t>所在单位</w:t>
            </w:r>
          </w:p>
        </w:tc>
        <w:tc>
          <w:tcPr>
            <w:tcW w:w="2223" w:type="dxa"/>
            <w:noWrap w:val="0"/>
            <w:vAlign w:val="center"/>
          </w:tcPr>
          <w:p w14:paraId="4667A013">
            <w:pPr>
              <w:jc w:val="center"/>
              <w:rPr>
                <w:rFonts w:hint="eastAsia" w:ascii="宋体" w:hAnsi="宋体"/>
                <w:b/>
                <w:bCs/>
                <w:sz w:val="28"/>
                <w:szCs w:val="28"/>
              </w:rPr>
            </w:pPr>
            <w:r>
              <w:rPr>
                <w:rFonts w:hint="eastAsia" w:ascii="宋体" w:hAnsi="宋体"/>
                <w:b/>
                <w:bCs/>
                <w:sz w:val="28"/>
                <w:szCs w:val="28"/>
              </w:rPr>
              <w:t>联系方式</w:t>
            </w:r>
          </w:p>
        </w:tc>
      </w:tr>
      <w:tr w14:paraId="3449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724" w:type="dxa"/>
            <w:vMerge w:val="continue"/>
            <w:noWrap w:val="0"/>
            <w:vAlign w:val="center"/>
          </w:tcPr>
          <w:p w14:paraId="16D83B86">
            <w:pPr>
              <w:jc w:val="center"/>
              <w:rPr>
                <w:rFonts w:hint="eastAsia" w:ascii="宋体" w:hAnsi="宋体"/>
                <w:b/>
                <w:bCs/>
                <w:sz w:val="28"/>
              </w:rPr>
            </w:pPr>
          </w:p>
        </w:tc>
        <w:tc>
          <w:tcPr>
            <w:tcW w:w="1212" w:type="dxa"/>
            <w:noWrap w:val="0"/>
            <w:vAlign w:val="center"/>
          </w:tcPr>
          <w:p w14:paraId="0DFF29DC">
            <w:pPr>
              <w:jc w:val="center"/>
              <w:rPr>
                <w:rFonts w:hint="eastAsia" w:ascii="宋体" w:hAnsi="宋体" w:cs="仿宋_GB2312"/>
                <w:sz w:val="24"/>
                <w:szCs w:val="24"/>
                <w:lang w:val="en-US" w:eastAsia="zh-CN"/>
              </w:rPr>
            </w:pPr>
            <w:r>
              <w:rPr>
                <w:rFonts w:hint="eastAsia" w:ascii="宋体" w:hAnsi="宋体" w:cs="仿宋_GB2312"/>
                <w:sz w:val="24"/>
                <w:szCs w:val="24"/>
                <w:lang w:val="en-US" w:eastAsia="zh-CN"/>
              </w:rPr>
              <w:t>戴俊飞</w:t>
            </w:r>
          </w:p>
        </w:tc>
        <w:tc>
          <w:tcPr>
            <w:tcW w:w="1987" w:type="dxa"/>
            <w:noWrap w:val="0"/>
            <w:vAlign w:val="center"/>
          </w:tcPr>
          <w:p w14:paraId="071D4596">
            <w:pPr>
              <w:jc w:val="center"/>
              <w:rPr>
                <w:rFonts w:hint="eastAsia" w:ascii="宋体" w:hAnsi="宋体" w:cs="仿宋_GB2312" w:eastAsiaTheme="minorEastAsia"/>
                <w:sz w:val="24"/>
                <w:szCs w:val="24"/>
                <w:lang w:val="en-US" w:eastAsia="zh-CN"/>
              </w:rPr>
            </w:pPr>
            <w:r>
              <w:rPr>
                <w:rFonts w:hint="eastAsia" w:ascii="宋体" w:hAnsi="宋体" w:cs="仿宋_GB2312"/>
                <w:sz w:val="24"/>
                <w:szCs w:val="24"/>
                <w:lang w:val="en-US" w:eastAsia="zh-CN"/>
              </w:rPr>
              <w:t>副教授</w:t>
            </w:r>
          </w:p>
        </w:tc>
        <w:tc>
          <w:tcPr>
            <w:tcW w:w="1415" w:type="dxa"/>
            <w:noWrap w:val="0"/>
            <w:vAlign w:val="center"/>
          </w:tcPr>
          <w:p w14:paraId="0E4353B2">
            <w:pPr>
              <w:jc w:val="center"/>
              <w:rPr>
                <w:rFonts w:hint="eastAsia" w:ascii="宋体" w:hAnsi="宋体" w:cs="仿宋_GB2312" w:eastAsiaTheme="minorEastAsia"/>
                <w:b/>
                <w:bCs/>
                <w:sz w:val="24"/>
                <w:szCs w:val="24"/>
                <w:lang w:val="en-US" w:eastAsia="zh-CN"/>
              </w:rPr>
            </w:pPr>
            <w:r>
              <w:rPr>
                <w:rFonts w:hint="eastAsia" w:ascii="宋体" w:hAnsi="宋体" w:cs="仿宋_GB2312"/>
                <w:b w:val="0"/>
                <w:bCs w:val="0"/>
                <w:sz w:val="24"/>
                <w:szCs w:val="24"/>
                <w:lang w:val="en-US" w:eastAsia="zh-CN"/>
              </w:rPr>
              <w:t>数学科学学院</w:t>
            </w:r>
          </w:p>
        </w:tc>
        <w:tc>
          <w:tcPr>
            <w:tcW w:w="2223" w:type="dxa"/>
            <w:noWrap w:val="0"/>
            <w:vAlign w:val="center"/>
          </w:tcPr>
          <w:p w14:paraId="461880C2">
            <w:pPr>
              <w:jc w:val="center"/>
              <w:rPr>
                <w:rFonts w:hint="default" w:ascii="宋体" w:hAnsi="宋体" w:cs="仿宋_GB2312" w:eastAsiaTheme="minorEastAsia"/>
                <w:b/>
                <w:bCs/>
                <w:sz w:val="24"/>
                <w:szCs w:val="24"/>
                <w:lang w:val="en-US" w:eastAsia="zh-CN"/>
              </w:rPr>
            </w:pPr>
            <w:r>
              <w:rPr>
                <w:rFonts w:hint="eastAsia" w:ascii="宋体" w:hAnsi="宋体" w:cs="仿宋_GB2312"/>
                <w:b w:val="0"/>
                <w:bCs w:val="0"/>
                <w:sz w:val="24"/>
                <w:szCs w:val="24"/>
                <w:lang w:val="en-US" w:eastAsia="zh-CN"/>
              </w:rPr>
              <w:t>13606808063</w:t>
            </w:r>
          </w:p>
        </w:tc>
      </w:tr>
      <w:tr w14:paraId="532E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724" w:type="dxa"/>
            <w:noWrap w:val="0"/>
            <w:vAlign w:val="center"/>
          </w:tcPr>
          <w:p w14:paraId="21139636">
            <w:pPr>
              <w:jc w:val="center"/>
              <w:rPr>
                <w:rFonts w:hint="eastAsia" w:ascii="宋体" w:hAnsi="宋体" w:eastAsiaTheme="minorEastAsia"/>
                <w:b/>
                <w:bCs/>
                <w:sz w:val="28"/>
                <w:lang w:val="en-US" w:eastAsia="zh-CN"/>
              </w:rPr>
            </w:pPr>
            <w:r>
              <w:rPr>
                <w:rFonts w:hint="eastAsia" w:ascii="宋体" w:hAnsi="宋体"/>
                <w:b/>
                <w:bCs/>
                <w:sz w:val="28"/>
              </w:rPr>
              <w:t>背景概述</w:t>
            </w:r>
          </w:p>
        </w:tc>
        <w:tc>
          <w:tcPr>
            <w:tcW w:w="6837" w:type="dxa"/>
            <w:gridSpan w:val="4"/>
            <w:noWrap w:val="0"/>
            <w:vAlign w:val="center"/>
          </w:tcPr>
          <w:p w14:paraId="46A90CA8">
            <w:pPr>
              <w:numPr>
                <w:ilvl w:val="0"/>
                <w:numId w:val="0"/>
              </w:numPr>
              <w:spacing w:line="240" w:lineRule="auto"/>
              <w:ind w:firstLine="440" w:firstLineChars="200"/>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浙江大学紫金港校区内，电瓶车已成为师生日常出行的核心工具。随着保有量持续增长，充电基础设施的滞后问题日益突出：宿舍区充电桩数量严重不足，教学楼、食堂等高频区域布局分散且标识缺失，部分区域（如蓝田学园）甚至未设置充电点位。</w:t>
            </w:r>
          </w:p>
          <w:p w14:paraId="2350E025">
            <w:pPr>
              <w:numPr>
                <w:ilvl w:val="0"/>
                <w:numId w:val="0"/>
              </w:numPr>
              <w:spacing w:line="240" w:lineRule="auto"/>
              <w:ind w:firstLine="440" w:firstLineChars="200"/>
              <w:rPr>
                <w:rFonts w:hint="eastAsia" w:asciiTheme="minorEastAsia" w:hAnsiTheme="minorEastAsia" w:cstheme="minorEastAsia"/>
                <w:sz w:val="22"/>
                <w:szCs w:val="22"/>
                <w:lang w:val="en-US" w:eastAsia="zh-CN"/>
              </w:rPr>
            </w:pPr>
            <w:r>
              <w:rPr>
                <w:rFonts w:hint="eastAsia" w:asciiTheme="minorEastAsia" w:hAnsiTheme="minorEastAsia" w:cstheme="minorEastAsia"/>
                <w:sz w:val="22"/>
                <w:szCs w:val="22"/>
                <w:lang w:val="en-US" w:eastAsia="zh-CN"/>
              </w:rPr>
              <w:t>同时，充电设备老化损坏、维修不及时、车辆停放混乱等问题普遍存在，充电区域缺乏必要的消防设施与管理规范，安全隐患显著。对比校外商业区充电点的合理布局与高效维护，校内充电服务在资源配置、管理效率和用户体验上均存在明显优化空间。</w:t>
            </w:r>
          </w:p>
          <w:p w14:paraId="63C39F85">
            <w:pPr>
              <w:numPr>
                <w:ilvl w:val="0"/>
                <w:numId w:val="0"/>
              </w:numPr>
              <w:spacing w:line="240" w:lineRule="auto"/>
              <w:ind w:firstLine="440" w:firstLineChars="200"/>
              <w:rPr>
                <w:rFonts w:hint="eastAsia" w:ascii="宋体" w:hAnsi="宋体" w:cs="仿宋_GB2312"/>
                <w:b/>
                <w:bCs/>
                <w:sz w:val="28"/>
              </w:rPr>
            </w:pPr>
            <w:r>
              <w:rPr>
                <w:rFonts w:hint="eastAsia" w:asciiTheme="minorEastAsia" w:hAnsiTheme="minorEastAsia" w:cstheme="minorEastAsia"/>
                <w:sz w:val="22"/>
                <w:szCs w:val="22"/>
                <w:lang w:val="en-US" w:eastAsia="zh-CN"/>
              </w:rPr>
              <w:t>项目组通过问卷调研（有效样本63份）、深度访谈及多场景实地考察，计划以数字化工具（小程序开发）结合管理机制创新，系统性改善充电体验。</w:t>
            </w:r>
          </w:p>
        </w:tc>
      </w:tr>
      <w:tr w14:paraId="2538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8561" w:type="dxa"/>
            <w:gridSpan w:val="5"/>
            <w:noWrap w:val="0"/>
            <w:vAlign w:val="center"/>
          </w:tcPr>
          <w:p w14:paraId="6CBDDD2A">
            <w:pPr>
              <w:numPr>
                <w:ilvl w:val="0"/>
                <w:numId w:val="0"/>
              </w:numPr>
              <w:spacing w:line="480" w:lineRule="auto"/>
              <w:rPr>
                <w:rFonts w:hint="eastAsia" w:asciiTheme="minorEastAsia" w:hAnsiTheme="minorEastAsia" w:eastAsiaTheme="minorEastAsia" w:cstheme="minorEastAsia"/>
                <w:sz w:val="24"/>
                <w:szCs w:val="21"/>
              </w:rPr>
            </w:pPr>
            <w:r>
              <w:rPr>
                <w:rFonts w:hint="eastAsia" w:eastAsia="黑体"/>
                <w:sz w:val="30"/>
              </w:rPr>
              <w:t>二、立项背景与项目意义</w:t>
            </w:r>
          </w:p>
        </w:tc>
      </w:tr>
      <w:tr w14:paraId="6B539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8561" w:type="dxa"/>
            <w:gridSpan w:val="5"/>
            <w:noWrap w:val="0"/>
            <w:vAlign w:val="center"/>
          </w:tcPr>
          <w:p w14:paraId="5045DE8A">
            <w:pPr>
              <w:numPr>
                <w:ilvl w:val="0"/>
                <w:numId w:val="0"/>
              </w:numPr>
              <w:spacing w:line="240" w:lineRule="auto"/>
              <w:rPr>
                <w:rFonts w:hint="eastAsia" w:asciiTheme="minorEastAsia" w:hAnsiTheme="minorEastAsia" w:cstheme="minorEastAsia"/>
                <w:b/>
                <w:bCs/>
                <w:sz w:val="24"/>
                <w:szCs w:val="24"/>
                <w:lang w:val="en-US" w:eastAsia="zh-CN"/>
              </w:rPr>
            </w:pPr>
          </w:p>
          <w:p w14:paraId="7BFEFFBD">
            <w:pPr>
              <w:numPr>
                <w:ilvl w:val="0"/>
                <w:numId w:val="0"/>
              </w:numPr>
              <w:spacing w:line="240" w:lineRule="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（一）立项背景</w:t>
            </w:r>
          </w:p>
          <w:p w14:paraId="66786F62">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（1）基础设施供需失衡制约校园出行效率</w:t>
            </w:r>
          </w:p>
          <w:p w14:paraId="64790D2A">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紫金港校区内，宿舍区作为电瓶车停放最密集的区域，充电桩数量远不能满足充电需求，高峰期“早起抢位”现象频发。教学楼周边充电桩布局不合理，如东四教学楼等主要教学区域，充电桩数量与日均充电需求差距悬殊，师生不得不跨区域寻找充电点位，耗时费力。此外，部分充电点位置隐蔽、缺乏指引标识，导致资源利用率低下，进一步加剧了供需矛盾。</w:t>
            </w:r>
          </w:p>
          <w:p w14:paraId="36AFF5BF">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（2）管理机制缺失引发安全与秩序问题</w:t>
            </w:r>
          </w:p>
          <w:p w14:paraId="1E893CCD">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校区内部分充电桩存在接口松动、计费异常等故障，但维修响应周期长达一周，导致故障设备长期闲置。同时，充电区域缺乏常态化管理，非充电车辆占用车位、违规插拔他人充电线等行为屡禁不止，许多充电位被长期占用。此外，多数充电点未配备消防器材，车辆停放混乱堵塞应急通道，私拉电线等违规充电现象频发，存在严重消防安全隐患。</w:t>
            </w:r>
          </w:p>
          <w:p w14:paraId="65F7F57D">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（3）服务模式滞后与智能化需求的矛盾</w:t>
            </w:r>
          </w:p>
          <w:p w14:paraId="3CE27419">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代大学生对校园服务的数字化、便捷化需求强烈，但校内充电仍依赖“线下随机寻找+人工管理”的传统模式，无法满足实时查询桩位状态、预约充电等核心诉求。校外商业区充电点通过清晰标识、智能管理和高频维护，显著提升了用户体验，反观校内服务模式，其滞后性已难以适应师生对高效、智能校园生活的期待。</w:t>
            </w:r>
          </w:p>
          <w:p w14:paraId="4EE8BA2B">
            <w:pPr>
              <w:numPr>
                <w:ilvl w:val="0"/>
                <w:numId w:val="0"/>
              </w:numPr>
              <w:spacing w:line="240" w:lineRule="auto"/>
              <w:rPr>
                <w:rFonts w:hint="eastAsia" w:asciiTheme="minorEastAsia" w:hAnsiTheme="minorEastAsia" w:cstheme="minorEastAsia"/>
                <w:sz w:val="24"/>
                <w:szCs w:val="24"/>
                <w:lang w:val="en-US" w:eastAsia="zh-CN"/>
              </w:rPr>
            </w:pPr>
          </w:p>
          <w:p w14:paraId="22F84FAB">
            <w:pPr>
              <w:numPr>
                <w:ilvl w:val="0"/>
                <w:numId w:val="0"/>
              </w:numPr>
              <w:spacing w:line="240" w:lineRule="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（二）项目意义</w:t>
            </w:r>
          </w:p>
          <w:p w14:paraId="0ACA37AE">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（1）聚焦民生需求，提升校园服务质量</w:t>
            </w:r>
          </w:p>
          <w:p w14:paraId="33F82A69">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通过科学规划充电桩布局、增加重点区域设备投放（如宿舍区、教学楼），可直接缓解“充电难、充电远”的现实困境，减少师生通勤时间浪费。同步推进充电区域硬件升级（如加装雨棚、消防设施），既能改善恶劣天气下的使用体验，又能延长设备使用寿命，提升服务的稳定性与安全性。</w:t>
            </w:r>
          </w:p>
          <w:p w14:paraId="3F99DE3D">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（2）创新治理模式，探索高校协同管理路径</w:t>
            </w:r>
          </w:p>
          <w:p w14:paraId="2CAA6807">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·技术驱动升级：开发充电管理小程序，实现桩位状态实时查询、预约充电、故障报修等功能，将数字化技术融入校园服务，为后勤管理智能化提供可复制的技术模板。</w:t>
            </w:r>
          </w:p>
          <w:p w14:paraId="45DBBC3F">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·协同治理实践：借鉴校外“使用者参与管理”的模式，建立“校方主导—学生监督—第三方维护”的协作机制，引导学生从服务接受者转变为治理参与者，推动校园公共事务管理向“共建共治共享”模式升级。</w:t>
            </w:r>
          </w:p>
          <w:p w14:paraId="1559F3C6">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（3）筑牢安全底线，助力绿色校园建设</w:t>
            </w:r>
          </w:p>
          <w:p w14:paraId="1D0D6007">
            <w:pPr>
              <w:numPr>
                <w:ilvl w:val="0"/>
                <w:numId w:val="0"/>
              </w:numPr>
              <w:spacing w:line="24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规范充电秩序、完善安全设施可有效遏制私拉电线、违规充电等危险行为，降低消防事故风险，守护师生生命财产安全。同时，优化充电服务将提升电瓶车使用效率，减少燃油车校内通行，助力校园碳排放，契合“双碳”战略目标，推动可持续校园生态构建。</w:t>
            </w:r>
          </w:p>
          <w:p w14:paraId="45C14375">
            <w:pPr>
              <w:numPr>
                <w:ilvl w:val="0"/>
                <w:numId w:val="0"/>
              </w:numPr>
              <w:spacing w:line="240" w:lineRule="auto"/>
              <w:rPr>
                <w:rFonts w:hint="eastAsia" w:asciiTheme="minorEastAsia" w:hAnsiTheme="minorEastAsia" w:cstheme="minorEastAsia"/>
                <w:sz w:val="24"/>
                <w:szCs w:val="24"/>
                <w:lang w:val="en-US" w:eastAsia="zh-CN"/>
              </w:rPr>
            </w:pPr>
          </w:p>
        </w:tc>
      </w:tr>
      <w:tr w14:paraId="24B9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8561" w:type="dxa"/>
            <w:gridSpan w:val="5"/>
            <w:noWrap w:val="0"/>
            <w:vAlign w:val="center"/>
          </w:tcPr>
          <w:p w14:paraId="7D128170">
            <w:pPr>
              <w:numPr>
                <w:ilvl w:val="0"/>
                <w:numId w:val="0"/>
              </w:numPr>
              <w:spacing w:line="240" w:lineRule="auto"/>
              <w:rPr>
                <w:rFonts w:hint="eastAsia" w:asciiTheme="minorEastAsia" w:hAnsiTheme="minorEastAsia" w:cstheme="minorEastAsia"/>
                <w:sz w:val="22"/>
                <w:szCs w:val="22"/>
                <w:lang w:val="en-US" w:eastAsia="zh-CN"/>
              </w:rPr>
            </w:pPr>
            <w:r>
              <w:rPr>
                <w:rFonts w:hint="eastAsia" w:ascii="黑体" w:hAnsi="黑体" w:eastAsia="黑体" w:cs="黑体"/>
                <w:sz w:val="30"/>
                <w:szCs w:val="30"/>
                <w:lang w:eastAsia="zh-CN"/>
              </w:rPr>
              <w:t>三、项目目标与可行性分析</w:t>
            </w:r>
          </w:p>
        </w:tc>
      </w:tr>
      <w:tr w14:paraId="7AD9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61" w:type="dxa"/>
            <w:gridSpan w:val="5"/>
            <w:noWrap w:val="0"/>
            <w:vAlign w:val="center"/>
          </w:tcPr>
          <w:p w14:paraId="7C2D23BE">
            <w:pPr>
              <w:numPr>
                <w:ilvl w:val="0"/>
                <w:numId w:val="0"/>
              </w:numPr>
              <w:spacing w:line="240" w:lineRule="auto"/>
              <w:rPr>
                <w:rFonts w:hint="eastAsia" w:ascii="宋体" w:hAnsi="宋体" w:eastAsia="宋体" w:cs="宋体"/>
                <w:sz w:val="24"/>
                <w:szCs w:val="24"/>
                <w:lang w:eastAsia="zh-CN"/>
              </w:rPr>
            </w:pPr>
          </w:p>
          <w:p w14:paraId="08833454">
            <w:pPr>
              <w:numPr>
                <w:ilvl w:val="0"/>
                <w:numId w:val="1"/>
              </w:numPr>
              <w:spacing w:line="24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原始目标</w:t>
            </w:r>
          </w:p>
          <w:p w14:paraId="32D58894">
            <w:pPr>
              <w:rPr>
                <w:rFonts w:hint="default"/>
                <w:sz w:val="24"/>
                <w:szCs w:val="24"/>
              </w:rPr>
            </w:pPr>
            <w:r>
              <w:rPr>
                <w:rFonts w:hint="eastAsia"/>
                <w:sz w:val="24"/>
                <w:szCs w:val="24"/>
                <w:lang w:eastAsia="zh-CN"/>
              </w:rPr>
              <w:t>（</w:t>
            </w:r>
            <w:r>
              <w:rPr>
                <w:rFonts w:hint="eastAsia"/>
                <w:sz w:val="24"/>
                <w:szCs w:val="24"/>
                <w:lang w:val="en-US" w:eastAsia="zh-CN"/>
              </w:rPr>
              <w:t>1）</w:t>
            </w:r>
            <w:r>
              <w:rPr>
                <w:rFonts w:hint="default"/>
                <w:sz w:val="24"/>
                <w:szCs w:val="24"/>
              </w:rPr>
              <w:t>核心目标：</w:t>
            </w:r>
          </w:p>
          <w:p w14:paraId="132286AB">
            <w:pPr>
              <w:rPr>
                <w:rFonts w:hint="default"/>
                <w:sz w:val="24"/>
                <w:szCs w:val="24"/>
              </w:rPr>
            </w:pPr>
            <w:r>
              <w:rPr>
                <w:rFonts w:hint="eastAsia"/>
                <w:sz w:val="24"/>
                <w:szCs w:val="24"/>
                <w:lang w:val="en-US" w:eastAsia="zh-CN"/>
              </w:rPr>
              <w:t>·</w:t>
            </w:r>
            <w:r>
              <w:rPr>
                <w:rFonts w:hint="default"/>
                <w:sz w:val="24"/>
                <w:szCs w:val="24"/>
              </w:rPr>
              <w:t>优化浙江大学紫金港校区电瓶车充电桩的布局与数量，改善充电流程，解决高峰时段充电难、充电插头被随意拔除等问题，提升校园基础设施服务水平。</w:t>
            </w:r>
          </w:p>
          <w:p w14:paraId="7F629C43">
            <w:pPr>
              <w:rPr>
                <w:rFonts w:hint="default"/>
                <w:sz w:val="24"/>
                <w:szCs w:val="24"/>
              </w:rPr>
            </w:pPr>
            <w:r>
              <w:rPr>
                <w:rFonts w:hint="eastAsia"/>
                <w:sz w:val="24"/>
                <w:szCs w:val="24"/>
                <w:lang w:eastAsia="zh-CN"/>
              </w:rPr>
              <w:t>（</w:t>
            </w:r>
            <w:r>
              <w:rPr>
                <w:rFonts w:hint="eastAsia"/>
                <w:sz w:val="24"/>
                <w:szCs w:val="24"/>
                <w:lang w:val="en-US" w:eastAsia="zh-CN"/>
              </w:rPr>
              <w:t>2）</w:t>
            </w:r>
            <w:r>
              <w:rPr>
                <w:rFonts w:hint="default"/>
                <w:sz w:val="24"/>
                <w:szCs w:val="24"/>
              </w:rPr>
              <w:t>具体目标：</w:t>
            </w:r>
          </w:p>
          <w:p w14:paraId="4032A224">
            <w:pPr>
              <w:rPr>
                <w:rFonts w:hint="default"/>
                <w:sz w:val="24"/>
                <w:szCs w:val="24"/>
              </w:rPr>
            </w:pPr>
            <w:r>
              <w:rPr>
                <w:rFonts w:hint="eastAsia"/>
                <w:sz w:val="24"/>
                <w:szCs w:val="24"/>
                <w:lang w:val="en-US" w:eastAsia="zh-CN"/>
              </w:rPr>
              <w:t>·</w:t>
            </w:r>
            <w:r>
              <w:rPr>
                <w:rFonts w:hint="default"/>
                <w:sz w:val="24"/>
                <w:szCs w:val="24"/>
              </w:rPr>
              <w:t>减少学生充电等待时间，提升充电效率；</w:t>
            </w:r>
          </w:p>
          <w:p w14:paraId="74CF18F2">
            <w:pPr>
              <w:rPr>
                <w:sz w:val="24"/>
                <w:szCs w:val="24"/>
              </w:rPr>
            </w:pPr>
            <w:r>
              <w:rPr>
                <w:rFonts w:hint="eastAsia"/>
                <w:sz w:val="24"/>
                <w:szCs w:val="24"/>
                <w:lang w:val="en-US" w:eastAsia="zh-CN"/>
              </w:rPr>
              <w:t>·</w:t>
            </w:r>
            <w:r>
              <w:rPr>
                <w:rFonts w:hint="default"/>
                <w:sz w:val="24"/>
                <w:szCs w:val="24"/>
              </w:rPr>
              <w:t>通过技术手段杜绝充电插头被拔现象；</w:t>
            </w:r>
          </w:p>
          <w:p w14:paraId="53620728">
            <w:pPr>
              <w:rPr>
                <w:sz w:val="24"/>
                <w:szCs w:val="24"/>
              </w:rPr>
            </w:pPr>
            <w:r>
              <w:rPr>
                <w:rFonts w:hint="eastAsia"/>
                <w:sz w:val="24"/>
                <w:szCs w:val="24"/>
                <w:lang w:val="en-US" w:eastAsia="zh-CN"/>
              </w:rPr>
              <w:t>·</w:t>
            </w:r>
            <w:r>
              <w:rPr>
                <w:rFonts w:hint="default"/>
                <w:sz w:val="24"/>
                <w:szCs w:val="24"/>
              </w:rPr>
              <w:t>缓解因充电问题引发的学生矛盾，增强校园和谐度；</w:t>
            </w:r>
          </w:p>
          <w:p w14:paraId="42DB1579">
            <w:pPr>
              <w:rPr>
                <w:rFonts w:hint="default"/>
                <w:sz w:val="24"/>
                <w:szCs w:val="24"/>
              </w:rPr>
            </w:pPr>
            <w:r>
              <w:rPr>
                <w:rFonts w:hint="eastAsia"/>
                <w:sz w:val="24"/>
                <w:szCs w:val="24"/>
                <w:lang w:val="en-US" w:eastAsia="zh-CN"/>
              </w:rPr>
              <w:t>·</w:t>
            </w:r>
            <w:r>
              <w:rPr>
                <w:rFonts w:hint="default"/>
                <w:sz w:val="24"/>
                <w:szCs w:val="24"/>
              </w:rPr>
              <w:t>推动校园充电设施智能化、规范化。</w:t>
            </w:r>
          </w:p>
          <w:p w14:paraId="2E13788A">
            <w:pPr>
              <w:rPr>
                <w:rFonts w:hint="default"/>
                <w:sz w:val="24"/>
                <w:szCs w:val="24"/>
              </w:rPr>
            </w:pPr>
          </w:p>
          <w:p w14:paraId="5CE64F42">
            <w:pPr>
              <w:numPr>
                <w:ilvl w:val="0"/>
                <w:numId w:val="1"/>
              </w:numPr>
              <w:ind w:left="0" w:leftChars="0" w:firstLine="0" w:firstLineChars="0"/>
              <w:rPr>
                <w:rFonts w:hint="eastAsia"/>
                <w:b/>
                <w:bCs/>
                <w:sz w:val="24"/>
                <w:szCs w:val="24"/>
                <w:lang w:val="en-US" w:eastAsia="zh-CN"/>
              </w:rPr>
            </w:pPr>
            <w:r>
              <w:rPr>
                <w:rFonts w:hint="eastAsia"/>
                <w:b/>
                <w:bCs/>
                <w:sz w:val="24"/>
                <w:szCs w:val="24"/>
                <w:lang w:val="en-US" w:eastAsia="zh-CN"/>
              </w:rPr>
              <w:t>技术路线</w:t>
            </w:r>
          </w:p>
          <w:p w14:paraId="6ADD4590">
            <w:pPr>
              <w:rPr>
                <w:sz w:val="24"/>
                <w:szCs w:val="24"/>
              </w:rPr>
            </w:pPr>
            <w:r>
              <w:rPr>
                <w:rFonts w:hint="eastAsia"/>
                <w:sz w:val="24"/>
                <w:szCs w:val="24"/>
                <w:lang w:eastAsia="zh-CN"/>
              </w:rPr>
              <w:t>（</w:t>
            </w:r>
            <w:r>
              <w:rPr>
                <w:rFonts w:hint="eastAsia"/>
                <w:sz w:val="24"/>
                <w:szCs w:val="24"/>
                <w:lang w:val="en-US" w:eastAsia="zh-CN"/>
              </w:rPr>
              <w:t>1）</w:t>
            </w:r>
            <w:r>
              <w:rPr>
                <w:rFonts w:hint="default"/>
                <w:sz w:val="24"/>
                <w:szCs w:val="24"/>
              </w:rPr>
              <w:t>调查报告</w:t>
            </w:r>
            <w:r>
              <w:rPr>
                <w:rFonts w:hint="eastAsia"/>
                <w:sz w:val="24"/>
                <w:szCs w:val="24"/>
                <w:lang w:eastAsia="zh-CN"/>
              </w:rPr>
              <w:t>：</w:t>
            </w:r>
          </w:p>
          <w:p w14:paraId="10409ACB">
            <w:pPr>
              <w:rPr>
                <w:sz w:val="24"/>
                <w:szCs w:val="24"/>
              </w:rPr>
            </w:pPr>
            <w:r>
              <w:rPr>
                <w:rFonts w:hint="eastAsia"/>
                <w:sz w:val="24"/>
                <w:szCs w:val="24"/>
                <w:lang w:val="en-US" w:eastAsia="zh-CN"/>
              </w:rPr>
              <w:t>·</w:t>
            </w:r>
            <w:r>
              <w:rPr>
                <w:sz w:val="24"/>
                <w:szCs w:val="24"/>
              </w:rPr>
              <w:t>采用混合调研方法（校内实地考察、校外对比调研、人员访谈）收集数据，结合定量（区域充电桩数量统计）与定性（访谈反馈）分析，定位问题核心。</w:t>
            </w:r>
          </w:p>
          <w:p w14:paraId="1997BD35">
            <w:pPr>
              <w:rPr>
                <w:sz w:val="24"/>
                <w:szCs w:val="24"/>
              </w:rPr>
            </w:pPr>
            <w:r>
              <w:rPr>
                <w:rFonts w:hint="eastAsia"/>
                <w:sz w:val="24"/>
                <w:szCs w:val="24"/>
                <w:lang w:val="en-US" w:eastAsia="zh-CN"/>
              </w:rPr>
              <w:t>·</w:t>
            </w:r>
            <w:r>
              <w:rPr>
                <w:sz w:val="24"/>
                <w:szCs w:val="24"/>
              </w:rPr>
              <w:t>通过微信平台收集63份有效问卷，结合随机采访获取用户主观反馈，统计满意度（如4.44分/3.83分）并归纳问题优先级。</w:t>
            </w:r>
          </w:p>
          <w:p w14:paraId="2A7C7CFD">
            <w:pPr>
              <w:rPr>
                <w:sz w:val="24"/>
                <w:szCs w:val="24"/>
              </w:rPr>
            </w:pPr>
            <w:r>
              <w:rPr>
                <w:rFonts w:hint="eastAsia"/>
                <w:sz w:val="24"/>
                <w:szCs w:val="24"/>
                <w:lang w:val="en-US" w:eastAsia="zh-CN"/>
              </w:rPr>
              <w:t xml:space="preserve">（2）微信小程序制作：  </w:t>
            </w:r>
          </w:p>
          <w:p w14:paraId="1F8A92F3">
            <w:pPr>
              <w:rPr>
                <w:sz w:val="24"/>
                <w:szCs w:val="24"/>
              </w:rPr>
            </w:pPr>
            <w:r>
              <w:rPr>
                <w:rFonts w:hint="eastAsia"/>
                <w:sz w:val="24"/>
                <w:szCs w:val="24"/>
                <w:lang w:val="en-US" w:eastAsia="zh-CN"/>
              </w:rPr>
              <w:t>·</w:t>
            </w:r>
            <w:r>
              <w:rPr>
                <w:sz w:val="24"/>
                <w:szCs w:val="24"/>
              </w:rPr>
              <w:t>采用模块化设计：前端（简洁UI、交互逻辑）、后端（</w:t>
            </w:r>
            <w:r>
              <w:rPr>
                <w:rFonts w:hint="eastAsia"/>
                <w:sz w:val="24"/>
                <w:szCs w:val="24"/>
                <w:lang w:val="en-US" w:eastAsia="zh-CN"/>
              </w:rPr>
              <w:t>未来可以采取</w:t>
            </w:r>
            <w:r>
              <w:rPr>
                <w:sz w:val="24"/>
                <w:szCs w:val="24"/>
              </w:rPr>
              <w:t>数据库存储用户信息、充电桩状态）。</w:t>
            </w:r>
          </w:p>
          <w:p w14:paraId="7FD43318">
            <w:pPr>
              <w:rPr>
                <w:sz w:val="24"/>
                <w:szCs w:val="24"/>
              </w:rPr>
            </w:pPr>
            <w:r>
              <w:rPr>
                <w:rFonts w:hint="eastAsia"/>
                <w:sz w:val="24"/>
                <w:szCs w:val="24"/>
                <w:lang w:val="en-US" w:eastAsia="zh-CN"/>
              </w:rPr>
              <w:t>·未来</w:t>
            </w:r>
            <w:r>
              <w:rPr>
                <w:rFonts w:hint="default"/>
                <w:sz w:val="24"/>
                <w:szCs w:val="24"/>
              </w:rPr>
              <w:t>数据库</w:t>
            </w:r>
            <w:r>
              <w:rPr>
                <w:rFonts w:hint="eastAsia"/>
                <w:sz w:val="24"/>
                <w:szCs w:val="24"/>
                <w:lang w:val="en-US" w:eastAsia="zh-CN"/>
              </w:rPr>
              <w:t>可</w:t>
            </w:r>
            <w:r>
              <w:rPr>
                <w:rFonts w:hint="default"/>
                <w:sz w:val="24"/>
                <w:szCs w:val="24"/>
              </w:rPr>
              <w:t>选择MySQL或MongoDB，支持实时更新充电桩使用状态。</w:t>
            </w:r>
          </w:p>
          <w:p w14:paraId="5FEC9186">
            <w:pPr>
              <w:rPr>
                <w:sz w:val="24"/>
                <w:szCs w:val="24"/>
              </w:rPr>
            </w:pPr>
            <w:r>
              <w:rPr>
                <w:rFonts w:hint="eastAsia"/>
                <w:sz w:val="24"/>
                <w:szCs w:val="24"/>
                <w:lang w:eastAsia="zh-CN"/>
              </w:rPr>
              <w:t>（</w:t>
            </w:r>
            <w:r>
              <w:rPr>
                <w:rFonts w:hint="eastAsia"/>
                <w:sz w:val="24"/>
                <w:szCs w:val="24"/>
                <w:lang w:val="en-US" w:eastAsia="zh-CN"/>
              </w:rPr>
              <w:t>3）</w:t>
            </w:r>
            <w:r>
              <w:rPr>
                <w:rFonts w:hint="default"/>
                <w:sz w:val="24"/>
                <w:szCs w:val="24"/>
              </w:rPr>
              <w:t>充电桩机械锁扣渲染视频</w:t>
            </w:r>
            <w:r>
              <w:rPr>
                <w:rFonts w:hint="eastAsia"/>
                <w:sz w:val="24"/>
                <w:szCs w:val="24"/>
                <w:lang w:eastAsia="zh-CN"/>
              </w:rPr>
              <w:t>：</w:t>
            </w:r>
          </w:p>
          <w:p w14:paraId="29462BFF">
            <w:pPr>
              <w:rPr>
                <w:sz w:val="24"/>
                <w:szCs w:val="24"/>
              </w:rPr>
            </w:pPr>
            <w:r>
              <w:rPr>
                <w:rFonts w:hint="eastAsia"/>
                <w:sz w:val="24"/>
                <w:szCs w:val="24"/>
                <w:lang w:val="en-US" w:eastAsia="zh-CN"/>
              </w:rPr>
              <w:t>·</w:t>
            </w:r>
            <w:r>
              <w:rPr>
                <w:sz w:val="24"/>
                <w:szCs w:val="24"/>
              </w:rPr>
              <w:t>使用3D建模软件设计锁扣结构，通过动画渲染模拟开合动作，验证机械性能。</w:t>
            </w:r>
          </w:p>
          <w:p w14:paraId="2B8C7E13">
            <w:pPr>
              <w:rPr>
                <w:rFonts w:hint="default"/>
                <w:sz w:val="24"/>
                <w:szCs w:val="24"/>
              </w:rPr>
            </w:pPr>
            <w:r>
              <w:rPr>
                <w:rFonts w:hint="eastAsia"/>
                <w:sz w:val="24"/>
                <w:szCs w:val="24"/>
                <w:lang w:val="en-US" w:eastAsia="zh-CN"/>
              </w:rPr>
              <w:t>·</w:t>
            </w:r>
            <w:r>
              <w:rPr>
                <w:rFonts w:hint="default"/>
                <w:sz w:val="24"/>
                <w:szCs w:val="24"/>
              </w:rPr>
              <w:t>功能测试：检测锁舌运动轨迹</w:t>
            </w:r>
            <w:r>
              <w:rPr>
                <w:rFonts w:hint="eastAsia"/>
                <w:sz w:val="24"/>
                <w:szCs w:val="24"/>
                <w:lang w:val="en-US" w:eastAsia="zh-CN"/>
              </w:rPr>
              <w:t>等</w:t>
            </w:r>
            <w:r>
              <w:rPr>
                <w:rFonts w:hint="default"/>
                <w:sz w:val="24"/>
                <w:szCs w:val="24"/>
              </w:rPr>
              <w:t>。</w:t>
            </w:r>
          </w:p>
          <w:p w14:paraId="2BA3B64A">
            <w:pPr>
              <w:rPr>
                <w:rFonts w:hint="default"/>
                <w:b/>
                <w:bCs/>
              </w:rPr>
            </w:pPr>
          </w:p>
          <w:p w14:paraId="67DDA44F">
            <w:pPr>
              <w:numPr>
                <w:ilvl w:val="0"/>
                <w:numId w:val="1"/>
              </w:numPr>
              <w:ind w:left="0" w:leftChars="0" w:firstLine="0" w:firstLineChars="0"/>
              <w:rPr>
                <w:rFonts w:hint="default"/>
                <w:b/>
                <w:bCs/>
                <w:sz w:val="24"/>
                <w:szCs w:val="24"/>
                <w:lang w:val="en-US" w:eastAsia="zh-CN"/>
              </w:rPr>
            </w:pPr>
            <w:r>
              <w:rPr>
                <w:rFonts w:hint="eastAsia"/>
                <w:b/>
                <w:bCs/>
                <w:sz w:val="24"/>
                <w:szCs w:val="24"/>
                <w:lang w:val="en-US" w:eastAsia="zh-CN"/>
              </w:rPr>
              <w:t>社会价值</w:t>
            </w:r>
          </w:p>
          <w:p w14:paraId="2A52A509">
            <w:pPr>
              <w:numPr>
                <w:ilvl w:val="0"/>
                <w:numId w:val="0"/>
              </w:numPr>
              <w:bidi w:val="0"/>
              <w:rPr>
                <w:sz w:val="24"/>
                <w:szCs w:val="24"/>
              </w:rPr>
            </w:pPr>
            <w:r>
              <w:rPr>
                <w:rFonts w:hint="eastAsia"/>
                <w:sz w:val="24"/>
                <w:szCs w:val="24"/>
                <w:lang w:eastAsia="zh-CN"/>
              </w:rPr>
              <w:t>（</w:t>
            </w:r>
            <w:r>
              <w:rPr>
                <w:rFonts w:hint="eastAsia"/>
                <w:sz w:val="24"/>
                <w:szCs w:val="24"/>
                <w:lang w:val="en-US" w:eastAsia="zh-CN"/>
              </w:rPr>
              <w:t>1）</w:t>
            </w:r>
            <w:r>
              <w:rPr>
                <w:sz w:val="24"/>
                <w:szCs w:val="24"/>
              </w:rPr>
              <w:t>解决校园充电桩供需矛盾，提升师生出行便利性，降低安全隐患（如违规充电、车辆停放混乱）。</w:t>
            </w:r>
          </w:p>
          <w:p w14:paraId="5DE07D1C">
            <w:pPr>
              <w:numPr>
                <w:ilvl w:val="0"/>
                <w:numId w:val="0"/>
              </w:numPr>
              <w:bidi w:val="0"/>
              <w:rPr>
                <w:sz w:val="24"/>
                <w:szCs w:val="24"/>
              </w:rPr>
            </w:pPr>
            <w:r>
              <w:rPr>
                <w:rFonts w:hint="eastAsia"/>
                <w:sz w:val="24"/>
                <w:szCs w:val="24"/>
                <w:lang w:eastAsia="zh-CN"/>
              </w:rPr>
              <w:t>（</w:t>
            </w:r>
            <w:r>
              <w:rPr>
                <w:rFonts w:hint="eastAsia"/>
                <w:sz w:val="24"/>
                <w:szCs w:val="24"/>
                <w:lang w:val="en-US" w:eastAsia="zh-CN"/>
              </w:rPr>
              <w:t>2）</w:t>
            </w:r>
            <w:r>
              <w:rPr>
                <w:rFonts w:hint="default"/>
                <w:sz w:val="24"/>
                <w:szCs w:val="24"/>
              </w:rPr>
              <w:t>通过校外对比（堕落街案例），推动校园管理向更精细化、人性化方向发展，树立高校基础设施优化标杆。</w:t>
            </w:r>
          </w:p>
          <w:p w14:paraId="647A3BB1">
            <w:pPr>
              <w:numPr>
                <w:ilvl w:val="0"/>
                <w:numId w:val="0"/>
              </w:numPr>
              <w:bidi w:val="0"/>
              <w:rPr>
                <w:sz w:val="24"/>
                <w:szCs w:val="24"/>
              </w:rPr>
            </w:pPr>
            <w:r>
              <w:rPr>
                <w:rFonts w:hint="eastAsia"/>
                <w:sz w:val="24"/>
                <w:szCs w:val="24"/>
                <w:lang w:val="en-US" w:eastAsia="zh-CN"/>
              </w:rPr>
              <w:t>（3）调查问卷</w:t>
            </w:r>
            <w:r>
              <w:rPr>
                <w:sz w:val="24"/>
                <w:szCs w:val="24"/>
              </w:rPr>
              <w:t>直接反映学生需求，为学校决策提供数据支持，增强师生参与感和校园治理透明度。</w:t>
            </w:r>
          </w:p>
          <w:p w14:paraId="64607E93">
            <w:pPr>
              <w:numPr>
                <w:ilvl w:val="0"/>
                <w:numId w:val="0"/>
              </w:numPr>
              <w:bidi w:val="0"/>
              <w:rPr>
                <w:sz w:val="24"/>
                <w:szCs w:val="24"/>
              </w:rPr>
            </w:pPr>
            <w:r>
              <w:rPr>
                <w:rFonts w:hint="eastAsia"/>
                <w:sz w:val="24"/>
                <w:szCs w:val="24"/>
                <w:lang w:val="en-US" w:eastAsia="zh-CN"/>
              </w:rPr>
              <w:t>（4）微信小程序</w:t>
            </w:r>
            <w:r>
              <w:rPr>
                <w:sz w:val="24"/>
                <w:szCs w:val="24"/>
              </w:rPr>
              <w:t>提供便捷的充电桩查询</w:t>
            </w:r>
            <w:r>
              <w:rPr>
                <w:rFonts w:hint="eastAsia"/>
                <w:sz w:val="24"/>
                <w:szCs w:val="24"/>
                <w:lang w:val="en-US" w:eastAsia="zh-CN"/>
              </w:rPr>
              <w:t>等</w:t>
            </w:r>
            <w:r>
              <w:rPr>
                <w:sz w:val="24"/>
                <w:szCs w:val="24"/>
              </w:rPr>
              <w:t>服务，减少学生等待时间，优化资源分配效率。</w:t>
            </w:r>
          </w:p>
          <w:p w14:paraId="4913448A">
            <w:pPr>
              <w:numPr>
                <w:ilvl w:val="0"/>
                <w:numId w:val="0"/>
              </w:numPr>
              <w:bidi w:val="0"/>
              <w:rPr>
                <w:sz w:val="24"/>
                <w:szCs w:val="24"/>
              </w:rPr>
            </w:pPr>
            <w:r>
              <w:rPr>
                <w:rFonts w:hint="eastAsia"/>
                <w:sz w:val="24"/>
                <w:szCs w:val="24"/>
                <w:lang w:eastAsia="zh-CN"/>
              </w:rPr>
              <w:t>（</w:t>
            </w:r>
            <w:r>
              <w:rPr>
                <w:rFonts w:hint="eastAsia"/>
                <w:sz w:val="24"/>
                <w:szCs w:val="24"/>
                <w:lang w:val="en-US" w:eastAsia="zh-CN"/>
              </w:rPr>
              <w:t>5）</w:t>
            </w:r>
            <w:r>
              <w:rPr>
                <w:rFonts w:hint="default"/>
                <w:sz w:val="24"/>
                <w:szCs w:val="24"/>
              </w:rPr>
              <w:t>推动校园数字化服务升级，为后续智慧校园建设奠定基础。</w:t>
            </w:r>
          </w:p>
          <w:p w14:paraId="44359EDB">
            <w:pPr>
              <w:numPr>
                <w:ilvl w:val="0"/>
                <w:numId w:val="0"/>
              </w:numPr>
              <w:bidi w:val="0"/>
              <w:rPr>
                <w:sz w:val="24"/>
                <w:szCs w:val="24"/>
              </w:rPr>
            </w:pPr>
            <w:r>
              <w:rPr>
                <w:rFonts w:hint="eastAsia"/>
                <w:sz w:val="24"/>
                <w:szCs w:val="24"/>
                <w:lang w:eastAsia="zh-CN"/>
              </w:rPr>
              <w:t>（</w:t>
            </w:r>
            <w:r>
              <w:rPr>
                <w:rFonts w:hint="eastAsia"/>
                <w:sz w:val="24"/>
                <w:szCs w:val="24"/>
                <w:lang w:val="en-US" w:eastAsia="zh-CN"/>
              </w:rPr>
              <w:t>6）</w:t>
            </w:r>
            <w:r>
              <w:rPr>
                <w:sz w:val="24"/>
                <w:szCs w:val="24"/>
              </w:rPr>
              <w:t>提升充电桩安全性，避免非法拔线或设备损坏，保障用户财产和校园安全。</w:t>
            </w:r>
          </w:p>
          <w:p w14:paraId="3D3E91E1">
            <w:pPr>
              <w:numPr>
                <w:ilvl w:val="0"/>
                <w:numId w:val="0"/>
              </w:numPr>
              <w:bidi w:val="0"/>
              <w:rPr>
                <w:sz w:val="24"/>
                <w:szCs w:val="24"/>
              </w:rPr>
            </w:pPr>
            <w:r>
              <w:rPr>
                <w:rFonts w:hint="eastAsia"/>
                <w:sz w:val="24"/>
                <w:szCs w:val="24"/>
                <w:lang w:val="en-US" w:eastAsia="zh-CN"/>
              </w:rPr>
              <w:t>（7）充电桩渲染视频</w:t>
            </w:r>
            <w:r>
              <w:rPr>
                <w:rFonts w:hint="default"/>
                <w:sz w:val="24"/>
                <w:szCs w:val="24"/>
              </w:rPr>
              <w:t>通过可视化展示增强设计方案的说服力。</w:t>
            </w:r>
          </w:p>
          <w:p w14:paraId="043B3CA8">
            <w:pPr>
              <w:numPr>
                <w:ilvl w:val="0"/>
                <w:numId w:val="0"/>
              </w:numPr>
              <w:ind w:leftChars="0"/>
              <w:rPr>
                <w:rFonts w:hint="default"/>
                <w:b/>
                <w:bCs/>
                <w:sz w:val="24"/>
                <w:szCs w:val="24"/>
                <w:lang w:val="en-US" w:eastAsia="zh-CN"/>
              </w:rPr>
            </w:pPr>
          </w:p>
          <w:p w14:paraId="77E3998F">
            <w:pPr>
              <w:numPr>
                <w:ilvl w:val="0"/>
                <w:numId w:val="1"/>
              </w:numPr>
              <w:ind w:left="0" w:leftChars="0" w:firstLine="0" w:firstLineChars="0"/>
              <w:rPr>
                <w:rFonts w:hint="eastAsia"/>
                <w:b/>
                <w:bCs/>
                <w:sz w:val="24"/>
                <w:szCs w:val="24"/>
                <w:lang w:val="en-US" w:eastAsia="zh-CN"/>
              </w:rPr>
            </w:pPr>
            <w:r>
              <w:rPr>
                <w:rFonts w:hint="eastAsia"/>
                <w:b/>
                <w:bCs/>
                <w:sz w:val="24"/>
                <w:szCs w:val="24"/>
                <w:lang w:val="en-US" w:eastAsia="zh-CN"/>
              </w:rPr>
              <w:t>项目可行性</w:t>
            </w:r>
          </w:p>
          <w:p w14:paraId="024A94CC">
            <w:pPr>
              <w:rPr>
                <w:rFonts w:hint="eastAsia"/>
                <w:sz w:val="24"/>
                <w:szCs w:val="24"/>
                <w:lang w:val="en-US" w:eastAsia="zh-CN"/>
              </w:rPr>
            </w:pPr>
            <w:r>
              <w:rPr>
                <w:rFonts w:hint="eastAsia"/>
                <w:sz w:val="24"/>
                <w:szCs w:val="24"/>
                <w:lang w:val="en-US" w:eastAsia="zh-CN"/>
              </w:rPr>
              <w:t>（1）技术可行性：</w:t>
            </w:r>
          </w:p>
          <w:p w14:paraId="4098476E">
            <w:pPr>
              <w:rPr>
                <w:sz w:val="24"/>
                <w:szCs w:val="24"/>
              </w:rPr>
            </w:pPr>
            <w:r>
              <w:rPr>
                <w:rFonts w:hint="eastAsia"/>
                <w:sz w:val="24"/>
                <w:szCs w:val="24"/>
                <w:lang w:val="en-US" w:eastAsia="zh-CN"/>
              </w:rPr>
              <w:t>·</w:t>
            </w:r>
            <w:r>
              <w:rPr>
                <w:sz w:val="24"/>
                <w:szCs w:val="24"/>
              </w:rPr>
              <w:t>智能充电桩技术成熟（如共享单车管理系统可借鉴），大数据分析工具应用广泛，实施难度较低。</w:t>
            </w:r>
          </w:p>
          <w:p w14:paraId="72B290FA">
            <w:pPr>
              <w:rPr>
                <w:sz w:val="24"/>
                <w:szCs w:val="24"/>
              </w:rPr>
            </w:pPr>
            <w:r>
              <w:rPr>
                <w:rFonts w:hint="eastAsia"/>
                <w:sz w:val="24"/>
                <w:szCs w:val="24"/>
                <w:lang w:val="en-US" w:eastAsia="zh-CN"/>
              </w:rPr>
              <w:t>·</w:t>
            </w:r>
            <w:r>
              <w:rPr>
                <w:sz w:val="24"/>
                <w:szCs w:val="24"/>
              </w:rPr>
              <w:t>问卷设计与分析工具（如问卷星、SPSS）简单易用，物联网技术已有成熟案例。</w:t>
            </w:r>
          </w:p>
          <w:p w14:paraId="490F7CEC">
            <w:pPr>
              <w:rPr>
                <w:sz w:val="24"/>
                <w:szCs w:val="24"/>
              </w:rPr>
            </w:pPr>
            <w:r>
              <w:rPr>
                <w:rFonts w:hint="eastAsia"/>
                <w:sz w:val="24"/>
                <w:szCs w:val="24"/>
                <w:lang w:val="en-US" w:eastAsia="zh-CN"/>
              </w:rPr>
              <w:t>·</w:t>
            </w:r>
            <w:r>
              <w:rPr>
                <w:sz w:val="24"/>
                <w:szCs w:val="24"/>
              </w:rPr>
              <w:t>小程序开发框架（如微信开发者工具）成熟，数据库和云服务（如阿里云）支持稳定。</w:t>
            </w:r>
          </w:p>
          <w:p w14:paraId="246271C5">
            <w:pPr>
              <w:rPr>
                <w:rFonts w:hint="eastAsia"/>
                <w:sz w:val="24"/>
                <w:szCs w:val="24"/>
                <w:lang w:val="en-US" w:eastAsia="zh-CN"/>
              </w:rPr>
            </w:pPr>
            <w:r>
              <w:rPr>
                <w:rFonts w:hint="eastAsia"/>
                <w:sz w:val="24"/>
                <w:szCs w:val="24"/>
                <w:lang w:val="en-US" w:eastAsia="zh-CN"/>
              </w:rPr>
              <w:t>·</w:t>
            </w:r>
            <w:r>
              <w:rPr>
                <w:sz w:val="24"/>
                <w:szCs w:val="24"/>
              </w:rPr>
              <w:t>机械锁扣设计标准化，渲染技术成熟，可通过3D打印快速制作原型。</w:t>
            </w:r>
          </w:p>
          <w:p w14:paraId="61DE63F7">
            <w:pPr>
              <w:rPr>
                <w:rFonts w:hint="eastAsia"/>
                <w:sz w:val="24"/>
                <w:szCs w:val="24"/>
                <w:lang w:val="en-US" w:eastAsia="zh-CN"/>
              </w:rPr>
            </w:pPr>
            <w:r>
              <w:rPr>
                <w:rFonts w:hint="eastAsia"/>
                <w:sz w:val="24"/>
                <w:szCs w:val="24"/>
                <w:lang w:val="en-US" w:eastAsia="zh-CN"/>
              </w:rPr>
              <w:t>（2）资源可行性：</w:t>
            </w:r>
          </w:p>
          <w:p w14:paraId="78946A9A">
            <w:pPr>
              <w:rPr>
                <w:sz w:val="24"/>
                <w:szCs w:val="24"/>
              </w:rPr>
            </w:pPr>
            <w:r>
              <w:rPr>
                <w:rFonts w:hint="eastAsia"/>
                <w:sz w:val="24"/>
                <w:szCs w:val="24"/>
                <w:lang w:val="en-US" w:eastAsia="zh-CN"/>
              </w:rPr>
              <w:t>·</w:t>
            </w:r>
            <w:r>
              <w:rPr>
                <w:sz w:val="24"/>
                <w:szCs w:val="24"/>
              </w:rPr>
              <w:t>学校可通过与企业合作（如充电桩供应商、软件开发公司）分摊成本，结合校园信息化建设预算逐步推进。</w:t>
            </w:r>
          </w:p>
          <w:p w14:paraId="6E54EAAC">
            <w:pPr>
              <w:rPr>
                <w:sz w:val="24"/>
                <w:szCs w:val="24"/>
              </w:rPr>
            </w:pPr>
            <w:r>
              <w:rPr>
                <w:rFonts w:hint="eastAsia"/>
                <w:sz w:val="24"/>
                <w:szCs w:val="24"/>
                <w:lang w:val="en-US" w:eastAsia="zh-CN"/>
              </w:rPr>
              <w:t>·微信小程序</w:t>
            </w:r>
            <w:r>
              <w:rPr>
                <w:sz w:val="24"/>
                <w:szCs w:val="24"/>
              </w:rPr>
              <w:t>开发成本可控（学生团队或外包均可），后期维护费用低。</w:t>
            </w:r>
          </w:p>
          <w:p w14:paraId="2EC0EBA6">
            <w:pPr>
              <w:rPr>
                <w:sz w:val="24"/>
                <w:szCs w:val="24"/>
              </w:rPr>
            </w:pPr>
            <w:r>
              <w:rPr>
                <w:rFonts w:hint="eastAsia"/>
                <w:sz w:val="24"/>
                <w:szCs w:val="24"/>
                <w:lang w:val="en-US" w:eastAsia="zh-CN"/>
              </w:rPr>
              <w:t>·</w:t>
            </w:r>
            <w:r>
              <w:rPr>
                <w:sz w:val="24"/>
                <w:szCs w:val="24"/>
              </w:rPr>
              <w:t>锁扣结构简单，适合批量生产，成本较低（单个锁扣成本约10-50元）。</w:t>
            </w:r>
          </w:p>
          <w:p w14:paraId="31A8FE4C">
            <w:pPr>
              <w:rPr>
                <w:rFonts w:hint="default"/>
                <w:sz w:val="24"/>
                <w:szCs w:val="24"/>
                <w:lang w:val="en-US" w:eastAsia="zh-CN"/>
              </w:rPr>
            </w:pPr>
          </w:p>
        </w:tc>
      </w:tr>
      <w:tr w14:paraId="2149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8561" w:type="dxa"/>
            <w:gridSpan w:val="5"/>
            <w:noWrap w:val="0"/>
            <w:vAlign w:val="center"/>
          </w:tcPr>
          <w:p w14:paraId="5710CE0E">
            <w:pPr>
              <w:rPr>
                <w:rFonts w:hint="default"/>
                <w:lang w:val="en-US" w:eastAsia="zh-CN"/>
              </w:rPr>
            </w:pPr>
            <w:r>
              <w:rPr>
                <w:rFonts w:hint="eastAsia" w:ascii="黑体" w:hAnsi="黑体" w:eastAsia="黑体" w:cs="黑体"/>
                <w:sz w:val="30"/>
                <w:szCs w:val="30"/>
                <w:lang w:val="en-US" w:eastAsia="zh-CN"/>
              </w:rPr>
              <w:t>四、项目实施方案与过程</w:t>
            </w:r>
          </w:p>
        </w:tc>
      </w:tr>
      <w:tr w14:paraId="14A85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8" w:hRule="atLeast"/>
        </w:trPr>
        <w:tc>
          <w:tcPr>
            <w:tcW w:w="8561" w:type="dxa"/>
            <w:gridSpan w:val="5"/>
            <w:noWrap w:val="0"/>
            <w:vAlign w:val="center"/>
          </w:tcPr>
          <w:p w14:paraId="77CD706A">
            <w:pPr>
              <w:rPr>
                <w:rFonts w:hint="eastAsia"/>
              </w:rPr>
            </w:pPr>
          </w:p>
          <w:p w14:paraId="1F6972E2">
            <w:pPr>
              <w:rPr>
                <w:b/>
                <w:bCs/>
                <w:sz w:val="24"/>
                <w:szCs w:val="24"/>
              </w:rPr>
            </w:pPr>
            <w:r>
              <w:rPr>
                <w:rFonts w:hint="eastAsia"/>
                <w:b/>
                <w:bCs/>
                <w:sz w:val="24"/>
                <w:szCs w:val="24"/>
              </w:rPr>
              <w:t xml:space="preserve">（一）前期调研阶段 </w:t>
            </w:r>
          </w:p>
          <w:p w14:paraId="2B68FF40">
            <w:pPr>
              <w:rPr>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 xml:space="preserve">需求数据采集 </w:t>
            </w:r>
          </w:p>
          <w:p w14:paraId="1FE49CB9">
            <w:pPr>
              <w:rPr>
                <w:sz w:val="24"/>
                <w:szCs w:val="24"/>
              </w:rPr>
            </w:pPr>
            <w:r>
              <w:rPr>
                <w:rFonts w:hint="eastAsia"/>
                <w:sz w:val="24"/>
                <w:szCs w:val="24"/>
                <w:lang w:val="en-US" w:eastAsia="zh-CN"/>
              </w:rPr>
              <w:t>·</w:t>
            </w:r>
            <w:r>
              <w:rPr>
                <w:rFonts w:hint="eastAsia"/>
                <w:sz w:val="24"/>
                <w:szCs w:val="24"/>
              </w:rPr>
              <w:t xml:space="preserve">问卷调研和随机采访 </w:t>
            </w:r>
          </w:p>
          <w:p w14:paraId="2F913759">
            <w:pPr>
              <w:rPr>
                <w:sz w:val="24"/>
                <w:szCs w:val="24"/>
              </w:rPr>
            </w:pPr>
            <w:r>
              <w:rPr>
                <w:rFonts w:hint="eastAsia"/>
                <w:sz w:val="24"/>
                <w:szCs w:val="24"/>
              </w:rPr>
              <w:t>设计涵盖充电桩使用频率、痛点需求、改进建议等维度的问卷，通过线上渠道发放，覆盖校内外用户群体。并在线下对多位同学进行采访，调查同学对现学校充电桩的满意度和建议。</w:t>
            </w:r>
          </w:p>
          <w:p w14:paraId="6EF141AC">
            <w:pPr>
              <w:rPr>
                <w:sz w:val="24"/>
                <w:szCs w:val="24"/>
              </w:rPr>
            </w:pPr>
            <w:r>
              <w:rPr>
                <w:rFonts w:hint="eastAsia"/>
                <w:sz w:val="24"/>
                <w:szCs w:val="24"/>
                <w:lang w:val="en-US" w:eastAsia="zh-CN"/>
              </w:rPr>
              <w:t>·</w:t>
            </w:r>
            <w:r>
              <w:rPr>
                <w:rFonts w:hint="eastAsia"/>
                <w:sz w:val="24"/>
                <w:szCs w:val="24"/>
              </w:rPr>
              <w:t>实地考察</w:t>
            </w:r>
          </w:p>
          <w:p w14:paraId="69B2ACD6">
            <w:pPr>
              <w:rPr>
                <w:sz w:val="24"/>
                <w:szCs w:val="24"/>
              </w:rPr>
            </w:pPr>
            <w:r>
              <w:rPr>
                <w:rFonts w:hint="eastAsia"/>
                <w:sz w:val="24"/>
                <w:szCs w:val="24"/>
              </w:rPr>
              <w:t>分组走访校园内外多个充电区域进行实地考察，观察这些地方的设施配置、管理方式以及用户体验。考察过程中，详细记录不同充电设施的优缺点，拍摄了大量照片用于后续讨论。</w:t>
            </w:r>
          </w:p>
          <w:p w14:paraId="5FF697E7">
            <w:pPr>
              <w:rPr>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 xml:space="preserve">数据整合与分析 </w:t>
            </w:r>
          </w:p>
          <w:p w14:paraId="122E50E4">
            <w:pPr>
              <w:rPr>
                <w:sz w:val="24"/>
                <w:szCs w:val="24"/>
              </w:rPr>
            </w:pPr>
            <w:r>
              <w:rPr>
                <w:rFonts w:hint="eastAsia"/>
                <w:sz w:val="24"/>
                <w:szCs w:val="24"/>
              </w:rPr>
              <w:t xml:space="preserve">对问卷数据进行交叉分析，结合实地考察结果，提炼出学生们的核心需求 </w:t>
            </w:r>
          </w:p>
          <w:p w14:paraId="66158639">
            <w:pPr>
              <w:rPr>
                <w:sz w:val="24"/>
                <w:szCs w:val="24"/>
              </w:rPr>
            </w:pPr>
            <w:r>
              <w:rPr>
                <w:rFonts w:hint="eastAsia"/>
                <w:sz w:val="24"/>
                <w:szCs w:val="24"/>
              </w:rPr>
              <w:t>预设结果：</w:t>
            </w:r>
          </w:p>
          <w:p w14:paraId="15E1E863">
            <w:pPr>
              <w:rPr>
                <w:sz w:val="24"/>
                <w:szCs w:val="24"/>
              </w:rPr>
            </w:pPr>
            <w:r>
              <w:rPr>
                <w:rFonts w:hint="eastAsia"/>
                <w:sz w:val="24"/>
                <w:szCs w:val="24"/>
                <w:lang w:val="en-US" w:eastAsia="zh-CN"/>
              </w:rPr>
              <w:t>·</w:t>
            </w:r>
            <w:r>
              <w:rPr>
                <w:rFonts w:hint="eastAsia"/>
                <w:sz w:val="24"/>
                <w:szCs w:val="24"/>
              </w:rPr>
              <w:t>在学生密集的区域增设充电桩数量；</w:t>
            </w:r>
          </w:p>
          <w:p w14:paraId="454E3A21">
            <w:pPr>
              <w:rPr>
                <w:rFonts w:hint="eastAsia"/>
                <w:sz w:val="24"/>
                <w:szCs w:val="24"/>
              </w:rPr>
            </w:pPr>
            <w:r>
              <w:rPr>
                <w:rFonts w:hint="eastAsia"/>
                <w:sz w:val="24"/>
                <w:szCs w:val="24"/>
                <w:lang w:val="en-US" w:eastAsia="zh-CN"/>
              </w:rPr>
              <w:t>·</w:t>
            </w:r>
            <w:r>
              <w:rPr>
                <w:rFonts w:hint="eastAsia"/>
                <w:sz w:val="24"/>
                <w:szCs w:val="24"/>
              </w:rPr>
              <w:t>优化充电桩分布；</w:t>
            </w:r>
          </w:p>
          <w:p w14:paraId="169CE23A">
            <w:pPr>
              <w:rPr>
                <w:sz w:val="24"/>
                <w:szCs w:val="24"/>
              </w:rPr>
            </w:pPr>
            <w:r>
              <w:rPr>
                <w:rFonts w:hint="eastAsia"/>
                <w:sz w:val="24"/>
                <w:szCs w:val="24"/>
                <w:lang w:val="en-US" w:eastAsia="zh-CN"/>
              </w:rPr>
              <w:t>·</w:t>
            </w:r>
            <w:r>
              <w:rPr>
                <w:rFonts w:hint="eastAsia"/>
                <w:sz w:val="24"/>
                <w:szCs w:val="24"/>
              </w:rPr>
              <w:t xml:space="preserve">增设机械锁扣提升设备安全性，强化充电桩管理；  </w:t>
            </w:r>
          </w:p>
          <w:p w14:paraId="1B9F90C2">
            <w:pPr>
              <w:rPr>
                <w:sz w:val="24"/>
                <w:szCs w:val="24"/>
              </w:rPr>
            </w:pPr>
            <w:r>
              <w:rPr>
                <w:rFonts w:hint="eastAsia"/>
                <w:sz w:val="24"/>
                <w:szCs w:val="24"/>
                <w:lang w:val="en-US" w:eastAsia="zh-CN"/>
              </w:rPr>
              <w:t>·</w:t>
            </w:r>
            <w:r>
              <w:rPr>
                <w:rFonts w:hint="eastAsia"/>
                <w:sz w:val="24"/>
                <w:szCs w:val="24"/>
              </w:rPr>
              <w:t xml:space="preserve">引入智能化管理，运用预约系统减少排队时间。  </w:t>
            </w:r>
          </w:p>
          <w:p w14:paraId="79FC359B">
            <w:pPr>
              <w:rPr>
                <w:sz w:val="24"/>
                <w:szCs w:val="24"/>
              </w:rPr>
            </w:pPr>
          </w:p>
          <w:p w14:paraId="5BA161A9">
            <w:pPr>
              <w:rPr>
                <w:b/>
                <w:bCs/>
                <w:sz w:val="24"/>
                <w:szCs w:val="24"/>
              </w:rPr>
            </w:pPr>
            <w:r>
              <w:rPr>
                <w:rFonts w:hint="eastAsia"/>
                <w:b/>
                <w:bCs/>
                <w:sz w:val="24"/>
                <w:szCs w:val="24"/>
              </w:rPr>
              <w:t xml:space="preserve">（二）技术开发阶段 </w:t>
            </w:r>
          </w:p>
          <w:p w14:paraId="592C6F07">
            <w:pPr>
              <w:rPr>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小程序系统开发</w:t>
            </w:r>
          </w:p>
          <w:p w14:paraId="18AC4932">
            <w:pPr>
              <w:rPr>
                <w:sz w:val="24"/>
                <w:szCs w:val="24"/>
              </w:rPr>
            </w:pPr>
            <w:r>
              <w:rPr>
                <w:rFonts w:hint="eastAsia"/>
                <w:sz w:val="24"/>
                <w:szCs w:val="24"/>
                <w:lang w:val="en-US" w:eastAsia="zh-CN"/>
              </w:rPr>
              <w:t>·</w:t>
            </w:r>
            <w:r>
              <w:rPr>
                <w:rFonts w:hint="eastAsia"/>
                <w:sz w:val="24"/>
                <w:szCs w:val="24"/>
              </w:rPr>
              <w:t xml:space="preserve">技术学习与方案设计 </w:t>
            </w:r>
          </w:p>
          <w:p w14:paraId="2480BAFD">
            <w:pPr>
              <w:rPr>
                <w:sz w:val="24"/>
                <w:szCs w:val="24"/>
              </w:rPr>
            </w:pPr>
            <w:r>
              <w:rPr>
                <w:rFonts w:hint="eastAsia"/>
                <w:sz w:val="24"/>
                <w:szCs w:val="24"/>
              </w:rPr>
              <w:t xml:space="preserve">  - 团队成员完成微信小程序开发框架等核心技术培训。  </w:t>
            </w:r>
          </w:p>
          <w:p w14:paraId="79923BBF">
            <w:pPr>
              <w:rPr>
                <w:sz w:val="24"/>
                <w:szCs w:val="24"/>
              </w:rPr>
            </w:pPr>
            <w:r>
              <w:rPr>
                <w:rFonts w:hint="eastAsia"/>
                <w:sz w:val="24"/>
                <w:szCs w:val="24"/>
              </w:rPr>
              <w:t xml:space="preserve">  - 制定功能模块清单：地图导航、预约管理、用户反馈端口。  </w:t>
            </w:r>
          </w:p>
          <w:p w14:paraId="13D718A4">
            <w:pPr>
              <w:rPr>
                <w:sz w:val="24"/>
                <w:szCs w:val="24"/>
              </w:rPr>
            </w:pPr>
            <w:r>
              <w:rPr>
                <w:rFonts w:hint="eastAsia"/>
                <w:sz w:val="24"/>
                <w:szCs w:val="24"/>
                <w:lang w:val="en-US" w:eastAsia="zh-CN"/>
              </w:rPr>
              <w:t>·</w:t>
            </w:r>
            <w:r>
              <w:rPr>
                <w:rFonts w:hint="eastAsia"/>
                <w:sz w:val="24"/>
                <w:szCs w:val="24"/>
              </w:rPr>
              <w:t xml:space="preserve">编码与测试 </w:t>
            </w:r>
          </w:p>
          <w:p w14:paraId="3DD911F0">
            <w:pPr>
              <w:rPr>
                <w:sz w:val="24"/>
                <w:szCs w:val="24"/>
              </w:rPr>
            </w:pPr>
            <w:r>
              <w:rPr>
                <w:rFonts w:hint="eastAsia"/>
                <w:sz w:val="24"/>
                <w:szCs w:val="24"/>
              </w:rPr>
              <w:t xml:space="preserve">  - 开发分工：前端组（小程序界面设计）、后端组（接口联调）、测试组（压力测试与Bug修复）。  </w:t>
            </w:r>
          </w:p>
          <w:p w14:paraId="4A0F4F31">
            <w:pPr>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 xml:space="preserve">机械锁扣硬件开发 </w:t>
            </w:r>
          </w:p>
          <w:p w14:paraId="485DF26D">
            <w:pPr>
              <w:rPr>
                <w:rFonts w:hint="eastAsia"/>
                <w:sz w:val="24"/>
                <w:szCs w:val="24"/>
              </w:rPr>
            </w:pPr>
            <w:r>
              <w:rPr>
                <w:rFonts w:hint="eastAsia"/>
                <w:sz w:val="24"/>
                <w:szCs w:val="24"/>
                <w:lang w:val="en-US" w:eastAsia="zh-CN"/>
              </w:rPr>
              <w:t>·</w:t>
            </w:r>
            <w:r>
              <w:rPr>
                <w:rFonts w:hint="eastAsia"/>
                <w:sz w:val="24"/>
                <w:szCs w:val="24"/>
              </w:rPr>
              <w:t xml:space="preserve">结构设计：完成锁扣三维模型构建，重点优化防撬结构与适配性。  </w:t>
            </w:r>
          </w:p>
          <w:p w14:paraId="0CA7DA22">
            <w:pPr>
              <w:rPr>
                <w:rFonts w:hint="eastAsia"/>
                <w:sz w:val="24"/>
                <w:szCs w:val="24"/>
              </w:rPr>
            </w:pPr>
            <w:r>
              <w:rPr>
                <w:rFonts w:hint="eastAsia"/>
                <w:sz w:val="24"/>
                <w:szCs w:val="24"/>
                <w:lang w:val="en-US" w:eastAsia="zh-CN"/>
              </w:rPr>
              <w:t>·</w:t>
            </w:r>
            <w:r>
              <w:rPr>
                <w:rFonts w:hint="eastAsia"/>
                <w:sz w:val="24"/>
                <w:szCs w:val="24"/>
              </w:rPr>
              <w:t xml:space="preserve">渲染展示：制作动态演示视频，直观呈现锁扣开合机制与安装效果。  </w:t>
            </w:r>
          </w:p>
          <w:p w14:paraId="2B61A4B2">
            <w:pPr>
              <w:rPr>
                <w:rFonts w:hint="eastAsia"/>
                <w:sz w:val="24"/>
                <w:szCs w:val="24"/>
              </w:rPr>
            </w:pPr>
            <w:r>
              <w:rPr>
                <w:rFonts w:hint="eastAsia"/>
                <w:sz w:val="24"/>
                <w:szCs w:val="24"/>
              </w:rPr>
              <w:t xml:space="preserve"> </w:t>
            </w:r>
          </w:p>
          <w:p w14:paraId="1FEDD2EA">
            <w:pPr>
              <w:rPr>
                <w:b/>
                <w:bCs/>
                <w:sz w:val="24"/>
                <w:szCs w:val="24"/>
              </w:rPr>
            </w:pPr>
            <w:r>
              <w:rPr>
                <w:rFonts w:hint="eastAsia"/>
                <w:b/>
                <w:bCs/>
                <w:sz w:val="24"/>
                <w:szCs w:val="24"/>
              </w:rPr>
              <w:t>（</w:t>
            </w:r>
            <w:r>
              <w:rPr>
                <w:rFonts w:hint="eastAsia"/>
                <w:b/>
                <w:bCs/>
                <w:sz w:val="24"/>
                <w:szCs w:val="24"/>
                <w:lang w:val="en-US" w:eastAsia="zh-CN"/>
              </w:rPr>
              <w:t>三</w:t>
            </w:r>
            <w:r>
              <w:rPr>
                <w:rFonts w:hint="eastAsia"/>
                <w:b/>
                <w:bCs/>
                <w:sz w:val="24"/>
                <w:szCs w:val="24"/>
              </w:rPr>
              <w:t>）阶段性成果验收</w:t>
            </w:r>
          </w:p>
          <w:p w14:paraId="01C11EAC">
            <w:pPr>
              <w:rPr>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调研阶段</w:t>
            </w:r>
          </w:p>
          <w:p w14:paraId="68C260C8">
            <w:pPr>
              <w:rPr>
                <w:sz w:val="24"/>
                <w:szCs w:val="24"/>
              </w:rPr>
            </w:pPr>
            <w:r>
              <w:rPr>
                <w:rFonts w:hint="eastAsia"/>
                <w:sz w:val="24"/>
                <w:szCs w:val="24"/>
                <w:lang w:val="en-US" w:eastAsia="zh-CN"/>
              </w:rPr>
              <w:t>·</w:t>
            </w:r>
            <w:r>
              <w:rPr>
                <w:rFonts w:hint="eastAsia"/>
                <w:sz w:val="24"/>
                <w:szCs w:val="24"/>
              </w:rPr>
              <w:t xml:space="preserve">提交《问卷调查和随机采访报告》以及《实地调查报告》  </w:t>
            </w:r>
          </w:p>
          <w:p w14:paraId="0407D09F">
            <w:pPr>
              <w:rPr>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 xml:space="preserve">技术开发阶段 </w:t>
            </w:r>
          </w:p>
          <w:p w14:paraId="3ADB26D3">
            <w:pPr>
              <w:rPr>
                <w:sz w:val="24"/>
                <w:szCs w:val="24"/>
              </w:rPr>
            </w:pPr>
            <w:r>
              <w:rPr>
                <w:rFonts w:hint="eastAsia"/>
                <w:sz w:val="24"/>
                <w:szCs w:val="24"/>
                <w:lang w:val="en-US" w:eastAsia="zh-CN"/>
              </w:rPr>
              <w:t>·</w:t>
            </w:r>
            <w:r>
              <w:rPr>
                <w:rFonts w:hint="eastAsia"/>
                <w:sz w:val="24"/>
                <w:szCs w:val="24"/>
              </w:rPr>
              <w:t xml:space="preserve">小程序通过稳定性测试，机械锁扣设计方案得到实施。  </w:t>
            </w:r>
          </w:p>
          <w:p w14:paraId="046D35F0">
            <w:pPr>
              <w:rPr>
                <w:sz w:val="24"/>
                <w:szCs w:val="24"/>
              </w:rPr>
            </w:pPr>
            <w:r>
              <w:rPr>
                <w:rFonts w:hint="eastAsia"/>
                <w:sz w:val="24"/>
                <w:szCs w:val="24"/>
                <w:lang w:eastAsia="zh-CN"/>
              </w:rPr>
              <w:t>（</w:t>
            </w:r>
            <w:r>
              <w:rPr>
                <w:rFonts w:hint="eastAsia"/>
                <w:sz w:val="24"/>
                <w:szCs w:val="24"/>
                <w:lang w:val="en-US" w:eastAsia="zh-CN"/>
              </w:rPr>
              <w:t>3）</w:t>
            </w:r>
            <w:r>
              <w:rPr>
                <w:rFonts w:hint="eastAsia"/>
                <w:sz w:val="24"/>
                <w:szCs w:val="24"/>
              </w:rPr>
              <w:t xml:space="preserve">总结阶段 </w:t>
            </w:r>
          </w:p>
          <w:p w14:paraId="22AA7943">
            <w:pPr>
              <w:rPr>
                <w:rFonts w:hint="eastAsia" w:ascii="黑体" w:hAnsi="黑体" w:eastAsia="黑体" w:cs="黑体"/>
                <w:sz w:val="30"/>
                <w:szCs w:val="30"/>
                <w:lang w:val="en-US" w:eastAsia="zh-CN"/>
              </w:rPr>
            </w:pPr>
            <w:r>
              <w:rPr>
                <w:rFonts w:hint="eastAsia"/>
                <w:sz w:val="24"/>
                <w:szCs w:val="24"/>
                <w:lang w:val="en-US" w:eastAsia="zh-CN"/>
              </w:rPr>
              <w:t>·</w:t>
            </w:r>
            <w:r>
              <w:rPr>
                <w:rFonts w:hint="eastAsia"/>
                <w:sz w:val="24"/>
                <w:szCs w:val="24"/>
              </w:rPr>
              <w:t xml:space="preserve">编制《项目结题报告》，包含用户满意度调查、技术文档及推广数据。 </w:t>
            </w:r>
            <w:r>
              <w:rPr>
                <w:rFonts w:hint="eastAsia"/>
              </w:rPr>
              <w:t xml:space="preserve">  </w:t>
            </w:r>
          </w:p>
        </w:tc>
      </w:tr>
      <w:tr w14:paraId="6387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8561" w:type="dxa"/>
            <w:gridSpan w:val="5"/>
            <w:noWrap w:val="0"/>
            <w:vAlign w:val="center"/>
          </w:tcPr>
          <w:p w14:paraId="2AD215BA">
            <w:pPr>
              <w:rPr>
                <w:rFonts w:hint="default"/>
                <w:sz w:val="24"/>
                <w:szCs w:val="24"/>
                <w:lang w:val="en-US" w:eastAsia="zh-CN"/>
              </w:rPr>
            </w:pPr>
            <w:r>
              <w:rPr>
                <w:rFonts w:hint="eastAsia" w:ascii="黑体" w:hAnsi="黑体" w:eastAsia="黑体" w:cs="黑体"/>
                <w:sz w:val="30"/>
                <w:szCs w:val="30"/>
                <w:lang w:val="en-US" w:eastAsia="zh-CN"/>
              </w:rPr>
              <w:t>五、项目时间安排与执行情况</w:t>
            </w:r>
          </w:p>
        </w:tc>
      </w:tr>
      <w:tr w14:paraId="7031F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8561" w:type="dxa"/>
            <w:gridSpan w:val="5"/>
            <w:noWrap w:val="0"/>
            <w:vAlign w:val="center"/>
          </w:tcPr>
          <w:p w14:paraId="16F5761D">
            <w:pPr>
              <w:rPr>
                <w:rFonts w:hint="eastAsia" w:ascii="黑体" w:hAnsi="黑体" w:eastAsia="黑体" w:cs="黑体"/>
                <w:sz w:val="30"/>
                <w:szCs w:val="30"/>
                <w:lang w:val="en-US" w:eastAsia="zh-CN"/>
              </w:rPr>
            </w:pPr>
            <w:r>
              <w:rPr>
                <w:rFonts w:hint="eastAsia"/>
              </w:rPr>
              <w:drawing>
                <wp:inline distT="0" distB="0" distL="114300" distR="114300">
                  <wp:extent cx="5271135" cy="3768090"/>
                  <wp:effectExtent l="0" t="0" r="0" b="0"/>
                  <wp:docPr id="1" name="图片 1" descr="sq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qtp"/>
                          <pic:cNvPicPr>
                            <a:picLocks noChangeAspect="1"/>
                          </pic:cNvPicPr>
                        </pic:nvPicPr>
                        <pic:blipFill>
                          <a:blip r:embed="rId4"/>
                          <a:stretch>
                            <a:fillRect/>
                          </a:stretch>
                        </pic:blipFill>
                        <pic:spPr>
                          <a:xfrm>
                            <a:off x="0" y="0"/>
                            <a:ext cx="5271135" cy="3768090"/>
                          </a:xfrm>
                          <a:prstGeom prst="rect">
                            <a:avLst/>
                          </a:prstGeom>
                        </pic:spPr>
                      </pic:pic>
                    </a:graphicData>
                  </a:graphic>
                </wp:inline>
              </w:drawing>
            </w:r>
          </w:p>
        </w:tc>
      </w:tr>
    </w:tbl>
    <w:tbl>
      <w:tblPr>
        <w:tblStyle w:val="5"/>
        <w:tblW w:w="86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1"/>
        <w:gridCol w:w="1118"/>
        <w:gridCol w:w="2990"/>
        <w:gridCol w:w="3507"/>
      </w:tblGrid>
      <w:tr w14:paraId="0F95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74" w:type="dxa"/>
        </w:trPr>
        <w:tc>
          <w:tcPr>
            <w:tcW w:w="981" w:type="dxa"/>
          </w:tcPr>
          <w:p w14:paraId="499CBB8C">
            <w:r>
              <w:rPr>
                <w:rFonts w:hint="eastAsia" w:ascii="黑体" w:hAnsi="黑体" w:eastAsia="黑体"/>
                <w:sz w:val="30"/>
              </w:rPr>
              <w:t>主题</w:t>
            </w:r>
          </w:p>
        </w:tc>
        <w:tc>
          <w:tcPr>
            <w:tcW w:w="1118" w:type="dxa"/>
          </w:tcPr>
          <w:p w14:paraId="1CD3C9B2">
            <w:r>
              <w:rPr>
                <w:rFonts w:hint="eastAsia" w:ascii="黑体" w:hAnsi="黑体" w:eastAsia="黑体"/>
                <w:sz w:val="30"/>
              </w:rPr>
              <w:t>时间</w:t>
            </w:r>
          </w:p>
        </w:tc>
        <w:tc>
          <w:tcPr>
            <w:tcW w:w="2990" w:type="dxa"/>
          </w:tcPr>
          <w:p w14:paraId="03ED715B">
            <w:r>
              <w:rPr>
                <w:rFonts w:hint="eastAsia" w:ascii="黑体" w:hAnsi="宋体" w:eastAsia="黑体"/>
                <w:sz w:val="30"/>
              </w:rPr>
              <w:t>参加对象、人数</w:t>
            </w:r>
          </w:p>
        </w:tc>
        <w:tc>
          <w:tcPr>
            <w:tcW w:w="3507" w:type="dxa"/>
          </w:tcPr>
          <w:p w14:paraId="472272AB">
            <w:r>
              <w:rPr>
                <w:rFonts w:hint="eastAsia" w:ascii="黑体" w:hAnsi="宋体" w:eastAsia="黑体"/>
                <w:sz w:val="30"/>
              </w:rPr>
              <w:t>主要内容</w:t>
            </w:r>
          </w:p>
        </w:tc>
      </w:tr>
      <w:tr w14:paraId="3C58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Height w:val="2925" w:hRule="atLeast"/>
        </w:trPr>
        <w:tc>
          <w:tcPr>
            <w:tcW w:w="981" w:type="dxa"/>
          </w:tcPr>
          <w:p w14:paraId="0717665C">
            <w:r>
              <w:rPr>
                <w:rFonts w:hint="eastAsia" w:ascii="黑体" w:hAnsi="黑体" w:eastAsia="黑体" w:cs="黑体"/>
                <w:sz w:val="18"/>
                <w:szCs w:val="18"/>
              </w:rPr>
              <w:t>制作、发放问卷</w:t>
            </w:r>
          </w:p>
        </w:tc>
        <w:tc>
          <w:tcPr>
            <w:tcW w:w="1118" w:type="dxa"/>
          </w:tcPr>
          <w:p w14:paraId="27BE7E3D">
            <w:r>
              <w:rPr>
                <w:rFonts w:hint="eastAsia" w:ascii="黑体" w:hAnsi="黑体" w:eastAsia="黑体" w:cs="黑体"/>
                <w:sz w:val="18"/>
                <w:szCs w:val="18"/>
              </w:rPr>
              <w:t>2024/11/5-2024/12/6</w:t>
            </w:r>
          </w:p>
        </w:tc>
        <w:tc>
          <w:tcPr>
            <w:tcW w:w="2990" w:type="dxa"/>
          </w:tcPr>
          <w:p w14:paraId="51FDA115">
            <w:pPr>
              <w:spacing w:line="480" w:lineRule="auto"/>
              <w:rPr>
                <w:rFonts w:hint="eastAsia" w:ascii="黑体" w:hAnsi="黑体" w:eastAsia="黑体" w:cs="黑体"/>
                <w:sz w:val="18"/>
                <w:szCs w:val="18"/>
              </w:rPr>
            </w:pPr>
            <w:r>
              <w:rPr>
                <w:rFonts w:hint="eastAsia" w:ascii="黑体" w:hAnsi="黑体" w:eastAsia="黑体" w:cs="黑体"/>
                <w:sz w:val="18"/>
                <w:szCs w:val="18"/>
              </w:rPr>
              <w:t>10</w:t>
            </w:r>
          </w:p>
          <w:p w14:paraId="0A1981F1">
            <w:r>
              <w:rPr>
                <w:rFonts w:hint="eastAsia" w:ascii="黑体" w:hAnsi="黑体" w:eastAsia="黑体" w:cs="黑体"/>
                <w:sz w:val="18"/>
                <w:szCs w:val="18"/>
              </w:rPr>
              <w:t>王颢璇、张煜晖、陈子乐、毛煜笑、伍睿祎、张倚晴、方康哲、阮文斌、周婧璇、吴雨萱</w:t>
            </w:r>
          </w:p>
        </w:tc>
        <w:tc>
          <w:tcPr>
            <w:tcW w:w="3507" w:type="dxa"/>
            <w:shd w:val="clear" w:color="auto" w:fill="auto"/>
          </w:tcPr>
          <w:p w14:paraId="0F9AAFD4">
            <w:pPr>
              <w:spacing w:line="480" w:lineRule="auto"/>
              <w:rPr>
                <w:rFonts w:hint="eastAsia" w:ascii="黑体" w:hAnsi="黑体" w:eastAsia="黑体" w:cs="黑体"/>
                <w:sz w:val="18"/>
                <w:szCs w:val="18"/>
              </w:rPr>
            </w:pPr>
            <w:r>
              <w:rPr>
                <w:rFonts w:hint="eastAsia" w:ascii="黑体" w:hAnsi="黑体" w:eastAsia="黑体" w:cs="黑体"/>
                <w:sz w:val="18"/>
                <w:szCs w:val="18"/>
              </w:rPr>
              <w:t>向同学发放问卷，调查同学对现学校充电桩的满意度，平时自己充电时遇到的问题，建议等</w:t>
            </w:r>
          </w:p>
        </w:tc>
      </w:tr>
      <w:tr w14:paraId="094C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Pr>
        <w:tc>
          <w:tcPr>
            <w:tcW w:w="981" w:type="dxa"/>
          </w:tcPr>
          <w:p w14:paraId="199548C0">
            <w:r>
              <w:rPr>
                <w:rFonts w:hint="eastAsia" w:ascii="黑体" w:hAnsi="黑体" w:eastAsia="黑体" w:cs="黑体"/>
                <w:sz w:val="18"/>
                <w:szCs w:val="18"/>
              </w:rPr>
              <w:t>进行随机采访</w:t>
            </w:r>
          </w:p>
        </w:tc>
        <w:tc>
          <w:tcPr>
            <w:tcW w:w="1118" w:type="dxa"/>
          </w:tcPr>
          <w:p w14:paraId="0F149E9B">
            <w:r>
              <w:rPr>
                <w:rFonts w:hint="eastAsia" w:ascii="黑体" w:hAnsi="黑体" w:eastAsia="黑体" w:cs="黑体"/>
                <w:sz w:val="18"/>
                <w:szCs w:val="18"/>
              </w:rPr>
              <w:t>2024/12/6</w:t>
            </w:r>
          </w:p>
        </w:tc>
        <w:tc>
          <w:tcPr>
            <w:tcW w:w="2990" w:type="dxa"/>
          </w:tcPr>
          <w:p w14:paraId="25156445">
            <w:pPr>
              <w:spacing w:line="480" w:lineRule="auto"/>
              <w:rPr>
                <w:rFonts w:hint="eastAsia" w:ascii="黑体" w:hAnsi="黑体" w:eastAsia="黑体" w:cs="黑体"/>
                <w:sz w:val="18"/>
                <w:szCs w:val="18"/>
              </w:rPr>
            </w:pPr>
            <w:r>
              <w:rPr>
                <w:rFonts w:hint="eastAsia" w:ascii="黑体" w:hAnsi="黑体" w:eastAsia="黑体" w:cs="黑体"/>
                <w:sz w:val="18"/>
                <w:szCs w:val="18"/>
              </w:rPr>
              <w:t xml:space="preserve">2 </w:t>
            </w:r>
          </w:p>
          <w:p w14:paraId="40B47B3D">
            <w:r>
              <w:rPr>
                <w:rFonts w:hint="eastAsia" w:ascii="黑体" w:hAnsi="黑体" w:eastAsia="黑体" w:cs="黑体"/>
                <w:sz w:val="18"/>
                <w:szCs w:val="18"/>
              </w:rPr>
              <w:t>王颢璇、张煜晖</w:t>
            </w:r>
          </w:p>
        </w:tc>
        <w:tc>
          <w:tcPr>
            <w:tcW w:w="3507" w:type="dxa"/>
          </w:tcPr>
          <w:p w14:paraId="66E8BAA2">
            <w:r>
              <w:rPr>
                <w:rFonts w:hint="eastAsia" w:ascii="黑体" w:hAnsi="黑体" w:eastAsia="黑体" w:cs="黑体"/>
                <w:sz w:val="18"/>
                <w:szCs w:val="18"/>
              </w:rPr>
              <w:t>对同学进行随机采访，调查同学对现学校充电桩的满意度，平时自己充电时遇到的问题，建议等</w:t>
            </w:r>
          </w:p>
        </w:tc>
      </w:tr>
      <w:tr w14:paraId="758E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Pr>
        <w:tc>
          <w:tcPr>
            <w:tcW w:w="981" w:type="dxa"/>
          </w:tcPr>
          <w:p w14:paraId="634CA9F9">
            <w:r>
              <w:rPr>
                <w:rFonts w:hint="eastAsia" w:ascii="黑体" w:hAnsi="黑体" w:eastAsia="黑体" w:cs="黑体"/>
                <w:sz w:val="18"/>
                <w:szCs w:val="18"/>
              </w:rPr>
              <w:t>完成调查报告一篇</w:t>
            </w:r>
          </w:p>
        </w:tc>
        <w:tc>
          <w:tcPr>
            <w:tcW w:w="1118" w:type="dxa"/>
          </w:tcPr>
          <w:p w14:paraId="0F21A182">
            <w:r>
              <w:rPr>
                <w:rFonts w:hint="eastAsia" w:ascii="黑体" w:hAnsi="黑体" w:eastAsia="黑体" w:cs="黑体"/>
                <w:sz w:val="18"/>
                <w:szCs w:val="18"/>
              </w:rPr>
              <w:t>2024/12/10</w:t>
            </w:r>
          </w:p>
        </w:tc>
        <w:tc>
          <w:tcPr>
            <w:tcW w:w="2990" w:type="dxa"/>
          </w:tcPr>
          <w:p w14:paraId="183DA8DC">
            <w:pPr>
              <w:spacing w:line="480" w:lineRule="auto"/>
              <w:rPr>
                <w:rFonts w:hint="eastAsia" w:ascii="黑体" w:hAnsi="黑体" w:eastAsia="黑体" w:cs="黑体"/>
                <w:sz w:val="18"/>
                <w:szCs w:val="18"/>
              </w:rPr>
            </w:pPr>
            <w:r>
              <w:rPr>
                <w:rFonts w:hint="eastAsia" w:ascii="黑体" w:hAnsi="黑体" w:eastAsia="黑体" w:cs="黑体"/>
                <w:sz w:val="18"/>
                <w:szCs w:val="18"/>
              </w:rPr>
              <w:t>1</w:t>
            </w:r>
          </w:p>
          <w:p w14:paraId="1083AEFB">
            <w:r>
              <w:rPr>
                <w:rFonts w:hint="eastAsia" w:ascii="黑体" w:hAnsi="黑体" w:eastAsia="黑体" w:cs="黑体"/>
                <w:sz w:val="18"/>
                <w:szCs w:val="18"/>
              </w:rPr>
              <w:t>阮文斌</w:t>
            </w:r>
          </w:p>
        </w:tc>
        <w:tc>
          <w:tcPr>
            <w:tcW w:w="3507" w:type="dxa"/>
          </w:tcPr>
          <w:p w14:paraId="26DC895C">
            <w:r>
              <w:rPr>
                <w:rFonts w:hint="eastAsia" w:ascii="黑体" w:hAnsi="黑体" w:eastAsia="黑体" w:cs="黑体"/>
                <w:sz w:val="18"/>
                <w:szCs w:val="18"/>
              </w:rPr>
              <w:t>完成问卷调查与随机采访的报告一篇</w:t>
            </w:r>
          </w:p>
        </w:tc>
      </w:tr>
      <w:tr w14:paraId="1536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Pr>
        <w:tc>
          <w:tcPr>
            <w:tcW w:w="981" w:type="dxa"/>
          </w:tcPr>
          <w:p w14:paraId="6F62F0A0">
            <w:r>
              <w:rPr>
                <w:rFonts w:hint="eastAsia" w:ascii="黑体" w:hAnsi="黑体" w:eastAsia="黑体" w:cs="黑体"/>
                <w:sz w:val="18"/>
                <w:szCs w:val="18"/>
              </w:rPr>
              <w:t>校内外充电桩实地调查</w:t>
            </w:r>
          </w:p>
        </w:tc>
        <w:tc>
          <w:tcPr>
            <w:tcW w:w="1118" w:type="dxa"/>
          </w:tcPr>
          <w:p w14:paraId="41B62C47">
            <w:r>
              <w:rPr>
                <w:rFonts w:hint="eastAsia" w:ascii="黑体" w:hAnsi="黑体" w:eastAsia="黑体" w:cs="黑体"/>
                <w:sz w:val="18"/>
                <w:szCs w:val="18"/>
              </w:rPr>
              <w:t>2024/12/13</w:t>
            </w:r>
          </w:p>
        </w:tc>
        <w:tc>
          <w:tcPr>
            <w:tcW w:w="2990" w:type="dxa"/>
          </w:tcPr>
          <w:p w14:paraId="04CD66E7">
            <w:pPr>
              <w:spacing w:line="480" w:lineRule="auto"/>
              <w:rPr>
                <w:rFonts w:hint="eastAsia" w:ascii="黑体" w:hAnsi="黑体" w:eastAsia="黑体" w:cs="黑体"/>
                <w:sz w:val="18"/>
                <w:szCs w:val="18"/>
              </w:rPr>
            </w:pPr>
            <w:r>
              <w:rPr>
                <w:rFonts w:hint="eastAsia" w:ascii="黑体" w:hAnsi="黑体" w:eastAsia="黑体" w:cs="黑体"/>
                <w:sz w:val="18"/>
                <w:szCs w:val="18"/>
              </w:rPr>
              <w:t>10</w:t>
            </w:r>
          </w:p>
          <w:p w14:paraId="56F16DDB">
            <w:pPr>
              <w:spacing w:line="480" w:lineRule="auto"/>
            </w:pPr>
            <w:r>
              <w:rPr>
                <w:rFonts w:hint="eastAsia" w:ascii="黑体" w:hAnsi="黑体" w:eastAsia="黑体" w:cs="黑体"/>
                <w:sz w:val="18"/>
                <w:szCs w:val="18"/>
              </w:rPr>
              <w:t>王颢璇、张煜晖、陈子乐、毛煜笑、伍睿祎、张倚晴、方康哲、阮文斌、周婧璇、吴雨萱</w:t>
            </w:r>
          </w:p>
        </w:tc>
        <w:tc>
          <w:tcPr>
            <w:tcW w:w="3507" w:type="dxa"/>
          </w:tcPr>
          <w:p w14:paraId="07103E68">
            <w:r>
              <w:rPr>
                <w:rFonts w:hint="eastAsia" w:ascii="黑体" w:hAnsi="黑体" w:eastAsia="黑体" w:cs="黑体"/>
                <w:sz w:val="18"/>
                <w:szCs w:val="18"/>
              </w:rPr>
              <w:t>去学校各个充电区观察问题所在，并去校外一些充电比较有序的地方进行学习考察</w:t>
            </w:r>
          </w:p>
        </w:tc>
      </w:tr>
      <w:tr w14:paraId="077B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Pr>
        <w:tc>
          <w:tcPr>
            <w:tcW w:w="981" w:type="dxa"/>
          </w:tcPr>
          <w:p w14:paraId="743277B4">
            <w:r>
              <w:rPr>
                <w:rFonts w:hint="eastAsia" w:ascii="黑体" w:hAnsi="黑体" w:eastAsia="黑体" w:cs="黑体"/>
                <w:sz w:val="18"/>
                <w:szCs w:val="18"/>
              </w:rPr>
              <w:t>完成实践报告一篇</w:t>
            </w:r>
          </w:p>
        </w:tc>
        <w:tc>
          <w:tcPr>
            <w:tcW w:w="1118" w:type="dxa"/>
          </w:tcPr>
          <w:p w14:paraId="4F27315F">
            <w:r>
              <w:rPr>
                <w:rFonts w:hint="eastAsia" w:ascii="黑体" w:hAnsi="黑体" w:eastAsia="黑体" w:cs="黑体"/>
                <w:sz w:val="18"/>
                <w:szCs w:val="18"/>
              </w:rPr>
              <w:t>2024/12/17</w:t>
            </w:r>
          </w:p>
        </w:tc>
        <w:tc>
          <w:tcPr>
            <w:tcW w:w="2990" w:type="dxa"/>
          </w:tcPr>
          <w:p w14:paraId="2D9DE274">
            <w:pPr>
              <w:spacing w:line="480" w:lineRule="auto"/>
              <w:rPr>
                <w:rFonts w:hint="eastAsia" w:ascii="黑体" w:hAnsi="黑体" w:eastAsia="黑体" w:cs="黑体"/>
                <w:sz w:val="18"/>
                <w:szCs w:val="18"/>
              </w:rPr>
            </w:pPr>
            <w:r>
              <w:rPr>
                <w:rFonts w:hint="eastAsia" w:ascii="黑体" w:hAnsi="黑体" w:eastAsia="黑体" w:cs="黑体"/>
                <w:sz w:val="18"/>
                <w:szCs w:val="18"/>
              </w:rPr>
              <w:t>1</w:t>
            </w:r>
          </w:p>
          <w:p w14:paraId="1D0546EC">
            <w:r>
              <w:rPr>
                <w:rFonts w:hint="eastAsia" w:ascii="黑体" w:hAnsi="黑体" w:eastAsia="黑体" w:cs="黑体"/>
                <w:sz w:val="18"/>
                <w:szCs w:val="18"/>
              </w:rPr>
              <w:t>周婧璇</w:t>
            </w:r>
          </w:p>
        </w:tc>
        <w:tc>
          <w:tcPr>
            <w:tcW w:w="3507" w:type="dxa"/>
          </w:tcPr>
          <w:p w14:paraId="6E7E89D9">
            <w:r>
              <w:rPr>
                <w:rFonts w:hint="eastAsia" w:ascii="黑体" w:hAnsi="黑体" w:eastAsia="黑体" w:cs="黑体"/>
                <w:sz w:val="18"/>
                <w:szCs w:val="18"/>
              </w:rPr>
              <w:t>完成一篇充电桩实地调查报告</w:t>
            </w:r>
          </w:p>
        </w:tc>
      </w:tr>
      <w:tr w14:paraId="57443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Pr>
        <w:tc>
          <w:tcPr>
            <w:tcW w:w="981" w:type="dxa"/>
          </w:tcPr>
          <w:p w14:paraId="1D6A08C0">
            <w:r>
              <w:rPr>
                <w:rFonts w:hint="eastAsia" w:ascii="黑体" w:hAnsi="黑体" w:eastAsia="黑体" w:cs="黑体"/>
                <w:sz w:val="18"/>
                <w:szCs w:val="18"/>
              </w:rPr>
              <w:t>小程序制作的网课学习</w:t>
            </w:r>
          </w:p>
        </w:tc>
        <w:tc>
          <w:tcPr>
            <w:tcW w:w="1118" w:type="dxa"/>
          </w:tcPr>
          <w:p w14:paraId="07DE6474">
            <w:r>
              <w:rPr>
                <w:rFonts w:hint="eastAsia" w:ascii="黑体" w:hAnsi="黑体" w:eastAsia="黑体" w:cs="黑体"/>
                <w:sz w:val="18"/>
                <w:szCs w:val="18"/>
              </w:rPr>
              <w:t>2025/1/10-2025/1/25</w:t>
            </w:r>
          </w:p>
        </w:tc>
        <w:tc>
          <w:tcPr>
            <w:tcW w:w="2990" w:type="dxa"/>
          </w:tcPr>
          <w:p w14:paraId="79C05A2E">
            <w:pPr>
              <w:spacing w:line="480" w:lineRule="auto"/>
              <w:rPr>
                <w:rFonts w:hint="eastAsia" w:ascii="黑体" w:hAnsi="黑体" w:eastAsia="黑体" w:cs="黑体"/>
                <w:sz w:val="18"/>
                <w:szCs w:val="18"/>
              </w:rPr>
            </w:pPr>
            <w:r>
              <w:rPr>
                <w:rFonts w:hint="eastAsia" w:ascii="黑体" w:hAnsi="黑体" w:eastAsia="黑体" w:cs="黑体"/>
                <w:sz w:val="18"/>
                <w:szCs w:val="18"/>
              </w:rPr>
              <w:t>10</w:t>
            </w:r>
          </w:p>
          <w:p w14:paraId="63507EB6">
            <w:r>
              <w:rPr>
                <w:rFonts w:hint="eastAsia" w:ascii="黑体" w:hAnsi="黑体" w:eastAsia="黑体" w:cs="黑体"/>
                <w:sz w:val="18"/>
                <w:szCs w:val="18"/>
              </w:rPr>
              <w:t>王颢璇、张煜晖、陈子乐、毛煜笑、伍睿祎、张倚晴、方康哲、阮文斌、周婧璇、吴雨萱</w:t>
            </w:r>
          </w:p>
        </w:tc>
        <w:tc>
          <w:tcPr>
            <w:tcW w:w="3507" w:type="dxa"/>
          </w:tcPr>
          <w:p w14:paraId="2219EA74">
            <w:r>
              <w:rPr>
                <w:rFonts w:hint="eastAsia" w:ascii="黑体" w:hAnsi="黑体" w:eastAsia="黑体" w:cs="黑体"/>
                <w:sz w:val="18"/>
                <w:szCs w:val="18"/>
              </w:rPr>
              <w:t>进行小程序制作的基础知识学习，总结小程序制作的关键点与难点。</w:t>
            </w:r>
          </w:p>
        </w:tc>
      </w:tr>
      <w:tr w14:paraId="7333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Pr>
        <w:tc>
          <w:tcPr>
            <w:tcW w:w="981" w:type="dxa"/>
          </w:tcPr>
          <w:p w14:paraId="6E3BCCAD">
            <w:r>
              <w:rPr>
                <w:rFonts w:hint="eastAsia" w:ascii="黑体" w:hAnsi="黑体" w:eastAsia="黑体" w:cs="黑体"/>
                <w:sz w:val="18"/>
                <w:szCs w:val="18"/>
              </w:rPr>
              <w:t>邀请专业同学进行小程序制作指导</w:t>
            </w:r>
          </w:p>
        </w:tc>
        <w:tc>
          <w:tcPr>
            <w:tcW w:w="1118" w:type="dxa"/>
          </w:tcPr>
          <w:p w14:paraId="0727ED8E">
            <w:r>
              <w:rPr>
                <w:rFonts w:hint="eastAsia" w:ascii="黑体" w:hAnsi="黑体" w:eastAsia="黑体" w:cs="黑体"/>
                <w:sz w:val="18"/>
                <w:szCs w:val="18"/>
              </w:rPr>
              <w:t>2025/2/18</w:t>
            </w:r>
          </w:p>
        </w:tc>
        <w:tc>
          <w:tcPr>
            <w:tcW w:w="2990" w:type="dxa"/>
          </w:tcPr>
          <w:p w14:paraId="21D118DC">
            <w:pPr>
              <w:spacing w:line="480" w:lineRule="auto"/>
              <w:rPr>
                <w:rFonts w:hint="eastAsia" w:ascii="黑体" w:hAnsi="黑体" w:eastAsia="黑体" w:cs="黑体"/>
                <w:sz w:val="18"/>
                <w:szCs w:val="18"/>
              </w:rPr>
            </w:pPr>
            <w:r>
              <w:rPr>
                <w:rFonts w:hint="eastAsia" w:ascii="黑体" w:hAnsi="黑体" w:eastAsia="黑体" w:cs="黑体"/>
                <w:sz w:val="18"/>
                <w:szCs w:val="18"/>
              </w:rPr>
              <w:t>1</w:t>
            </w:r>
          </w:p>
          <w:p w14:paraId="6DB37334">
            <w:r>
              <w:rPr>
                <w:rFonts w:hint="eastAsia" w:ascii="黑体" w:hAnsi="黑体" w:eastAsia="黑体" w:cs="黑体"/>
                <w:sz w:val="18"/>
                <w:szCs w:val="18"/>
              </w:rPr>
              <w:t>王颢璇</w:t>
            </w:r>
          </w:p>
        </w:tc>
        <w:tc>
          <w:tcPr>
            <w:tcW w:w="3507" w:type="dxa"/>
          </w:tcPr>
          <w:p w14:paraId="18579671">
            <w:r>
              <w:rPr>
                <w:rFonts w:hint="eastAsia" w:ascii="黑体" w:hAnsi="黑体" w:eastAsia="黑体" w:cs="黑体"/>
                <w:sz w:val="18"/>
                <w:szCs w:val="18"/>
              </w:rPr>
              <w:t>请专业同学进行小程序制作的专业知识指导，并帮忙进行部分程序编写。</w:t>
            </w:r>
          </w:p>
        </w:tc>
      </w:tr>
      <w:tr w14:paraId="1C63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Pr>
        <w:tc>
          <w:tcPr>
            <w:tcW w:w="981" w:type="dxa"/>
          </w:tcPr>
          <w:p w14:paraId="0D50D740">
            <w:r>
              <w:rPr>
                <w:rFonts w:hint="eastAsia" w:ascii="黑体" w:hAnsi="黑体" w:eastAsia="黑体" w:cs="黑体"/>
                <w:sz w:val="18"/>
                <w:szCs w:val="18"/>
              </w:rPr>
              <w:t>给校方发送建议邮件</w:t>
            </w:r>
          </w:p>
        </w:tc>
        <w:tc>
          <w:tcPr>
            <w:tcW w:w="1118" w:type="dxa"/>
          </w:tcPr>
          <w:p w14:paraId="715E6BB8">
            <w:r>
              <w:rPr>
                <w:rFonts w:hint="eastAsia" w:ascii="黑体" w:hAnsi="黑体" w:eastAsia="黑体" w:cs="黑体"/>
                <w:sz w:val="18"/>
                <w:szCs w:val="18"/>
              </w:rPr>
              <w:t>2025/3/4</w:t>
            </w:r>
          </w:p>
        </w:tc>
        <w:tc>
          <w:tcPr>
            <w:tcW w:w="2990" w:type="dxa"/>
          </w:tcPr>
          <w:p w14:paraId="4E5757E5">
            <w:pPr>
              <w:spacing w:line="480" w:lineRule="auto"/>
              <w:rPr>
                <w:rFonts w:hint="eastAsia" w:ascii="黑体" w:hAnsi="黑体" w:eastAsia="黑体" w:cs="黑体"/>
                <w:sz w:val="18"/>
                <w:szCs w:val="18"/>
              </w:rPr>
            </w:pPr>
            <w:r>
              <w:rPr>
                <w:rFonts w:hint="eastAsia" w:ascii="黑体" w:hAnsi="黑体" w:eastAsia="黑体" w:cs="黑体"/>
                <w:sz w:val="18"/>
                <w:szCs w:val="18"/>
              </w:rPr>
              <w:t>1</w:t>
            </w:r>
          </w:p>
          <w:p w14:paraId="07D3D552">
            <w:r>
              <w:rPr>
                <w:rFonts w:hint="eastAsia" w:ascii="黑体" w:hAnsi="黑体" w:eastAsia="黑体" w:cs="黑体"/>
                <w:sz w:val="18"/>
                <w:szCs w:val="18"/>
              </w:rPr>
              <w:t>伍睿祎</w:t>
            </w:r>
          </w:p>
        </w:tc>
        <w:tc>
          <w:tcPr>
            <w:tcW w:w="3507" w:type="dxa"/>
          </w:tcPr>
          <w:p w14:paraId="64AB5832"/>
        </w:tc>
      </w:tr>
      <w:tr w14:paraId="44230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Pr>
        <w:tc>
          <w:tcPr>
            <w:tcW w:w="981" w:type="dxa"/>
          </w:tcPr>
          <w:p w14:paraId="296E431F">
            <w:r>
              <w:rPr>
                <w:rFonts w:hint="eastAsia" w:ascii="黑体" w:hAnsi="黑体" w:eastAsia="黑体" w:cs="黑体"/>
                <w:sz w:val="18"/>
                <w:szCs w:val="18"/>
              </w:rPr>
              <w:t>微信小程序的大致编写</w:t>
            </w:r>
          </w:p>
        </w:tc>
        <w:tc>
          <w:tcPr>
            <w:tcW w:w="1118" w:type="dxa"/>
          </w:tcPr>
          <w:p w14:paraId="0611D282">
            <w:r>
              <w:rPr>
                <w:rFonts w:hint="eastAsia" w:ascii="黑体" w:hAnsi="黑体" w:eastAsia="黑体" w:cs="黑体"/>
                <w:sz w:val="18"/>
                <w:szCs w:val="18"/>
              </w:rPr>
              <w:t>2025/3/29-2025/4/14</w:t>
            </w:r>
          </w:p>
        </w:tc>
        <w:tc>
          <w:tcPr>
            <w:tcW w:w="2990" w:type="dxa"/>
          </w:tcPr>
          <w:p w14:paraId="74C57B52">
            <w:pPr>
              <w:spacing w:line="480" w:lineRule="auto"/>
              <w:rPr>
                <w:rFonts w:hint="eastAsia" w:ascii="黑体" w:hAnsi="黑体" w:eastAsia="黑体" w:cs="黑体"/>
                <w:sz w:val="18"/>
                <w:szCs w:val="18"/>
              </w:rPr>
            </w:pPr>
            <w:r>
              <w:rPr>
                <w:rFonts w:hint="eastAsia" w:ascii="黑体" w:hAnsi="黑体" w:eastAsia="黑体" w:cs="黑体"/>
                <w:sz w:val="18"/>
                <w:szCs w:val="18"/>
              </w:rPr>
              <w:t>10</w:t>
            </w:r>
          </w:p>
          <w:p w14:paraId="5718FE89">
            <w:r>
              <w:rPr>
                <w:rFonts w:hint="eastAsia" w:ascii="黑体" w:hAnsi="黑体" w:eastAsia="黑体" w:cs="黑体"/>
                <w:sz w:val="18"/>
                <w:szCs w:val="18"/>
              </w:rPr>
              <w:t>王颢璇、张煜晖、陈子乐、毛煜笑、伍睿祎、张倚晴、方康哲、阮文斌、周婧璇、吴雨萱</w:t>
            </w:r>
          </w:p>
        </w:tc>
        <w:tc>
          <w:tcPr>
            <w:tcW w:w="3507" w:type="dxa"/>
          </w:tcPr>
          <w:p w14:paraId="74E9B072">
            <w:r>
              <w:rPr>
                <w:rFonts w:hint="eastAsia" w:ascii="黑体" w:hAnsi="黑体" w:eastAsia="黑体" w:cs="黑体"/>
                <w:sz w:val="18"/>
                <w:szCs w:val="18"/>
                <w:lang w:val="en-US" w:eastAsia="zh-CN"/>
              </w:rPr>
              <w:t>完成</w:t>
            </w:r>
            <w:r>
              <w:rPr>
                <w:rFonts w:hint="eastAsia" w:ascii="黑体" w:hAnsi="黑体" w:eastAsia="黑体" w:cs="黑体"/>
                <w:sz w:val="18"/>
                <w:szCs w:val="18"/>
              </w:rPr>
              <w:t>小程序的</w:t>
            </w:r>
            <w:r>
              <w:rPr>
                <w:rFonts w:hint="eastAsia" w:ascii="黑体" w:hAnsi="黑体" w:eastAsia="黑体" w:cs="黑体"/>
                <w:sz w:val="18"/>
                <w:szCs w:val="18"/>
                <w:lang w:val="en-US" w:eastAsia="zh-CN"/>
              </w:rPr>
              <w:t>大致</w:t>
            </w:r>
            <w:r>
              <w:rPr>
                <w:rFonts w:hint="eastAsia" w:ascii="黑体" w:hAnsi="黑体" w:eastAsia="黑体" w:cs="黑体"/>
                <w:sz w:val="18"/>
                <w:szCs w:val="18"/>
              </w:rPr>
              <w:t>编写</w:t>
            </w:r>
          </w:p>
        </w:tc>
      </w:tr>
      <w:tr w14:paraId="6F0D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Pr>
        <w:tc>
          <w:tcPr>
            <w:tcW w:w="981" w:type="dxa"/>
          </w:tcPr>
          <w:p w14:paraId="0FE02176">
            <w:pPr>
              <w:rPr>
                <w:rFonts w:hint="eastAsia" w:ascii="黑体" w:hAnsi="黑体" w:eastAsia="黑体" w:cs="黑体"/>
                <w:sz w:val="18"/>
                <w:szCs w:val="18"/>
              </w:rPr>
            </w:pPr>
            <w:r>
              <w:rPr>
                <w:rFonts w:hint="eastAsia" w:ascii="黑体" w:hAnsi="黑体" w:eastAsia="黑体" w:cs="黑体"/>
                <w:sz w:val="18"/>
                <w:szCs w:val="18"/>
              </w:rPr>
              <w:t>充电桩机械锁扣的渲染视频制作</w:t>
            </w:r>
          </w:p>
        </w:tc>
        <w:tc>
          <w:tcPr>
            <w:tcW w:w="1118" w:type="dxa"/>
          </w:tcPr>
          <w:p w14:paraId="24705993">
            <w:pPr>
              <w:rPr>
                <w:rFonts w:hint="eastAsia" w:ascii="黑体" w:hAnsi="黑体" w:eastAsia="黑体" w:cs="黑体"/>
                <w:sz w:val="18"/>
                <w:szCs w:val="18"/>
              </w:rPr>
            </w:pPr>
            <w:r>
              <w:rPr>
                <w:rFonts w:hint="eastAsia" w:ascii="黑体" w:hAnsi="黑体" w:eastAsia="黑体" w:cs="黑体"/>
                <w:sz w:val="18"/>
                <w:szCs w:val="18"/>
              </w:rPr>
              <w:t>2025/4/16-2025/4/18</w:t>
            </w:r>
          </w:p>
        </w:tc>
        <w:tc>
          <w:tcPr>
            <w:tcW w:w="2990" w:type="dxa"/>
          </w:tcPr>
          <w:p w14:paraId="05292E9A">
            <w:pPr>
              <w:spacing w:line="480" w:lineRule="auto"/>
              <w:rPr>
                <w:rFonts w:hint="eastAsia" w:ascii="黑体" w:hAnsi="黑体" w:eastAsia="黑体" w:cs="黑体"/>
                <w:sz w:val="18"/>
                <w:szCs w:val="18"/>
              </w:rPr>
            </w:pPr>
            <w:r>
              <w:rPr>
                <w:rFonts w:hint="eastAsia" w:ascii="黑体" w:hAnsi="黑体" w:eastAsia="黑体" w:cs="黑体"/>
                <w:sz w:val="18"/>
                <w:szCs w:val="18"/>
              </w:rPr>
              <w:t>10</w:t>
            </w:r>
          </w:p>
          <w:p w14:paraId="17ED8764">
            <w:pPr>
              <w:rPr>
                <w:rFonts w:hint="eastAsia" w:ascii="黑体" w:hAnsi="黑体" w:eastAsia="黑体" w:cs="黑体"/>
                <w:sz w:val="18"/>
                <w:szCs w:val="18"/>
              </w:rPr>
            </w:pPr>
            <w:r>
              <w:rPr>
                <w:rFonts w:hint="eastAsia" w:ascii="黑体" w:hAnsi="黑体" w:eastAsia="黑体" w:cs="黑体"/>
                <w:sz w:val="18"/>
                <w:szCs w:val="18"/>
              </w:rPr>
              <w:t>王颢璇、张煜晖、陈子乐、毛煜笑、伍睿祎、张倚晴、方康哲、阮文斌、周婧璇、吴雨萱</w:t>
            </w:r>
          </w:p>
        </w:tc>
        <w:tc>
          <w:tcPr>
            <w:tcW w:w="3507" w:type="dxa"/>
          </w:tcPr>
          <w:p w14:paraId="0E6FB8B6">
            <w:pPr>
              <w:rPr>
                <w:rFonts w:hint="eastAsia" w:ascii="黑体" w:hAnsi="黑体" w:eastAsia="黑体" w:cs="黑体"/>
                <w:sz w:val="18"/>
                <w:szCs w:val="18"/>
              </w:rPr>
            </w:pPr>
            <w:r>
              <w:rPr>
                <w:rFonts w:hint="eastAsia" w:ascii="黑体" w:hAnsi="黑体" w:eastAsia="黑体" w:cs="黑体"/>
                <w:sz w:val="18"/>
                <w:szCs w:val="18"/>
              </w:rPr>
              <w:t>在专业同学的帮助下设计机械锁扣并进行渲染视频的制作</w:t>
            </w:r>
          </w:p>
        </w:tc>
      </w:tr>
      <w:tr w14:paraId="06564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Pr>
        <w:tc>
          <w:tcPr>
            <w:tcW w:w="981" w:type="dxa"/>
          </w:tcPr>
          <w:p w14:paraId="4F4273EA">
            <w:pPr>
              <w:rPr>
                <w:rFonts w:hint="eastAsia" w:ascii="黑体" w:hAnsi="黑体" w:eastAsia="黑体" w:cs="黑体"/>
                <w:sz w:val="18"/>
                <w:szCs w:val="18"/>
              </w:rPr>
            </w:pPr>
            <w:r>
              <w:rPr>
                <w:rFonts w:hint="eastAsia" w:ascii="黑体" w:hAnsi="黑体" w:eastAsia="黑体" w:cs="黑体"/>
                <w:sz w:val="18"/>
                <w:szCs w:val="18"/>
                <w:lang w:val="en-US" w:eastAsia="zh-CN"/>
              </w:rPr>
              <w:t>完成结项报告一篇</w:t>
            </w:r>
          </w:p>
        </w:tc>
        <w:tc>
          <w:tcPr>
            <w:tcW w:w="1118" w:type="dxa"/>
          </w:tcPr>
          <w:p w14:paraId="107179A4">
            <w:pPr>
              <w:rPr>
                <w:rFonts w:hint="eastAsia" w:ascii="黑体" w:hAnsi="黑体" w:eastAsia="黑体" w:cs="黑体"/>
                <w:sz w:val="18"/>
                <w:szCs w:val="18"/>
              </w:rPr>
            </w:pPr>
            <w:r>
              <w:rPr>
                <w:rFonts w:hint="eastAsia" w:ascii="黑体" w:hAnsi="黑体" w:eastAsia="黑体" w:cs="黑体"/>
                <w:sz w:val="18"/>
                <w:szCs w:val="18"/>
                <w:lang w:val="en-US" w:eastAsia="zh-CN"/>
              </w:rPr>
              <w:t>2025/5/1-2025/5/8</w:t>
            </w:r>
          </w:p>
        </w:tc>
        <w:tc>
          <w:tcPr>
            <w:tcW w:w="2990" w:type="dxa"/>
          </w:tcPr>
          <w:p w14:paraId="0B82A186">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10</w:t>
            </w:r>
          </w:p>
          <w:p w14:paraId="24FB1BE6">
            <w:pPr>
              <w:rPr>
                <w:rFonts w:hint="eastAsia" w:ascii="黑体" w:hAnsi="黑体" w:eastAsia="黑体" w:cs="黑体"/>
                <w:sz w:val="18"/>
                <w:szCs w:val="18"/>
                <w:lang w:val="en-US" w:eastAsia="zh-CN"/>
              </w:rPr>
            </w:pPr>
            <w:r>
              <w:rPr>
                <w:rFonts w:hint="eastAsia" w:ascii="黑体" w:hAnsi="黑体" w:eastAsia="黑体" w:cs="黑体"/>
                <w:b w:val="0"/>
                <w:bCs w:val="0"/>
                <w:sz w:val="18"/>
                <w:szCs w:val="18"/>
                <w:lang w:val="en-US" w:eastAsia="zh-CN"/>
              </w:rPr>
              <w:t>王颢璇、张煜晖、陈子乐、毛煜笑、伍睿祎、张倚晴、方康哲、阮文斌、周婧璇、吴雨萱</w:t>
            </w:r>
          </w:p>
        </w:tc>
        <w:tc>
          <w:tcPr>
            <w:tcW w:w="3507" w:type="dxa"/>
          </w:tcPr>
          <w:p w14:paraId="70C078D1">
            <w:pPr>
              <w:rPr>
                <w:rFonts w:hint="eastAsia" w:ascii="黑体" w:hAnsi="黑体" w:eastAsia="黑体" w:cs="黑体"/>
                <w:sz w:val="18"/>
                <w:szCs w:val="18"/>
              </w:rPr>
            </w:pPr>
            <w:r>
              <w:rPr>
                <w:rFonts w:hint="eastAsia" w:ascii="黑体" w:hAnsi="黑体" w:eastAsia="黑体" w:cs="黑体"/>
                <w:sz w:val="18"/>
                <w:szCs w:val="18"/>
                <w:lang w:val="en-US" w:eastAsia="zh-CN"/>
              </w:rPr>
              <w:t>完成总的结项报告</w:t>
            </w:r>
          </w:p>
        </w:tc>
      </w:tr>
      <w:tr w14:paraId="0750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Pr>
        <w:tc>
          <w:tcPr>
            <w:tcW w:w="8596" w:type="dxa"/>
            <w:gridSpan w:val="4"/>
          </w:tcPr>
          <w:p w14:paraId="47918D11">
            <w:pPr>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六、项目成果展示与评估</w:t>
            </w:r>
          </w:p>
        </w:tc>
      </w:tr>
      <w:tr w14:paraId="21EC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Pr>
        <w:tc>
          <w:tcPr>
            <w:tcW w:w="8596" w:type="dxa"/>
            <w:gridSpan w:val="4"/>
          </w:tcPr>
          <w:p w14:paraId="08BC55FF">
            <w:pPr>
              <w:numPr>
                <w:ilvl w:val="0"/>
                <w:numId w:val="0"/>
              </w:numPr>
              <w:rPr>
                <w:rFonts w:hint="eastAsia" w:ascii="宋体" w:hAnsi="宋体" w:eastAsia="宋体" w:cs="宋体"/>
                <w:b/>
                <w:bCs/>
                <w:sz w:val="24"/>
                <w:szCs w:val="24"/>
                <w:lang w:val="en-US" w:eastAsia="zh-CN"/>
              </w:rPr>
            </w:pPr>
          </w:p>
          <w:p w14:paraId="6CEE32D4">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（一）实地调查报告</w:t>
            </w:r>
          </w:p>
          <w:p w14:paraId="63EE514D">
            <w:pPr>
              <w:pStyle w:val="8"/>
              <w:numPr>
                <w:ilvl w:val="0"/>
                <w:numId w:val="0"/>
              </w:numPr>
              <w:rPr>
                <w:sz w:val="24"/>
                <w:szCs w:val="24"/>
              </w:rPr>
            </w:pPr>
            <w:r>
              <w:rPr>
                <w:rFonts w:hint="eastAsia"/>
                <w:sz w:val="24"/>
                <w:szCs w:val="24"/>
                <w:lang w:eastAsia="zh-CN"/>
              </w:rPr>
              <w:t>（</w:t>
            </w:r>
            <w:r>
              <w:rPr>
                <w:rFonts w:hint="eastAsia"/>
                <w:sz w:val="24"/>
                <w:szCs w:val="24"/>
                <w:lang w:val="en-US" w:eastAsia="zh-CN"/>
              </w:rPr>
              <w:t>1）</w:t>
            </w:r>
            <w:r>
              <w:rPr>
                <w:sz w:val="24"/>
                <w:szCs w:val="24"/>
              </w:rPr>
              <w:t>内容概括</w:t>
            </w:r>
          </w:p>
          <w:p w14:paraId="0E6DED00">
            <w:pPr>
              <w:pStyle w:val="8"/>
              <w:numPr>
                <w:ilvl w:val="0"/>
                <w:numId w:val="0"/>
              </w:numPr>
              <w:ind w:firstLine="480" w:firstLineChars="200"/>
              <w:rPr>
                <w:sz w:val="24"/>
                <w:szCs w:val="24"/>
              </w:rPr>
            </w:pPr>
            <w:r>
              <w:rPr>
                <w:sz w:val="24"/>
                <w:szCs w:val="24"/>
              </w:rPr>
              <w:t>该报告是对浙江大学紫金港校区内电瓶车充电现状的实地调查。通过校内实地考察、校外对比调研和人员访谈，发现校内电瓶车充电存在诸多问题。充电桩数量在宿舍区、教学楼、食堂等区域严重不足且分布不合理，使用情况方面有损坏率高、维修不及时、使用频率差异大等问题，充电环境与管理上存在车辆停放混乱、安全设施配备不足、管理缺失等状况。校外堕落街充电点分布相对合理，管理更有效。报告呼吁学校重视这些问题并改进，以提升师生出行便利性和校园生活质量。</w:t>
            </w:r>
          </w:p>
          <w:p w14:paraId="9A21628D">
            <w:pPr>
              <w:pStyle w:val="8"/>
              <w:numPr>
                <w:ilvl w:val="0"/>
                <w:numId w:val="0"/>
              </w:numPr>
              <w:rPr>
                <w:sz w:val="24"/>
                <w:szCs w:val="24"/>
              </w:rPr>
            </w:pPr>
            <w:r>
              <w:rPr>
                <w:rFonts w:hint="eastAsia"/>
                <w:sz w:val="24"/>
                <w:szCs w:val="24"/>
                <w:lang w:eastAsia="zh-CN"/>
              </w:rPr>
              <w:t>（</w:t>
            </w:r>
            <w:r>
              <w:rPr>
                <w:rFonts w:hint="eastAsia"/>
                <w:sz w:val="24"/>
                <w:szCs w:val="24"/>
                <w:lang w:val="en-US" w:eastAsia="zh-CN"/>
              </w:rPr>
              <w:t>2）</w:t>
            </w:r>
            <w:r>
              <w:rPr>
                <w:sz w:val="24"/>
                <w:szCs w:val="24"/>
              </w:rPr>
              <w:t>关键信息</w:t>
            </w:r>
          </w:p>
          <w:p w14:paraId="31DFEB83">
            <w:pPr>
              <w:pStyle w:val="8"/>
              <w:numPr>
                <w:ilvl w:val="0"/>
                <w:numId w:val="0"/>
              </w:numPr>
              <w:rPr>
                <w:sz w:val="24"/>
                <w:szCs w:val="24"/>
              </w:rPr>
            </w:pPr>
            <w:r>
              <w:rPr>
                <w:rFonts w:hint="eastAsia"/>
                <w:sz w:val="24"/>
                <w:szCs w:val="24"/>
                <w:lang w:val="en-US" w:eastAsia="zh-CN"/>
              </w:rPr>
              <w:t>·</w:t>
            </w:r>
            <w:r>
              <w:rPr>
                <w:sz w:val="24"/>
                <w:szCs w:val="24"/>
              </w:rPr>
              <w:t>调查方法：校内实地考察（宿舍区、教学楼、图书馆、食堂等电瓶车集中区域）、校外对比调研（堕落街）、人员访谈（校内师生和管理人员、堕落街充电点经营者和使用者 ）。</w:t>
            </w:r>
          </w:p>
          <w:p w14:paraId="AE96418A">
            <w:pPr>
              <w:pStyle w:val="8"/>
              <w:numPr>
                <w:ilvl w:val="0"/>
                <w:numId w:val="0"/>
              </w:numPr>
              <w:rPr>
                <w:sz w:val="24"/>
                <w:szCs w:val="24"/>
              </w:rPr>
            </w:pPr>
            <w:r>
              <w:rPr>
                <w:rFonts w:hint="eastAsia"/>
                <w:sz w:val="24"/>
                <w:szCs w:val="24"/>
                <w:lang w:val="en-US" w:eastAsia="zh-CN"/>
              </w:rPr>
              <w:t>·</w:t>
            </w:r>
            <w:r>
              <w:rPr>
                <w:sz w:val="24"/>
                <w:szCs w:val="24"/>
              </w:rPr>
              <w:t>校内充电桩问题</w:t>
            </w:r>
          </w:p>
          <w:p w14:paraId="0BC690BA">
            <w:pPr>
              <w:pStyle w:val="8"/>
              <w:numPr>
                <w:ilvl w:val="0"/>
                <w:numId w:val="0"/>
              </w:numPr>
              <w:rPr>
                <w:sz w:val="24"/>
                <w:szCs w:val="24"/>
              </w:rPr>
            </w:pPr>
            <w:r>
              <w:rPr>
                <w:rFonts w:hint="eastAsia"/>
                <w:sz w:val="24"/>
                <w:szCs w:val="24"/>
                <w:lang w:val="en-US" w:eastAsia="zh-CN"/>
              </w:rPr>
              <w:t>-</w:t>
            </w:r>
            <w:r>
              <w:rPr>
                <w:sz w:val="24"/>
                <w:szCs w:val="24"/>
              </w:rPr>
              <w:t>数量与布局：宿舍区、教学楼、食堂充电桩数量严重不足，分布不合理，部分区域无明显标识指引。</w:t>
            </w:r>
          </w:p>
          <w:p w14:paraId="D62D2789">
            <w:pPr>
              <w:pStyle w:val="8"/>
              <w:numPr>
                <w:ilvl w:val="0"/>
                <w:numId w:val="0"/>
              </w:numPr>
              <w:rPr>
                <w:sz w:val="24"/>
                <w:szCs w:val="24"/>
              </w:rPr>
            </w:pPr>
            <w:r>
              <w:rPr>
                <w:rFonts w:hint="eastAsia"/>
                <w:sz w:val="24"/>
                <w:szCs w:val="24"/>
                <w:lang w:val="en-US" w:eastAsia="zh-CN"/>
              </w:rPr>
              <w:t>-</w:t>
            </w:r>
            <w:r>
              <w:rPr>
                <w:sz w:val="24"/>
                <w:szCs w:val="24"/>
              </w:rPr>
              <w:t>环境与管理：车辆停放混乱，非充电车辆占用车位；安全设施配备不足；违规充电行为缺乏监管处罚。</w:t>
            </w:r>
          </w:p>
          <w:p w14:paraId="30942564">
            <w:pPr>
              <w:pStyle w:val="8"/>
              <w:numPr>
                <w:ilvl w:val="0"/>
                <w:numId w:val="0"/>
              </w:numPr>
              <w:rPr>
                <w:sz w:val="24"/>
                <w:szCs w:val="24"/>
              </w:rPr>
            </w:pPr>
            <w:r>
              <w:rPr>
                <w:rFonts w:hint="eastAsia"/>
                <w:sz w:val="24"/>
                <w:szCs w:val="24"/>
                <w:lang w:val="en-US" w:eastAsia="zh-CN"/>
              </w:rPr>
              <w:t>·</w:t>
            </w:r>
            <w:r>
              <w:rPr>
                <w:sz w:val="24"/>
                <w:szCs w:val="24"/>
              </w:rPr>
              <w:t>校外对比（堕落街）：充电点分布较分散，但能满足需求，有指示标识；管理细致，能及时处理问题。</w:t>
            </w:r>
          </w:p>
          <w:p w14:paraId="A9208E9D">
            <w:pPr>
              <w:pStyle w:val="8"/>
              <w:numPr>
                <w:ilvl w:val="0"/>
                <w:numId w:val="0"/>
              </w:numPr>
              <w:rPr>
                <w:sz w:val="24"/>
                <w:szCs w:val="24"/>
              </w:rPr>
            </w:pPr>
            <w:r>
              <w:rPr>
                <w:rFonts w:hint="eastAsia"/>
                <w:sz w:val="24"/>
                <w:szCs w:val="24"/>
                <w:lang w:val="en-US" w:eastAsia="zh-CN"/>
              </w:rPr>
              <w:t>·</w:t>
            </w:r>
            <w:r>
              <w:rPr>
                <w:sz w:val="24"/>
                <w:szCs w:val="24"/>
              </w:rPr>
              <w:t>结论与期望：校内电瓶车充电问题影响师生出行和生活，存在安全隐患，希望学校重视并改进。</w:t>
            </w:r>
          </w:p>
          <w:p w14:paraId="B26B9030">
            <w:pPr>
              <w:pStyle w:val="8"/>
              <w:numPr>
                <w:ilvl w:val="0"/>
                <w:numId w:val="0"/>
              </w:numPr>
              <w:rPr>
                <w:sz w:val="24"/>
                <w:szCs w:val="24"/>
              </w:rPr>
            </w:pPr>
            <w:r>
              <w:rPr>
                <w:rFonts w:hint="eastAsia"/>
                <w:sz w:val="24"/>
                <w:szCs w:val="24"/>
                <w:lang w:eastAsia="zh-CN"/>
              </w:rPr>
              <w:t>（</w:t>
            </w:r>
            <w:r>
              <w:rPr>
                <w:rFonts w:hint="eastAsia"/>
                <w:sz w:val="24"/>
                <w:szCs w:val="24"/>
                <w:lang w:val="en-US" w:eastAsia="zh-CN"/>
              </w:rPr>
              <w:t>3）</w:t>
            </w:r>
            <w:r>
              <w:rPr>
                <w:sz w:val="24"/>
                <w:szCs w:val="24"/>
              </w:rPr>
              <w:t>技术改进</w:t>
            </w:r>
          </w:p>
          <w:p w14:paraId="0C9FF909">
            <w:pPr>
              <w:pStyle w:val="8"/>
              <w:numPr>
                <w:ilvl w:val="0"/>
                <w:numId w:val="0"/>
              </w:numPr>
              <w:rPr>
                <w:sz w:val="24"/>
                <w:szCs w:val="24"/>
              </w:rPr>
            </w:pPr>
            <w:r>
              <w:rPr>
                <w:rFonts w:hint="eastAsia"/>
                <w:sz w:val="24"/>
                <w:szCs w:val="24"/>
                <w:lang w:val="en-US" w:eastAsia="zh-CN"/>
              </w:rPr>
              <w:t>·</w:t>
            </w:r>
            <w:r>
              <w:rPr>
                <w:sz w:val="24"/>
                <w:szCs w:val="24"/>
              </w:rPr>
              <w:t>引入智能充电桩管理系统，通过手机APP实现充电桩实时状态查询、预约充电、远程控制等功能，合理分配充电资源，缓解使用高峰压力。</w:t>
            </w:r>
          </w:p>
          <w:p w14:paraId="78ED13ED">
            <w:pPr>
              <w:pStyle w:val="8"/>
              <w:numPr>
                <w:ilvl w:val="0"/>
                <w:numId w:val="0"/>
              </w:numPr>
              <w:rPr>
                <w:sz w:val="24"/>
                <w:szCs w:val="24"/>
              </w:rPr>
            </w:pPr>
            <w:r>
              <w:rPr>
                <w:rFonts w:hint="eastAsia"/>
                <w:sz w:val="24"/>
                <w:szCs w:val="24"/>
                <w:lang w:val="en-US" w:eastAsia="zh-CN"/>
              </w:rPr>
              <w:t>·</w:t>
            </w:r>
            <w:r>
              <w:rPr>
                <w:sz w:val="24"/>
                <w:szCs w:val="24"/>
              </w:rPr>
              <w:t>利用大数据分析充电桩使用频率、时段、区域需求等信息，为充电桩的新增、迁移和布局优化提供精准依据。</w:t>
            </w:r>
          </w:p>
          <w:p w14:paraId="C1B5BA3E">
            <w:pPr>
              <w:pStyle w:val="8"/>
              <w:numPr>
                <w:ilvl w:val="0"/>
                <w:numId w:val="0"/>
              </w:numPr>
              <w:rPr>
                <w:sz w:val="24"/>
                <w:szCs w:val="24"/>
              </w:rPr>
            </w:pPr>
            <w:r>
              <w:rPr>
                <w:rFonts w:hint="eastAsia"/>
                <w:sz w:val="24"/>
                <w:szCs w:val="24"/>
                <w:lang w:eastAsia="zh-CN"/>
              </w:rPr>
              <w:t>（</w:t>
            </w:r>
            <w:r>
              <w:rPr>
                <w:rFonts w:hint="eastAsia"/>
                <w:sz w:val="24"/>
                <w:szCs w:val="24"/>
                <w:lang w:val="en-US" w:eastAsia="zh-CN"/>
              </w:rPr>
              <w:t>4）</w:t>
            </w:r>
            <w:r>
              <w:rPr>
                <w:sz w:val="24"/>
                <w:szCs w:val="24"/>
              </w:rPr>
              <w:t>管理优化</w:t>
            </w:r>
          </w:p>
          <w:p w14:paraId="745520CC">
            <w:pPr>
              <w:pStyle w:val="8"/>
              <w:numPr>
                <w:ilvl w:val="0"/>
                <w:numId w:val="0"/>
              </w:numPr>
              <w:rPr>
                <w:sz w:val="24"/>
                <w:szCs w:val="24"/>
              </w:rPr>
            </w:pPr>
            <w:r>
              <w:rPr>
                <w:rFonts w:hint="eastAsia"/>
                <w:sz w:val="24"/>
                <w:szCs w:val="24"/>
                <w:lang w:val="en-US" w:eastAsia="zh-CN"/>
              </w:rPr>
              <w:t>·</w:t>
            </w:r>
            <w:r>
              <w:rPr>
                <w:sz w:val="24"/>
                <w:szCs w:val="24"/>
              </w:rPr>
              <w:t>制定校园电瓶车充电管理规范，明确违规行为处罚标准，通过校园广播、公告栏、公众号等渠道宣传，提高师生规范意识。</w:t>
            </w:r>
          </w:p>
          <w:p w14:paraId="099A48E3">
            <w:pPr>
              <w:pStyle w:val="8"/>
              <w:numPr>
                <w:ilvl w:val="0"/>
                <w:numId w:val="0"/>
              </w:numPr>
              <w:rPr>
                <w:sz w:val="24"/>
                <w:szCs w:val="24"/>
              </w:rPr>
            </w:pPr>
            <w:r>
              <w:rPr>
                <w:rFonts w:hint="eastAsia"/>
                <w:sz w:val="24"/>
                <w:szCs w:val="24"/>
                <w:lang w:val="en-US" w:eastAsia="zh-CN"/>
              </w:rPr>
              <w:t>·</w:t>
            </w:r>
            <w:r>
              <w:rPr>
                <w:sz w:val="24"/>
                <w:szCs w:val="24"/>
              </w:rPr>
              <w:t> 组建校园充电管理志愿者团队，协助监督管理，及时制止不文明行为，反馈充电设施问题。</w:t>
            </w:r>
          </w:p>
          <w:p w14:paraId="684B388C">
            <w:pPr>
              <w:pStyle w:val="8"/>
              <w:numPr>
                <w:ilvl w:val="0"/>
                <w:numId w:val="0"/>
              </w:numPr>
              <w:rPr>
                <w:sz w:val="24"/>
                <w:szCs w:val="24"/>
              </w:rPr>
            </w:pPr>
          </w:p>
          <w:p w14:paraId="09A4A07E">
            <w:pPr>
              <w:pStyle w:val="8"/>
              <w:numPr>
                <w:ilvl w:val="0"/>
                <w:numId w:val="0"/>
              </w:numPr>
              <w:rPr>
                <w:rFonts w:hint="eastAsia"/>
                <w:b/>
                <w:bCs/>
                <w:sz w:val="24"/>
                <w:szCs w:val="24"/>
                <w:lang w:val="en-US" w:eastAsia="zh-CN"/>
              </w:rPr>
            </w:pPr>
            <w:r>
              <w:rPr>
                <w:rFonts w:hint="eastAsia"/>
                <w:b/>
                <w:bCs/>
                <w:sz w:val="24"/>
                <w:szCs w:val="24"/>
                <w:lang w:val="en-US" w:eastAsia="zh-CN"/>
              </w:rPr>
              <w:t>（二）采访问卷调查报告</w:t>
            </w:r>
          </w:p>
          <w:p w14:paraId="EC3D038D">
            <w:pPr>
              <w:pStyle w:val="8"/>
              <w:numPr>
                <w:ilvl w:val="0"/>
                <w:numId w:val="0"/>
              </w:numPr>
              <w:rPr>
                <w:sz w:val="24"/>
                <w:szCs w:val="24"/>
              </w:rPr>
            </w:pPr>
            <w:r>
              <w:rPr>
                <w:rFonts w:hint="eastAsia" w:ascii="Calibri" w:hAnsi="Calibri" w:eastAsia="宋体" w:cs="Arial"/>
                <w:b w:val="0"/>
                <w:bCs w:val="0"/>
                <w:i w:val="0"/>
                <w:iCs w:val="0"/>
                <w:color w:val="auto"/>
                <w:kern w:val="2"/>
                <w:sz w:val="24"/>
                <w:szCs w:val="24"/>
                <w:highlight w:val="none"/>
                <w:vertAlign w:val="baseline"/>
                <w:lang w:val="en-US" w:eastAsia="zh-CN"/>
              </w:rPr>
              <w:t>（1）</w:t>
            </w:r>
            <w:r>
              <w:rPr>
                <w:rFonts w:hint="default" w:ascii="Calibri" w:hAnsi="Calibri" w:eastAsia="宋体" w:cs="Arial"/>
                <w:b w:val="0"/>
                <w:bCs w:val="0"/>
                <w:i w:val="0"/>
                <w:iCs w:val="0"/>
                <w:color w:val="auto"/>
                <w:kern w:val="2"/>
                <w:sz w:val="24"/>
                <w:szCs w:val="24"/>
                <w:highlight w:val="none"/>
                <w:vertAlign w:val="baseline"/>
                <w:lang w:val="en-US" w:eastAsia="zh-CN"/>
              </w:rPr>
              <w:t>内容概括</w:t>
            </w:r>
          </w:p>
          <w:p w14:paraId="E77A14DF">
            <w:pPr>
              <w:spacing w:line="240" w:lineRule="auto"/>
              <w:ind w:firstLine="480" w:firstLineChars="200"/>
              <w:jc w:val="both"/>
              <w:rPr>
                <w:sz w:val="24"/>
                <w:szCs w:val="24"/>
              </w:rPr>
            </w:pPr>
            <w:r>
              <w:rPr>
                <w:rFonts w:hint="default" w:ascii="Calibri" w:hAnsi="Calibri" w:eastAsia="宋体" w:cs="Arial"/>
                <w:b w:val="0"/>
                <w:bCs w:val="0"/>
                <w:i w:val="0"/>
                <w:iCs w:val="0"/>
                <w:color w:val="auto"/>
                <w:kern w:val="2"/>
                <w:sz w:val="24"/>
                <w:szCs w:val="24"/>
                <w:highlight w:val="none"/>
                <w:vertAlign w:val="baseline"/>
                <w:lang w:val="en-US" w:eastAsia="zh-CN"/>
              </w:rPr>
              <w:t>该报告围绕浙江大学校园电瓶车充电情况展开。通过问卷调查（微信平台收集63份有效问卷）和随机采访，了解到学生对电瓶车充电满意度平均值为4.44分，对充电桩数量、质量及分布满意度平均值为3.83分，普遍存在不满。充电过程中的问题包括充电桩数量不足、分布不均、被拔线、故障、充电环境不佳等。学生提出增加充电桩数量、优化分布、加强管理、改善环境、智能化管理等建议。报告指出校园电瓶车充电问题影响学生生活，学校虽有投入但需改进，还给出学校应重视反馈、加强沟通、引入社会资源、加强宣传教育等建议，以解决充电问题，提升校园生活环境。</w:t>
            </w:r>
          </w:p>
          <w:p w14:paraId="6B7C7D90">
            <w:pPr>
              <w:spacing w:line="240" w:lineRule="auto"/>
              <w:jc w:val="both"/>
              <w:rPr>
                <w:sz w:val="24"/>
                <w:szCs w:val="24"/>
              </w:rPr>
            </w:pPr>
            <w:r>
              <w:rPr>
                <w:rFonts w:hint="eastAsia" w:ascii="Calibri" w:hAnsi="Calibri" w:eastAsia="宋体" w:cs="Arial"/>
                <w:b w:val="0"/>
                <w:bCs w:val="0"/>
                <w:i w:val="0"/>
                <w:iCs w:val="0"/>
                <w:color w:val="auto"/>
                <w:kern w:val="2"/>
                <w:sz w:val="24"/>
                <w:szCs w:val="24"/>
                <w:highlight w:val="none"/>
                <w:vertAlign w:val="baseline"/>
                <w:lang w:val="en-US" w:eastAsia="zh-CN"/>
              </w:rPr>
              <w:t>（2）</w:t>
            </w:r>
            <w:r>
              <w:rPr>
                <w:rFonts w:hint="default" w:ascii="Calibri" w:hAnsi="Calibri" w:eastAsia="宋体" w:cs="Arial"/>
                <w:b w:val="0"/>
                <w:bCs w:val="0"/>
                <w:i w:val="0"/>
                <w:iCs w:val="0"/>
                <w:color w:val="auto"/>
                <w:kern w:val="2"/>
                <w:sz w:val="24"/>
                <w:szCs w:val="24"/>
                <w:highlight w:val="none"/>
                <w:vertAlign w:val="baseline"/>
                <w:lang w:val="en-US" w:eastAsia="zh-CN"/>
              </w:rPr>
              <w:t>关键信息</w:t>
            </w:r>
          </w:p>
          <w:p w14:paraId="F8D1286D">
            <w:pPr>
              <w:spacing w:line="240" w:lineRule="auto"/>
              <w:jc w:val="both"/>
              <w:rPr>
                <w:sz w:val="24"/>
                <w:szCs w:val="24"/>
              </w:rPr>
            </w:pPr>
            <w:r>
              <w:rPr>
                <w:rFonts w:hint="eastAsia" w:ascii="Calibri" w:hAnsi="Calibri" w:eastAsia="宋体" w:cs="Arial"/>
                <w:b w:val="0"/>
                <w:bCs w:val="0"/>
                <w:i w:val="0"/>
                <w:iCs w:val="0"/>
                <w:color w:val="auto"/>
                <w:kern w:val="2"/>
                <w:sz w:val="24"/>
                <w:szCs w:val="24"/>
                <w:highlight w:val="none"/>
                <w:vertAlign w:val="baseline"/>
                <w:lang w:val="en-US" w:eastAsia="zh-CN"/>
              </w:rPr>
              <w:t>·</w:t>
            </w:r>
            <w:r>
              <w:rPr>
                <w:rFonts w:hint="default" w:ascii="Calibri" w:hAnsi="Calibri" w:eastAsia="宋体" w:cs="Arial"/>
                <w:b w:val="0"/>
                <w:bCs w:val="0"/>
                <w:i w:val="0"/>
                <w:iCs w:val="0"/>
                <w:color w:val="auto"/>
                <w:kern w:val="2"/>
                <w:sz w:val="24"/>
                <w:szCs w:val="24"/>
                <w:highlight w:val="none"/>
                <w:vertAlign w:val="baseline"/>
                <w:lang w:val="en-US" w:eastAsia="zh-CN"/>
              </w:rPr>
              <w:t>调查方式：问卷调查（微信平台，63份有效问卷）+随机采访。</w:t>
            </w:r>
          </w:p>
          <w:p w14:paraId="ED94BDDB">
            <w:pPr>
              <w:spacing w:line="240" w:lineRule="auto"/>
              <w:jc w:val="both"/>
              <w:rPr>
                <w:sz w:val="24"/>
                <w:szCs w:val="24"/>
              </w:rPr>
            </w:pPr>
            <w:r>
              <w:rPr>
                <w:rFonts w:hint="eastAsia" w:ascii="Calibri" w:hAnsi="Calibri" w:eastAsia="宋体" w:cs="Arial"/>
                <w:b w:val="0"/>
                <w:bCs w:val="0"/>
                <w:i w:val="0"/>
                <w:iCs w:val="0"/>
                <w:color w:val="auto"/>
                <w:kern w:val="2"/>
                <w:sz w:val="24"/>
                <w:szCs w:val="24"/>
                <w:highlight w:val="none"/>
                <w:vertAlign w:val="baseline"/>
                <w:lang w:val="en-US" w:eastAsia="zh-CN"/>
              </w:rPr>
              <w:t>·</w:t>
            </w:r>
            <w:r>
              <w:rPr>
                <w:rFonts w:hint="default" w:ascii="Calibri" w:hAnsi="Calibri" w:eastAsia="宋体" w:cs="Arial"/>
                <w:b w:val="0"/>
                <w:bCs w:val="0"/>
                <w:i w:val="0"/>
                <w:iCs w:val="0"/>
                <w:color w:val="auto"/>
                <w:kern w:val="2"/>
                <w:sz w:val="24"/>
                <w:szCs w:val="24"/>
                <w:highlight w:val="none"/>
                <w:vertAlign w:val="baseline"/>
                <w:lang w:val="en-US" w:eastAsia="zh-CN"/>
              </w:rPr>
              <w:t>满意度情况：充电满意度平均值4.44分；充电桩数量、质量及分布满意度平均值3.83分。</w:t>
            </w:r>
          </w:p>
          <w:p w14:paraId="192BC8E9">
            <w:pPr>
              <w:spacing w:line="240" w:lineRule="auto"/>
              <w:jc w:val="both"/>
              <w:rPr>
                <w:sz w:val="24"/>
                <w:szCs w:val="24"/>
              </w:rPr>
            </w:pPr>
            <w:r>
              <w:rPr>
                <w:rFonts w:hint="eastAsia" w:ascii="Calibri" w:hAnsi="Calibri" w:eastAsia="宋体" w:cs="Arial"/>
                <w:b w:val="0"/>
                <w:bCs w:val="0"/>
                <w:i w:val="0"/>
                <w:iCs w:val="0"/>
                <w:color w:val="auto"/>
                <w:kern w:val="2"/>
                <w:sz w:val="24"/>
                <w:szCs w:val="24"/>
                <w:highlight w:val="none"/>
                <w:vertAlign w:val="baseline"/>
                <w:lang w:val="en-US" w:eastAsia="zh-CN"/>
              </w:rPr>
              <w:t>·</w:t>
            </w:r>
            <w:r>
              <w:rPr>
                <w:rFonts w:hint="default" w:ascii="Calibri" w:hAnsi="Calibri" w:eastAsia="宋体" w:cs="Arial"/>
                <w:b w:val="0"/>
                <w:bCs w:val="0"/>
                <w:i w:val="0"/>
                <w:iCs w:val="0"/>
                <w:color w:val="auto"/>
                <w:kern w:val="2"/>
                <w:sz w:val="24"/>
                <w:szCs w:val="24"/>
                <w:highlight w:val="none"/>
                <w:vertAlign w:val="baseline"/>
                <w:lang w:val="en-US" w:eastAsia="zh-CN"/>
              </w:rPr>
              <w:t>存在问题：充电桩数量不足、分布不均、被拔线、故障、充电环境不佳。</w:t>
            </w:r>
          </w:p>
          <w:p w14:paraId="0E4CD304">
            <w:pPr>
              <w:spacing w:line="240" w:lineRule="auto"/>
              <w:jc w:val="both"/>
              <w:rPr>
                <w:sz w:val="24"/>
                <w:szCs w:val="24"/>
              </w:rPr>
            </w:pPr>
            <w:r>
              <w:rPr>
                <w:rFonts w:hint="eastAsia" w:ascii="Calibri" w:hAnsi="Calibri" w:eastAsia="宋体" w:cs="Arial"/>
                <w:b w:val="0"/>
                <w:bCs w:val="0"/>
                <w:i w:val="0"/>
                <w:iCs w:val="0"/>
                <w:color w:val="auto"/>
                <w:kern w:val="2"/>
                <w:sz w:val="24"/>
                <w:szCs w:val="24"/>
                <w:highlight w:val="none"/>
                <w:vertAlign w:val="baseline"/>
                <w:lang w:val="en-US" w:eastAsia="zh-CN"/>
              </w:rPr>
              <w:t>·</w:t>
            </w:r>
            <w:r>
              <w:rPr>
                <w:rFonts w:hint="default" w:ascii="Calibri" w:hAnsi="Calibri" w:eastAsia="宋体" w:cs="Arial"/>
                <w:b w:val="0"/>
                <w:bCs w:val="0"/>
                <w:i w:val="0"/>
                <w:iCs w:val="0"/>
                <w:color w:val="auto"/>
                <w:kern w:val="2"/>
                <w:sz w:val="24"/>
                <w:szCs w:val="24"/>
                <w:highlight w:val="none"/>
                <w:vertAlign w:val="baseline"/>
                <w:lang w:val="en-US" w:eastAsia="zh-CN"/>
              </w:rPr>
              <w:t>学生建议：增加数量、优化分布、加强管理、改善环境、智能化管理。</w:t>
            </w:r>
          </w:p>
          <w:p w14:paraId="E6A3DDA2">
            <w:pPr>
              <w:spacing w:line="240" w:lineRule="auto"/>
              <w:jc w:val="both"/>
              <w:rPr>
                <w:sz w:val="24"/>
                <w:szCs w:val="24"/>
              </w:rPr>
            </w:pPr>
            <w:r>
              <w:rPr>
                <w:rFonts w:hint="eastAsia" w:ascii="Calibri" w:hAnsi="Calibri" w:eastAsia="宋体" w:cs="Arial"/>
                <w:b w:val="0"/>
                <w:bCs w:val="0"/>
                <w:i w:val="0"/>
                <w:iCs w:val="0"/>
                <w:color w:val="auto"/>
                <w:kern w:val="2"/>
                <w:sz w:val="24"/>
                <w:szCs w:val="24"/>
                <w:highlight w:val="none"/>
                <w:vertAlign w:val="baseline"/>
                <w:lang w:val="en-US" w:eastAsia="zh-CN"/>
              </w:rPr>
              <w:t>·</w:t>
            </w:r>
            <w:r>
              <w:rPr>
                <w:rFonts w:hint="default" w:ascii="Calibri" w:hAnsi="Calibri" w:eastAsia="宋体" w:cs="Arial"/>
                <w:b w:val="0"/>
                <w:bCs w:val="0"/>
                <w:i w:val="0"/>
                <w:iCs w:val="0"/>
                <w:color w:val="auto"/>
                <w:kern w:val="2"/>
                <w:sz w:val="24"/>
                <w:szCs w:val="24"/>
                <w:highlight w:val="none"/>
                <w:vertAlign w:val="baseline"/>
                <w:lang w:val="en-US" w:eastAsia="zh-CN"/>
              </w:rPr>
              <w:t>结论与建议：充电问题影响学生生活，学校需改进；重视反馈、加强沟通、引入社会资源、加强宣传教育。</w:t>
            </w:r>
          </w:p>
          <w:p w14:paraId="4723163F">
            <w:pPr>
              <w:spacing w:line="240" w:lineRule="auto"/>
              <w:jc w:val="both"/>
              <w:rPr>
                <w:sz w:val="24"/>
                <w:szCs w:val="24"/>
              </w:rPr>
            </w:pPr>
            <w:r>
              <w:rPr>
                <w:rFonts w:hint="eastAsia" w:ascii="Calibri" w:hAnsi="Calibri" w:eastAsia="宋体" w:cs="Arial"/>
                <w:b w:val="0"/>
                <w:bCs w:val="0"/>
                <w:i w:val="0"/>
                <w:iCs w:val="0"/>
                <w:color w:val="auto"/>
                <w:kern w:val="2"/>
                <w:sz w:val="24"/>
                <w:szCs w:val="24"/>
                <w:highlight w:val="none"/>
                <w:vertAlign w:val="baseline"/>
                <w:lang w:val="en-US" w:eastAsia="zh-CN"/>
              </w:rPr>
              <w:t>（3）</w:t>
            </w:r>
            <w:r>
              <w:rPr>
                <w:rFonts w:hint="default" w:ascii="Calibri" w:hAnsi="Calibri" w:eastAsia="宋体" w:cs="Arial"/>
                <w:b w:val="0"/>
                <w:bCs w:val="0"/>
                <w:i w:val="0"/>
                <w:iCs w:val="0"/>
                <w:color w:val="auto"/>
                <w:kern w:val="2"/>
                <w:sz w:val="24"/>
                <w:szCs w:val="24"/>
                <w:highlight w:val="none"/>
                <w:vertAlign w:val="baseline"/>
                <w:lang w:val="en-US" w:eastAsia="zh-CN"/>
              </w:rPr>
              <w:t>相关拓展</w:t>
            </w:r>
          </w:p>
          <w:p w14:paraId="F1073CA9">
            <w:pPr>
              <w:spacing w:line="240" w:lineRule="auto"/>
              <w:jc w:val="both"/>
              <w:rPr>
                <w:sz w:val="24"/>
                <w:szCs w:val="24"/>
              </w:rPr>
            </w:pPr>
            <w:r>
              <w:rPr>
                <w:rFonts w:hint="eastAsia" w:ascii="Calibri" w:hAnsi="Calibri" w:eastAsia="宋体" w:cs="Arial"/>
                <w:b w:val="0"/>
                <w:bCs w:val="0"/>
                <w:i w:val="0"/>
                <w:iCs w:val="0"/>
                <w:color w:val="auto"/>
                <w:kern w:val="2"/>
                <w:sz w:val="24"/>
                <w:szCs w:val="24"/>
                <w:highlight w:val="none"/>
                <w:vertAlign w:val="baseline"/>
                <w:lang w:val="en-US" w:eastAsia="zh-CN"/>
              </w:rPr>
              <w:t>·</w:t>
            </w:r>
            <w:r>
              <w:rPr>
                <w:rFonts w:hint="default" w:ascii="Calibri" w:hAnsi="Calibri" w:eastAsia="宋体" w:cs="Arial"/>
                <w:b w:val="0"/>
                <w:bCs w:val="0"/>
                <w:i w:val="0"/>
                <w:iCs w:val="0"/>
                <w:color w:val="auto"/>
                <w:kern w:val="2"/>
                <w:sz w:val="24"/>
                <w:szCs w:val="24"/>
                <w:highlight w:val="none"/>
                <w:vertAlign w:val="baseline"/>
                <w:lang w:val="en-US" w:eastAsia="zh-CN"/>
              </w:rPr>
              <w:t>技术层面：除了引入手机APP管理充电桩，还可考虑运用物联网技术，实时监测充电桩的运行状态、电量使用情况等，以便更精准地进行维护和管理。也可以探索无线充电技术在校园电瓶车充电中的应用可能性，为学生提供更便捷的充电体验。</w:t>
            </w:r>
          </w:p>
          <w:p w14:paraId="DE1D9F76">
            <w:pPr>
              <w:spacing w:line="240" w:lineRule="auto"/>
              <w:jc w:val="both"/>
              <w:rPr>
                <w:sz w:val="24"/>
                <w:szCs w:val="24"/>
              </w:rPr>
            </w:pPr>
            <w:r>
              <w:rPr>
                <w:rFonts w:hint="eastAsia" w:ascii="Calibri" w:hAnsi="Calibri" w:eastAsia="宋体" w:cs="Arial"/>
                <w:b w:val="0"/>
                <w:bCs w:val="0"/>
                <w:i w:val="0"/>
                <w:iCs w:val="0"/>
                <w:color w:val="auto"/>
                <w:kern w:val="2"/>
                <w:sz w:val="24"/>
                <w:szCs w:val="24"/>
                <w:highlight w:val="none"/>
                <w:vertAlign w:val="baseline"/>
                <w:lang w:val="en-US" w:eastAsia="zh-CN"/>
              </w:rPr>
              <w:t>·</w:t>
            </w:r>
            <w:r>
              <w:rPr>
                <w:rFonts w:hint="default" w:ascii="Calibri" w:hAnsi="Calibri" w:eastAsia="宋体" w:cs="Arial"/>
                <w:b w:val="0"/>
                <w:bCs w:val="0"/>
                <w:i w:val="0"/>
                <w:iCs w:val="0"/>
                <w:color w:val="auto"/>
                <w:kern w:val="2"/>
                <w:sz w:val="24"/>
                <w:szCs w:val="24"/>
                <w:highlight w:val="none"/>
                <w:vertAlign w:val="baseline"/>
                <w:lang w:val="en-US" w:eastAsia="zh-CN"/>
              </w:rPr>
              <w:t>管理模式：建立学生志愿者参与充电桩管理的机制，协助监督充电桩的使用情况，对不文明行为进行劝导。同时，设立充电桩使用信用积分制度，对文明充电的学生给予一定奖励，对违规行为进行扣分处理，情节严重的限制其使用充电桩。</w:t>
            </w:r>
          </w:p>
          <w:p w14:paraId="0399A812">
            <w:pPr>
              <w:pStyle w:val="8"/>
              <w:numPr>
                <w:ilvl w:val="0"/>
                <w:numId w:val="0"/>
              </w:numPr>
              <w:rPr>
                <w:sz w:val="24"/>
                <w:szCs w:val="24"/>
              </w:rPr>
            </w:pPr>
            <w:r>
              <w:rPr>
                <w:rFonts w:hint="eastAsia" w:ascii="Calibri" w:hAnsi="Calibri" w:eastAsia="宋体" w:cs="Arial"/>
                <w:b w:val="0"/>
                <w:bCs w:val="0"/>
                <w:i w:val="0"/>
                <w:iCs w:val="0"/>
                <w:color w:val="auto"/>
                <w:kern w:val="2"/>
                <w:sz w:val="24"/>
                <w:szCs w:val="24"/>
                <w:highlight w:val="none"/>
                <w:vertAlign w:val="baseline"/>
                <w:lang w:val="en-US" w:eastAsia="zh-CN"/>
              </w:rPr>
              <w:t>·</w:t>
            </w:r>
            <w:r>
              <w:rPr>
                <w:rFonts w:hint="default" w:ascii="Calibri" w:hAnsi="Calibri" w:eastAsia="宋体" w:cs="Arial"/>
                <w:b w:val="0"/>
                <w:bCs w:val="0"/>
                <w:i w:val="0"/>
                <w:iCs w:val="0"/>
                <w:color w:val="auto"/>
                <w:kern w:val="2"/>
                <w:sz w:val="24"/>
                <w:szCs w:val="24"/>
                <w:highlight w:val="none"/>
                <w:vertAlign w:val="baseline"/>
                <w:lang w:val="en-US" w:eastAsia="zh-CN"/>
              </w:rPr>
              <w:t>能源利用：在校园合适区域建设太阳能充电桩，将清洁能源与电瓶车充电相结合，不仅能减少对传统电力的依赖，还能体现学校的绿色环保理念。还可以考虑建设储能设施，在用电低谷时储存电能，在充电高峰时释放，缓解电网压力，提高充电效率。</w:t>
            </w:r>
          </w:p>
          <w:p w14:paraId="78409ED5">
            <w:pPr>
              <w:pStyle w:val="8"/>
              <w:numPr>
                <w:ilvl w:val="0"/>
                <w:numId w:val="0"/>
              </w:numPr>
              <w:rPr>
                <w:rFonts w:hint="default"/>
                <w:sz w:val="24"/>
                <w:szCs w:val="24"/>
                <w:lang w:val="en-US" w:eastAsia="zh-CN"/>
              </w:rPr>
            </w:pPr>
          </w:p>
          <w:p w14:paraId="4FE81300">
            <w:pPr>
              <w:pStyle w:val="8"/>
              <w:numPr>
                <w:ilvl w:val="0"/>
                <w:numId w:val="2"/>
              </w:numPr>
              <w:rPr>
                <w:rFonts w:hint="eastAsia"/>
                <w:b/>
                <w:bCs/>
                <w:sz w:val="24"/>
                <w:szCs w:val="24"/>
                <w:lang w:val="en-US" w:eastAsia="zh-CN"/>
              </w:rPr>
            </w:pPr>
            <w:r>
              <w:rPr>
                <w:rFonts w:hint="eastAsia"/>
                <w:b/>
                <w:bCs/>
                <w:sz w:val="24"/>
                <w:szCs w:val="24"/>
                <w:lang w:val="en-US" w:eastAsia="zh-CN"/>
              </w:rPr>
              <w:t>微信小程序制作</w:t>
            </w:r>
          </w:p>
          <w:p w14:paraId="2082FC11">
            <w:pPr>
              <w:pStyle w:val="8"/>
              <w:numPr>
                <w:ilvl w:val="0"/>
                <w:numId w:val="0"/>
              </w:numPr>
            </w:pPr>
            <w:r>
              <w:drawing>
                <wp:inline distT="0" distB="0" distL="0" distR="0">
                  <wp:extent cx="5325745" cy="3335655"/>
                  <wp:effectExtent l="0" t="0" r="8255" b="762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5" cstate="print"/>
                          <a:srcRect/>
                          <a:stretch>
                            <a:fillRect/>
                          </a:stretch>
                        </pic:blipFill>
                        <pic:spPr>
                          <a:xfrm>
                            <a:off x="0" y="0"/>
                            <a:ext cx="5325745" cy="3335655"/>
                          </a:xfrm>
                          <a:prstGeom prst="rect">
                            <a:avLst/>
                          </a:prstGeom>
                        </pic:spPr>
                      </pic:pic>
                    </a:graphicData>
                  </a:graphic>
                </wp:inline>
              </w:drawing>
            </w:r>
          </w:p>
          <w:p w14:paraId="2D3D3F3E">
            <w:pPr>
              <w:pStyle w:val="8"/>
              <w:numPr>
                <w:ilvl w:val="0"/>
                <w:numId w:val="0"/>
              </w:numPr>
              <w:rPr>
                <w:sz w:val="24"/>
                <w:szCs w:val="24"/>
                <w:lang w:val="en-US"/>
              </w:rPr>
            </w:pPr>
            <w:r>
              <w:rPr>
                <w:rFonts w:hint="eastAsia"/>
                <w:sz w:val="24"/>
                <w:szCs w:val="24"/>
                <w:lang w:val="en-US" w:eastAsia="zh-CN"/>
              </w:rPr>
              <w:t>（1）</w:t>
            </w:r>
            <w:r>
              <w:rPr>
                <w:sz w:val="24"/>
                <w:szCs w:val="24"/>
                <w:lang w:val="en-US"/>
              </w:rPr>
              <w:t>界面设计：遵循简洁易用原则，设计首页、搜索页、充电桩详情页、充电记录页等，注重色彩搭配、图标设计、排版布局，提升视觉效果。</w:t>
            </w:r>
          </w:p>
          <w:p w14:paraId="D3D67540">
            <w:pPr>
              <w:pStyle w:val="8"/>
              <w:numPr>
                <w:ilvl w:val="0"/>
                <w:numId w:val="0"/>
              </w:numPr>
              <w:rPr>
                <w:sz w:val="24"/>
                <w:szCs w:val="24"/>
                <w:lang w:val="en-US"/>
              </w:rPr>
            </w:pPr>
            <w:r>
              <w:rPr>
                <w:rFonts w:hint="eastAsia"/>
                <w:sz w:val="24"/>
                <w:szCs w:val="24"/>
                <w:lang w:val="en-US" w:eastAsia="zh-CN"/>
              </w:rPr>
              <w:t>（2）</w:t>
            </w:r>
            <w:r>
              <w:rPr>
                <w:sz w:val="24"/>
                <w:szCs w:val="24"/>
                <w:lang w:val="en-US"/>
              </w:rPr>
              <w:t>交互设计：规划操作流程，如搜索充电桩、预约、启动充电、结束充电等交互逻辑，确保流畅自然，提供良好体验。</w:t>
            </w:r>
          </w:p>
          <w:p w14:paraId="42B88201">
            <w:pPr>
              <w:pStyle w:val="8"/>
              <w:numPr>
                <w:ilvl w:val="0"/>
                <w:numId w:val="0"/>
              </w:numPr>
              <w:rPr>
                <w:sz w:val="24"/>
                <w:szCs w:val="24"/>
              </w:rPr>
            </w:pPr>
            <w:r>
              <w:rPr>
                <w:rFonts w:hint="eastAsia"/>
                <w:sz w:val="24"/>
                <w:szCs w:val="24"/>
                <w:lang w:val="en-US" w:eastAsia="zh-CN"/>
              </w:rPr>
              <w:t>（3）</w:t>
            </w:r>
            <w:r>
              <w:rPr>
                <w:sz w:val="24"/>
                <w:szCs w:val="24"/>
                <w:lang w:val="en-US"/>
              </w:rPr>
              <w:t>数据库设计：确定存储数据，如用户信息、充电桩信息、订单信息、充电记录等，选择合适数据库，设计表结构及字段。</w:t>
            </w:r>
          </w:p>
          <w:p w14:paraId="5DFF9E45">
            <w:pPr>
              <w:pStyle w:val="8"/>
              <w:numPr>
                <w:ilvl w:val="0"/>
                <w:numId w:val="0"/>
              </w:numPr>
              <w:rPr>
                <w:rFonts w:hint="default"/>
                <w:sz w:val="24"/>
                <w:szCs w:val="24"/>
                <w:lang w:val="en-US" w:eastAsia="zh-CN"/>
              </w:rPr>
            </w:pPr>
          </w:p>
          <w:p w14:paraId="32230729">
            <w:pPr>
              <w:pStyle w:val="8"/>
              <w:numPr>
                <w:ilvl w:val="0"/>
                <w:numId w:val="0"/>
              </w:numPr>
              <w:rPr>
                <w:rFonts w:hint="eastAsia"/>
                <w:b/>
                <w:bCs/>
                <w:sz w:val="24"/>
                <w:szCs w:val="24"/>
                <w:lang w:val="en-US" w:eastAsia="zh-CN"/>
              </w:rPr>
            </w:pPr>
            <w:r>
              <w:rPr>
                <w:rFonts w:hint="eastAsia"/>
                <w:b/>
                <w:bCs/>
                <w:sz w:val="24"/>
                <w:szCs w:val="24"/>
                <w:lang w:val="en-US" w:eastAsia="zh-CN"/>
              </w:rPr>
              <w:t>（四）充电桩机械锁扣的渲染视频</w:t>
            </w:r>
          </w:p>
          <w:p w14:paraId="5AD0A606">
            <w:pPr>
              <w:pStyle w:val="8"/>
              <w:numPr>
                <w:ilvl w:val="0"/>
                <w:numId w:val="0"/>
              </w:numPr>
            </w:pPr>
            <w:r>
              <w:drawing>
                <wp:inline distT="0" distB="0" distL="0" distR="0">
                  <wp:extent cx="5289550" cy="4055110"/>
                  <wp:effectExtent l="0" t="0" r="6350" b="254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6" cstate="print"/>
                          <a:srcRect/>
                          <a:stretch>
                            <a:fillRect/>
                          </a:stretch>
                        </pic:blipFill>
                        <pic:spPr>
                          <a:xfrm>
                            <a:off x="0" y="0"/>
                            <a:ext cx="5289550" cy="4055110"/>
                          </a:xfrm>
                          <a:prstGeom prst="rect">
                            <a:avLst/>
                          </a:prstGeom>
                        </pic:spPr>
                      </pic:pic>
                    </a:graphicData>
                  </a:graphic>
                </wp:inline>
              </w:drawing>
            </w:r>
          </w:p>
          <w:p w14:paraId="8BAB3D6C">
            <w:pPr>
              <w:pStyle w:val="8"/>
              <w:numPr>
                <w:ilvl w:val="0"/>
                <w:numId w:val="0"/>
              </w:numPr>
              <w:rPr>
                <w:sz w:val="24"/>
                <w:szCs w:val="24"/>
                <w:lang w:val="en-US"/>
              </w:rPr>
            </w:pPr>
            <w:r>
              <w:rPr>
                <w:rFonts w:hint="eastAsia"/>
                <w:sz w:val="24"/>
                <w:szCs w:val="24"/>
                <w:lang w:val="en-US" w:eastAsia="zh-CN"/>
              </w:rPr>
              <w:t>（1）</w:t>
            </w:r>
            <w:r>
              <w:rPr>
                <w:sz w:val="24"/>
                <w:szCs w:val="24"/>
                <w:lang w:val="en-US"/>
              </w:rPr>
              <w:t>开合动作模拟：通过动画渲染，机械锁扣开合过程顺畅自然，运动轨迹符合设计预期。锁舌弹出与缩回动作精准，能清晰展示锁扣在锁定与解锁状态下的不同形态，帮助用户直观理解其工作原理，同时也便于检测潜在的干涉问题。</w:t>
            </w:r>
          </w:p>
          <w:p w14:paraId="ED3A30D9">
            <w:pPr>
              <w:pStyle w:val="8"/>
              <w:numPr>
                <w:ilvl w:val="0"/>
                <w:numId w:val="0"/>
              </w:numPr>
              <w:rPr>
                <w:sz w:val="24"/>
                <w:szCs w:val="24"/>
              </w:rPr>
            </w:pPr>
            <w:r>
              <w:rPr>
                <w:rFonts w:hint="eastAsia"/>
                <w:sz w:val="24"/>
                <w:szCs w:val="24"/>
                <w:lang w:val="en-US" w:eastAsia="zh-CN"/>
              </w:rPr>
              <w:t>（2）</w:t>
            </w:r>
            <w:r>
              <w:rPr>
                <w:sz w:val="24"/>
                <w:szCs w:val="24"/>
                <w:lang w:val="en-US"/>
              </w:rPr>
              <w:t>本次渲染评估从外观与功能模拟两方面对充电桩机械锁扣进行了全面展示。结果表明，机械锁扣在外观设计上具有较高美感与精致度，功能模拟方面能有效呈现工作原理与防护、耐用性能。但在渲染过程中也发现部分细节在特定光照下表现不够理想，以及功能模拟可进一步细化等问题。后续将针对这些问题进行优化，持续提升机械锁扣的设计与性能表现，为充电桩的安全可靠运行提供有力保障。</w:t>
            </w:r>
          </w:p>
          <w:p w14:paraId="40E8DE75">
            <w:pPr>
              <w:pStyle w:val="8"/>
              <w:numPr>
                <w:ilvl w:val="0"/>
                <w:numId w:val="0"/>
              </w:numPr>
              <w:rPr>
                <w:rFonts w:hint="default"/>
                <w:lang w:val="en-US" w:eastAsia="zh-CN"/>
              </w:rPr>
            </w:pPr>
          </w:p>
        </w:tc>
      </w:tr>
      <w:tr w14:paraId="6BC75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Height w:val="337" w:hRule="atLeast"/>
        </w:trPr>
        <w:tc>
          <w:tcPr>
            <w:tcW w:w="8596" w:type="dxa"/>
            <w:gridSpan w:val="4"/>
          </w:tcPr>
          <w:p w14:paraId="692D08B1">
            <w:pPr>
              <w:numPr>
                <w:ilvl w:val="0"/>
                <w:numId w:val="0"/>
              </w:numPr>
              <w:rPr>
                <w:rFonts w:hint="default" w:ascii="宋体" w:hAnsi="宋体" w:eastAsia="宋体" w:cs="宋体"/>
                <w:sz w:val="24"/>
                <w:szCs w:val="24"/>
                <w:lang w:val="en-US" w:eastAsia="zh-CN"/>
              </w:rPr>
            </w:pPr>
            <w:r>
              <w:rPr>
                <w:rFonts w:hint="eastAsia" w:ascii="黑体" w:hAnsi="黑体" w:eastAsia="黑体" w:cs="黑体"/>
                <w:sz w:val="30"/>
                <w:szCs w:val="30"/>
                <w:lang w:val="en-US" w:eastAsia="zh-CN"/>
              </w:rPr>
              <w:t>七、项目创新点与重点难点分析</w:t>
            </w:r>
          </w:p>
        </w:tc>
      </w:tr>
      <w:tr w14:paraId="2599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Height w:val="337" w:hRule="atLeast"/>
        </w:trPr>
        <w:tc>
          <w:tcPr>
            <w:tcW w:w="8596" w:type="dxa"/>
            <w:gridSpan w:val="4"/>
          </w:tcPr>
          <w:p w14:paraId="60F2DCE4">
            <w:pPr>
              <w:rPr>
                <w:rFonts w:hint="eastAsia" w:ascii="宋体" w:hAnsi="宋体" w:eastAsia="宋体" w:cs="宋体"/>
                <w:sz w:val="24"/>
                <w:szCs w:val="24"/>
                <w:lang w:eastAsia="zh-CN"/>
              </w:rPr>
            </w:pPr>
          </w:p>
          <w:p w14:paraId="78669A88">
            <w:pPr>
              <w:rPr>
                <w:rFonts w:hint="eastAsia" w:ascii="宋体" w:hAnsi="宋体" w:eastAsia="宋体" w:cs="宋体"/>
                <w:b/>
                <w:bCs/>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一）</w:t>
            </w:r>
            <w:r>
              <w:rPr>
                <w:rFonts w:hint="eastAsia" w:ascii="宋体" w:hAnsi="宋体" w:eastAsia="宋体" w:cs="宋体"/>
                <w:b/>
                <w:bCs/>
                <w:sz w:val="24"/>
                <w:szCs w:val="24"/>
              </w:rPr>
              <w:t>创新点</w:t>
            </w:r>
          </w:p>
          <w:p w14:paraId="134345E6">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数字化管理工具（小程序开发） </w:t>
            </w:r>
          </w:p>
          <w:p w14:paraId="16DD5103">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创新点：开发一款电瓶车充电管理小程序，集实时桩位查询、预约充电、故障报修</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拔电阻拦</w:t>
            </w:r>
            <w:r>
              <w:rPr>
                <w:rFonts w:hint="eastAsia" w:ascii="宋体" w:hAnsi="宋体" w:eastAsia="宋体" w:cs="宋体"/>
                <w:sz w:val="24"/>
                <w:szCs w:val="24"/>
              </w:rPr>
              <w:t>等功能于一体，填补了校内充电服务数字化、智能化管理的</w:t>
            </w:r>
            <w:r>
              <w:rPr>
                <w:rFonts w:hint="eastAsia" w:ascii="宋体" w:hAnsi="宋体" w:eastAsia="宋体" w:cs="宋体"/>
                <w:sz w:val="24"/>
                <w:szCs w:val="24"/>
                <w:lang w:val="en-US" w:eastAsia="zh-CN"/>
              </w:rPr>
              <w:t>不足</w:t>
            </w:r>
            <w:r>
              <w:rPr>
                <w:rFonts w:hint="eastAsia" w:ascii="宋体" w:hAnsi="宋体" w:eastAsia="宋体" w:cs="宋体"/>
                <w:sz w:val="24"/>
                <w:szCs w:val="24"/>
              </w:rPr>
              <w:t>。</w:t>
            </w:r>
          </w:p>
          <w:p w14:paraId="4379AC5E">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意义：通过技术驱动，将传统“线下随机寻找+人工管理”的模式升级为线上便捷服务，提升师生充电效率与体验，契合当代大学生对智能化校园服务的需求。</w:t>
            </w:r>
          </w:p>
          <w:p w14:paraId="2DD6688B">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插座锁定设计</w:t>
            </w:r>
          </w:p>
          <w:p w14:paraId="15756089">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创新点：通过特定结构，实现用户自主锁定与解锁插座。</w:t>
            </w:r>
          </w:p>
          <w:p w14:paraId="5305188C">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意义：有效防止了随意插拔的乱象。</w:t>
            </w:r>
          </w:p>
          <w:p w14:paraId="058B9638">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rPr>
              <w:t>协同治理模式</w:t>
            </w:r>
          </w:p>
          <w:p w14:paraId="0EB04400">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创新点：提出“校方主导—学生监督—第三方维护”的协同管理机制，鼓励学生从服务使用者转变为治理参与者，推动校园公共事务向“共建共治共享”模式发展。</w:t>
            </w:r>
          </w:p>
          <w:p w14:paraId="64C1B487">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意义： 借鉴校外商业区充电点的管理经验，探索高校后勤管理新路径，为其他高校提供可复制的模板，提升管理效率与服务质量。</w:t>
            </w:r>
          </w:p>
          <w:p w14:paraId="76379CD8">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rPr>
              <w:t xml:space="preserve">用户导向的调研与反馈机制 </w:t>
            </w:r>
          </w:p>
          <w:p w14:paraId="4E8909B2">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创新点：项目组通过多渠道（问卷、访谈、实地考察）收集师生需求，并计划在后期试点应用中持续收集用户反馈，动态优化小程序功能与管理方案。</w:t>
            </w:r>
          </w:p>
          <w:p w14:paraId="5F96431F">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意义：以用户需求为核心，确保解决方案的实用性与针对性，提升师生对优化方案的接受度和满意度。</w:t>
            </w:r>
          </w:p>
          <w:p w14:paraId="373DB037">
            <w:pPr>
              <w:rPr>
                <w:rFonts w:hint="eastAsia" w:ascii="宋体" w:hAnsi="宋体" w:eastAsia="宋体" w:cs="宋体"/>
                <w:sz w:val="24"/>
                <w:szCs w:val="24"/>
              </w:rPr>
            </w:pPr>
          </w:p>
          <w:p w14:paraId="2299F6FF">
            <w:pPr>
              <w:rPr>
                <w:rFonts w:hint="eastAsia" w:ascii="宋体" w:hAnsi="宋体" w:eastAsia="宋体" w:cs="宋体"/>
                <w:b/>
                <w:bCs/>
                <w:sz w:val="24"/>
                <w:szCs w:val="24"/>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二）</w:t>
            </w:r>
            <w:r>
              <w:rPr>
                <w:rFonts w:hint="eastAsia" w:ascii="宋体" w:hAnsi="宋体" w:eastAsia="宋体" w:cs="宋体"/>
                <w:b/>
                <w:bCs/>
                <w:sz w:val="24"/>
                <w:szCs w:val="24"/>
              </w:rPr>
              <w:t>重点难点分析</w:t>
            </w:r>
          </w:p>
          <w:p w14:paraId="6DD46F49">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小程序开发的门槛与技术瓶颈 </w:t>
            </w:r>
          </w:p>
          <w:p w14:paraId="09BE4320">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难点：团队成员普遍缺乏小程序开发经验，初期学习过程中遇到较多技术难点，如界面设计、功能实现、系统稳定性等。</w:t>
            </w:r>
          </w:p>
          <w:p w14:paraId="6321E2FD">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挑战：小程序需满足实时查询、预约、报修等多功能需求，技术复杂性高，且需确保用户体验流畅、系统运行稳定。</w:t>
            </w:r>
          </w:p>
          <w:p w14:paraId="260DDEE0">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应对措施：团队通过线上网课学习基础知识，邀请专业同学指导，分模块开发以降低难度。</w:t>
            </w:r>
          </w:p>
          <w:p w14:paraId="1BCE9CFC">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校方沟通与方案采纳的可行性 </w:t>
            </w:r>
          </w:p>
          <w:p w14:paraId="60694364">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难点：向校方提出建议并推动实施涉及多方协调（如后勤部门、财务部门），建议邮件的措辞需准确、有说服力，同时需平衡技术可行性与预算限制。</w:t>
            </w:r>
          </w:p>
          <w:p w14:paraId="414B36FC">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挑战：校方可能因预算、政策或管理惯性对新方案持谨慎态度，试点应用的场地审批与实施也可能面临阻力。</w:t>
            </w:r>
          </w:p>
          <w:p w14:paraId="7D892B59">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应对措施：团队通过数据支撑（如调研报告）增强建议的说服力，参考规范邮件格式，并计划多次沟通确认优化方向的可行性。</w:t>
            </w:r>
          </w:p>
          <w:p w14:paraId="466CC001">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充电桩硬件升级与资源约束 </w:t>
            </w:r>
          </w:p>
          <w:p w14:paraId="550EB124">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难点：增加充电桩数量、优化布局、加装雨棚和消防设施等硬件升级需较高资金投入，且涉及校园空间规划和施工协调。</w:t>
            </w:r>
          </w:p>
          <w:p w14:paraId="2FAE968F">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挑战：学校现有预算可能有限，硬件升级的优先级可能低于其他校园项目；同时，施工可能对校园正常秩序造成短期影响。</w:t>
            </w:r>
          </w:p>
          <w:p w14:paraId="57D2B5AD">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应对措施：项目组通过校内外调研提供详细数据支持，提出分阶段实施的建议（如优先优化宿舍区），以降低资源压力。</w:t>
            </w:r>
          </w:p>
          <w:p w14:paraId="4CEB0BFB">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rPr>
              <w:t xml:space="preserve">用户行为与管理规范的落地 </w:t>
            </w:r>
          </w:p>
          <w:p w14:paraId="70378CF3">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难点：校内充电区域存在车辆停放混乱、违规插拔插头等现象，缺乏有效监管与处罚机制，师生对新管理规范的接受度存疑。</w:t>
            </w:r>
          </w:p>
          <w:p w14:paraId="1E272E48">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挑战：改变用户习惯需要长期引导，协同治理模式中学生监督的执行力可能不足，第三方维护的引入也需明确责任划分。</w:t>
            </w:r>
          </w:p>
          <w:p w14:paraId="60273820">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应对措施：通过小程序加强用户行为引导（如提醒规范停车），并在试点阶段强化宣传和现场管理，逐步培养师生配合意识。</w:t>
            </w:r>
          </w:p>
          <w:p w14:paraId="4E198282">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调研与反馈的代表性与有效性 </w:t>
            </w:r>
          </w:p>
          <w:p w14:paraId="43B099EE">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难点：初期问卷回收率低、随机访谈对象抵触情绪高，校外调研缺乏现成管理经验借鉴，导致数据收集和分析的全面性受限。</w:t>
            </w:r>
          </w:p>
          <w:p w14:paraId="690E1E18">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挑战：调研样本可能无法完全代表所有师生的需求，试点阶段的反馈收集也需设计合理问卷和访谈策略以避免偏见。</w:t>
            </w:r>
          </w:p>
          <w:p w14:paraId="16D3B5C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宋体" w:hAnsi="宋体" w:eastAsia="宋体" w:cs="宋体"/>
                <w:sz w:val="24"/>
                <w:szCs w:val="24"/>
              </w:rPr>
              <w:t>应对措施：通过抽奖激励、优化访谈时机、调整调研方式（如非正式交流）提高参与率，校外调研注重多场景对比以丰富参考。</w:t>
            </w:r>
          </w:p>
        </w:tc>
      </w:tr>
      <w:tr w14:paraId="514C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Height w:val="337" w:hRule="atLeast"/>
        </w:trPr>
        <w:tc>
          <w:tcPr>
            <w:tcW w:w="8596" w:type="dxa"/>
            <w:gridSpan w:val="4"/>
          </w:tcPr>
          <w:p w14:paraId="6A395D51">
            <w:pPr>
              <w:rPr>
                <w:rFonts w:hint="eastAsia" w:ascii="宋体" w:hAnsi="宋体" w:eastAsia="宋体" w:cs="宋体"/>
                <w:sz w:val="24"/>
                <w:szCs w:val="24"/>
                <w:lang w:val="en-US" w:eastAsia="zh-CN"/>
              </w:rPr>
            </w:pPr>
            <w:r>
              <w:rPr>
                <w:rFonts w:hint="eastAsia" w:ascii="黑体" w:hAnsi="黑体" w:eastAsia="黑体" w:cs="黑体"/>
                <w:b/>
                <w:bCs/>
                <w:sz w:val="30"/>
                <w:szCs w:val="30"/>
                <w:lang w:val="en-US" w:eastAsia="zh-CN"/>
              </w:rPr>
              <w:t>八、</w:t>
            </w:r>
            <w:r>
              <w:rPr>
                <w:rFonts w:hint="eastAsia" w:ascii="黑体" w:hAnsi="黑体" w:eastAsia="黑体" w:cs="黑体"/>
                <w:b/>
                <w:bCs/>
                <w:sz w:val="30"/>
                <w:szCs w:val="30"/>
              </w:rPr>
              <w:t>项目风险分析与应对措施</w:t>
            </w:r>
          </w:p>
        </w:tc>
      </w:tr>
      <w:tr w14:paraId="7158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Height w:val="337" w:hRule="atLeast"/>
        </w:trPr>
        <w:tc>
          <w:tcPr>
            <w:tcW w:w="8596" w:type="dxa"/>
            <w:gridSpan w:val="4"/>
          </w:tcPr>
          <w:p w14:paraId="00ECE7BE">
            <w:pPr>
              <w:rPr>
                <w:rFonts w:hint="eastAsia" w:asciiTheme="majorEastAsia" w:hAnsiTheme="majorEastAsia" w:eastAsiaTheme="majorEastAsia" w:cstheme="majorEastAsia"/>
                <w:sz w:val="24"/>
                <w:szCs w:val="24"/>
                <w:lang w:eastAsia="zh-CN"/>
              </w:rPr>
            </w:pPr>
          </w:p>
          <w:p w14:paraId="50905DD7">
            <w:p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eastAsia="zh-CN"/>
              </w:rPr>
              <w:t>（</w:t>
            </w:r>
            <w:r>
              <w:rPr>
                <w:rFonts w:hint="eastAsia" w:asciiTheme="majorEastAsia" w:hAnsiTheme="majorEastAsia" w:eastAsiaTheme="majorEastAsia" w:cstheme="majorEastAsia"/>
                <w:b/>
                <w:bCs/>
                <w:sz w:val="24"/>
                <w:szCs w:val="24"/>
                <w:lang w:val="en-US" w:eastAsia="zh-CN"/>
              </w:rPr>
              <w:t>一）</w:t>
            </w:r>
            <w:r>
              <w:rPr>
                <w:rFonts w:hint="eastAsia" w:asciiTheme="majorEastAsia" w:hAnsiTheme="majorEastAsia" w:eastAsiaTheme="majorEastAsia" w:cstheme="majorEastAsia"/>
                <w:b/>
                <w:bCs/>
                <w:sz w:val="24"/>
                <w:szCs w:val="24"/>
              </w:rPr>
              <w:t xml:space="preserve"> 技术风险</w:t>
            </w:r>
            <w:r>
              <w:rPr>
                <w:rFonts w:hint="eastAsia" w:asciiTheme="majorEastAsia" w:hAnsiTheme="majorEastAsia" w:eastAsiaTheme="majorEastAsia" w:cstheme="majorEastAsia"/>
                <w:b/>
                <w:bCs/>
                <w:sz w:val="24"/>
                <w:szCs w:val="24"/>
                <w:lang w:val="en-US" w:eastAsia="zh-CN"/>
              </w:rPr>
              <w:t>及应对措施</w:t>
            </w:r>
          </w:p>
          <w:p w14:paraId="4D3FE220">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（1）技术风险</w:t>
            </w:r>
          </w:p>
          <w:p w14:paraId="7FA30405">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 xml:space="preserve">开发经验不足：团队成员缺乏小程序开发经验，可能导致开发周期延长或功能实现不完善。  </w:t>
            </w:r>
          </w:p>
          <w:p w14:paraId="5587A30A">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 xml:space="preserve">系统兼容性问题：小程序需对接校内充电桩管理系统，可能因接口不兼容或数据格式不一致导致开发受阻。  </w:t>
            </w:r>
          </w:p>
          <w:p w14:paraId="5C881B61">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 xml:space="preserve">用户体验不佳：若功能设计不合理，可能导致用户操作复杂、响应速度慢等问题，影响实际使用效果。  </w:t>
            </w:r>
          </w:p>
          <w:p w14:paraId="789062F2">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 xml:space="preserve">试点运行稳定性：在真实环境中可能出现程序崩溃、数据丢失等技术故障。  </w:t>
            </w:r>
          </w:p>
          <w:p w14:paraId="69E6FFF1">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lang w:val="en-US" w:eastAsia="zh-CN"/>
              </w:rPr>
              <w:t>2）</w:t>
            </w:r>
            <w:r>
              <w:rPr>
                <w:rFonts w:hint="eastAsia" w:asciiTheme="majorEastAsia" w:hAnsiTheme="majorEastAsia" w:eastAsiaTheme="majorEastAsia" w:cstheme="majorEastAsia"/>
                <w:sz w:val="24"/>
                <w:szCs w:val="24"/>
              </w:rPr>
              <w:t>应对措施</w:t>
            </w:r>
          </w:p>
          <w:p w14:paraId="77CAC131">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 xml:space="preserve">分阶段开发与测试 </w:t>
            </w:r>
          </w:p>
          <w:p w14:paraId="24A6B3A6">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MVP（最小可行产品）优先：先开发核心功能（如充电桩查询、支付</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lang w:val="en-US" w:eastAsia="zh-CN"/>
              </w:rPr>
              <w:t>锁定</w:t>
            </w:r>
            <w:r>
              <w:rPr>
                <w:rFonts w:hint="eastAsia" w:asciiTheme="majorEastAsia" w:hAnsiTheme="majorEastAsia" w:eastAsiaTheme="majorEastAsia" w:cstheme="majorEastAsia"/>
                <w:sz w:val="24"/>
                <w:szCs w:val="24"/>
              </w:rPr>
              <w:t xml:space="preserve">），再逐步优化附加功能（如导航、评价系统）。  </w:t>
            </w:r>
          </w:p>
          <w:p w14:paraId="42DD6A06">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单元测试 &amp; 集成测试</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 xml:space="preserve">每完成一个模块即进行测试，确保功能稳定。  </w:t>
            </w:r>
          </w:p>
          <w:p w14:paraId="4F35BCAF">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技术培训与专家支持</w:t>
            </w:r>
          </w:p>
          <w:p w14:paraId="7CD3E933">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邀请计算机专业同学或导师进行技术指导，必要时外包部分复杂功能开发。  </w:t>
            </w:r>
          </w:p>
          <w:p w14:paraId="0842B2E0">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校方技术对接</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 xml:space="preserve">提前与学校信息化办公室或后勤部门沟通，获取充电桩管理系统的接口文档，确保数据互通。  </w:t>
            </w:r>
          </w:p>
          <w:p w14:paraId="47AA77A1">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试点阶段快速响应机制</w:t>
            </w:r>
          </w:p>
          <w:p w14:paraId="1C553844">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设立用户反馈渠道（如问卷、微信群），收集问题并快速修复。  </w:t>
            </w:r>
          </w:p>
          <w:p w14:paraId="29EAFE64">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准备备用方案（如手动数据录入）以应对突发技术故障。</w:t>
            </w:r>
          </w:p>
          <w:p w14:paraId="070610BB">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w:t>
            </w:r>
          </w:p>
          <w:p w14:paraId="47F84D40">
            <w:pPr>
              <w:numPr>
                <w:ilvl w:val="0"/>
                <w:numId w:val="3"/>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经费风险及应对措施</w:t>
            </w:r>
          </w:p>
          <w:p w14:paraId="35C44DE7">
            <w:pPr>
              <w:numPr>
                <w:ilvl w:val="0"/>
                <w:numId w:val="0"/>
              </w:num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（1）</w:t>
            </w:r>
            <w:r>
              <w:rPr>
                <w:rFonts w:hint="eastAsia" w:asciiTheme="majorEastAsia" w:hAnsiTheme="majorEastAsia" w:eastAsiaTheme="majorEastAsia" w:cstheme="majorEastAsia"/>
                <w:sz w:val="24"/>
                <w:szCs w:val="24"/>
              </w:rPr>
              <w:t>经费风险</w:t>
            </w:r>
          </w:p>
          <w:p w14:paraId="2E0D6226">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 xml:space="preserve">预算不足：当前经费仅覆盖基础开发和小额奖励（216.8元），若需进一步优化或推广，可能面临资金短缺。  </w:t>
            </w:r>
          </w:p>
          <w:p w14:paraId="113303F4">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 xml:space="preserve">劳务费有限：专业开发人员的劳务费（200元）可能不足以支撑长期协作。  </w:t>
            </w:r>
          </w:p>
          <w:p w14:paraId="4C3FCF99">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 xml:space="preserve">意外支出：如服务器租赁、UI设计等额外成本未纳入预算。  </w:t>
            </w:r>
          </w:p>
          <w:p w14:paraId="75FD8FB8">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（2）</w:t>
            </w:r>
            <w:r>
              <w:rPr>
                <w:rFonts w:hint="eastAsia" w:asciiTheme="majorEastAsia" w:hAnsiTheme="majorEastAsia" w:eastAsiaTheme="majorEastAsia" w:cstheme="majorEastAsia"/>
                <w:sz w:val="24"/>
                <w:szCs w:val="24"/>
              </w:rPr>
              <w:t>应对措施</w:t>
            </w:r>
          </w:p>
          <w:p w14:paraId="6E6BDA9C">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优化资金使用</w:t>
            </w:r>
          </w:p>
          <w:p w14:paraId="314A2D38">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优先使用免费开发工具（如微信小程序开发平台、GitHub开源代码）。  </w:t>
            </w:r>
          </w:p>
          <w:p w14:paraId="0A6CC137">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采用低成本推广方式（如校内公众号宣传、学生社群转发）。  </w:t>
            </w:r>
          </w:p>
          <w:p w14:paraId="6E683CC4">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申请追加经费</w:t>
            </w:r>
          </w:p>
          <w:p w14:paraId="1990CEF1">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联系学院或</w:t>
            </w:r>
            <w:r>
              <w:rPr>
                <w:rFonts w:hint="eastAsia" w:asciiTheme="majorEastAsia" w:hAnsiTheme="majorEastAsia" w:eastAsiaTheme="majorEastAsia" w:cstheme="majorEastAsia"/>
                <w:sz w:val="24"/>
                <w:szCs w:val="24"/>
                <w:lang w:val="en-US" w:eastAsia="zh-CN"/>
              </w:rPr>
              <w:t>学校后勤部门</w:t>
            </w:r>
            <w:r>
              <w:rPr>
                <w:rFonts w:hint="eastAsia" w:asciiTheme="majorEastAsia" w:hAnsiTheme="majorEastAsia" w:eastAsiaTheme="majorEastAsia" w:cstheme="majorEastAsia"/>
                <w:sz w:val="24"/>
                <w:szCs w:val="24"/>
              </w:rPr>
              <w:t xml:space="preserve">，争取项目资助。  </w:t>
            </w:r>
          </w:p>
          <w:p w14:paraId="541AB977">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资源置换与合作</w:t>
            </w:r>
          </w:p>
          <w:p w14:paraId="73A0FF48">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与校内技术社团或计算机专业学生合作，以项目署名或实践学分换取技术支持。  </w:t>
            </w:r>
          </w:p>
          <w:p w14:paraId="773F8A89">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寻求企业赞助（如充电桩厂商），以品牌曝光换取部分开发资金。  </w:t>
            </w:r>
          </w:p>
          <w:p w14:paraId="412D5971">
            <w:pPr>
              <w:rPr>
                <w:rFonts w:hint="eastAsia" w:asciiTheme="majorEastAsia" w:hAnsiTheme="majorEastAsia" w:eastAsiaTheme="majorEastAsia" w:cstheme="majorEastAsia"/>
                <w:sz w:val="24"/>
                <w:szCs w:val="24"/>
              </w:rPr>
            </w:pPr>
          </w:p>
          <w:p w14:paraId="1F2B14DA">
            <w:pPr>
              <w:numPr>
                <w:ilvl w:val="0"/>
                <w:numId w:val="3"/>
              </w:numPr>
              <w:rPr>
                <w:rFonts w:hint="eastAsia" w:asciiTheme="majorEastAsia" w:hAnsiTheme="majorEastAsia" w:eastAsiaTheme="majorEastAsia" w:cstheme="majorEastAsia"/>
                <w:b/>
                <w:bCs/>
                <w:sz w:val="24"/>
                <w:szCs w:val="24"/>
              </w:rPr>
            </w:pPr>
            <w:r>
              <w:rPr>
                <w:rFonts w:hint="eastAsia" w:asciiTheme="majorEastAsia" w:hAnsiTheme="majorEastAsia" w:eastAsiaTheme="majorEastAsia" w:cstheme="majorEastAsia"/>
                <w:b/>
                <w:bCs/>
                <w:sz w:val="24"/>
                <w:szCs w:val="24"/>
                <w:lang w:val="en-US" w:eastAsia="zh-CN"/>
              </w:rPr>
              <w:t>政策风险及应对措施</w:t>
            </w:r>
          </w:p>
          <w:p w14:paraId="15902A4B">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（1）</w:t>
            </w:r>
            <w:r>
              <w:rPr>
                <w:rFonts w:hint="eastAsia" w:asciiTheme="majorEastAsia" w:hAnsiTheme="majorEastAsia" w:eastAsiaTheme="majorEastAsia" w:cstheme="majorEastAsia"/>
                <w:sz w:val="24"/>
                <w:szCs w:val="24"/>
              </w:rPr>
              <w:t>政策风险</w:t>
            </w:r>
          </w:p>
          <w:p w14:paraId="349294A0">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校方政策变动：学校可能调整充电桩管理规定，影响项目落地（如</w:t>
            </w:r>
            <w:r>
              <w:rPr>
                <w:rFonts w:hint="eastAsia" w:asciiTheme="majorEastAsia" w:hAnsiTheme="majorEastAsia" w:eastAsiaTheme="majorEastAsia" w:cstheme="majorEastAsia"/>
                <w:sz w:val="24"/>
                <w:szCs w:val="24"/>
                <w:lang w:val="en-US" w:eastAsia="zh-CN"/>
              </w:rPr>
              <w:t>已有</w:t>
            </w:r>
            <w:r>
              <w:rPr>
                <w:rFonts w:hint="eastAsia" w:asciiTheme="majorEastAsia" w:hAnsiTheme="majorEastAsia" w:eastAsiaTheme="majorEastAsia" w:cstheme="majorEastAsia"/>
                <w:sz w:val="24"/>
                <w:szCs w:val="24"/>
              </w:rPr>
              <w:t xml:space="preserve">第三方系统接入）。  </w:t>
            </w:r>
          </w:p>
          <w:p w14:paraId="73A1FFC3">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 xml:space="preserve">数据合规问题：小程序涉及用户数据（如充电记录、支付信息），需符合《个人信息保护法》和学校信息安全要求。  </w:t>
            </w:r>
          </w:p>
          <w:p w14:paraId="43FC39F0">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 xml:space="preserve">审批流程延迟：若校方审批流程较长，可能影响试点推广进度。  </w:t>
            </w:r>
          </w:p>
          <w:p w14:paraId="12954319">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lang w:val="en-US" w:eastAsia="zh-CN"/>
              </w:rPr>
              <w:t>2）</w:t>
            </w:r>
            <w:r>
              <w:rPr>
                <w:rFonts w:hint="eastAsia" w:asciiTheme="majorEastAsia" w:hAnsiTheme="majorEastAsia" w:eastAsiaTheme="majorEastAsia" w:cstheme="majorEastAsia"/>
                <w:sz w:val="24"/>
                <w:szCs w:val="24"/>
              </w:rPr>
              <w:t>应对措施</w:t>
            </w:r>
          </w:p>
          <w:p w14:paraId="09736CD5">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提前政策沟通</w:t>
            </w:r>
          </w:p>
          <w:p w14:paraId="2C997AB6">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与后勤处、信息化办公室保持密切沟通，确保方案符合学校最新政策。  </w:t>
            </w:r>
          </w:p>
          <w:p w14:paraId="1582DB89">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提交详细的技术方案和安全承诺书，争取校方支持。  </w:t>
            </w:r>
          </w:p>
          <w:p w14:paraId="56054908">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 xml:space="preserve">合规化设计 </w:t>
            </w:r>
          </w:p>
          <w:p w14:paraId="3F3223CC">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采用匿名化数据收集，不存储用户敏感信息（如学号、支付密码）。  </w:t>
            </w:r>
          </w:p>
          <w:p w14:paraId="5E30BAFA">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确保服务器数据加密，符合网络安全标准。  </w:t>
            </w:r>
          </w:p>
          <w:p w14:paraId="42F2E033">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rPr>
              <w:t>灵活调整方案</w:t>
            </w:r>
          </w:p>
          <w:p w14:paraId="44FF1A82">
            <w:pPr>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   - 若政策限制严格，可调整为非实时系统（如仅提供充电桩</w:t>
            </w:r>
            <w:r>
              <w:rPr>
                <w:rFonts w:hint="eastAsia" w:asciiTheme="majorEastAsia" w:hAnsiTheme="majorEastAsia" w:eastAsiaTheme="majorEastAsia" w:cstheme="majorEastAsia"/>
                <w:sz w:val="24"/>
                <w:szCs w:val="24"/>
                <w:lang w:val="en-US" w:eastAsia="zh-CN"/>
              </w:rPr>
              <w:t>锁定</w:t>
            </w:r>
            <w:r>
              <w:rPr>
                <w:rFonts w:hint="eastAsia" w:asciiTheme="majorEastAsia" w:hAnsiTheme="majorEastAsia" w:eastAsiaTheme="majorEastAsia" w:cstheme="majorEastAsia"/>
                <w:sz w:val="24"/>
                <w:szCs w:val="24"/>
              </w:rPr>
              <w:t xml:space="preserve">，不涉及预约支付）。  </w:t>
            </w:r>
          </w:p>
          <w:p w14:paraId="4F06011A">
            <w:pPr>
              <w:rPr>
                <w:rFonts w:hint="eastAsia" w:ascii="黑体" w:hAnsi="黑体" w:eastAsia="黑体" w:cs="黑体"/>
                <w:b/>
                <w:bCs/>
                <w:sz w:val="30"/>
                <w:szCs w:val="30"/>
                <w:lang w:val="en-US" w:eastAsia="zh-CN"/>
              </w:rPr>
            </w:pPr>
            <w:r>
              <w:rPr>
                <w:rFonts w:hint="eastAsia" w:asciiTheme="majorEastAsia" w:hAnsiTheme="majorEastAsia" w:eastAsiaTheme="majorEastAsia" w:cstheme="majorEastAsia"/>
                <w:sz w:val="24"/>
                <w:szCs w:val="24"/>
              </w:rPr>
              <w:t xml:space="preserve">   - 优先在政策较宽松的宿舍区试点，再逐步推广至全校。  </w:t>
            </w:r>
          </w:p>
        </w:tc>
      </w:tr>
      <w:tr w14:paraId="47D8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74" w:type="dxa"/>
          <w:trHeight w:val="337" w:hRule="atLeast"/>
        </w:trPr>
        <w:tc>
          <w:tcPr>
            <w:tcW w:w="8596" w:type="dxa"/>
            <w:gridSpan w:val="4"/>
          </w:tcPr>
          <w:p w14:paraId="2752322D">
            <w:pPr>
              <w:rPr>
                <w:rFonts w:hint="default" w:asciiTheme="majorEastAsia" w:hAnsiTheme="majorEastAsia" w:eastAsiaTheme="majorEastAsia" w:cstheme="majorEastAsia"/>
                <w:sz w:val="24"/>
                <w:szCs w:val="24"/>
                <w:lang w:val="en-US" w:eastAsia="zh-CN"/>
              </w:rPr>
            </w:pPr>
            <w:r>
              <w:rPr>
                <w:rFonts w:hint="eastAsia" w:ascii="黑体" w:hAnsi="黑体" w:eastAsia="黑体" w:cs="黑体"/>
                <w:sz w:val="30"/>
                <w:szCs w:val="30"/>
                <w:lang w:val="en-US" w:eastAsia="zh-CN"/>
              </w:rPr>
              <w:t>九、项目经费使用情况</w:t>
            </w:r>
          </w:p>
        </w:tc>
      </w:tr>
    </w:tbl>
    <w:tbl>
      <w:tblPr>
        <w:tblStyle w:val="4"/>
        <w:tblW w:w="8569"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2396"/>
        <w:gridCol w:w="1417"/>
        <w:gridCol w:w="3216"/>
      </w:tblGrid>
      <w:tr w14:paraId="1A3D4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0" w:type="auto"/>
          <w:trHeight w:val="463" w:hRule="atLeast"/>
        </w:trPr>
        <w:tc>
          <w:tcPr>
            <w:tcW w:w="1540" w:type="dxa"/>
            <w:vMerge w:val="restart"/>
            <w:vAlign w:val="center"/>
          </w:tcPr>
          <w:p w14:paraId="74B797F5">
            <w:pPr>
              <w:spacing w:line="480" w:lineRule="auto"/>
              <w:jc w:val="center"/>
              <w:rPr>
                <w:rFonts w:hint="eastAsia" w:ascii="宋体" w:hAnsi="宋体"/>
                <w:b/>
                <w:sz w:val="28"/>
                <w:szCs w:val="28"/>
              </w:rPr>
            </w:pPr>
            <w:r>
              <w:rPr>
                <w:rFonts w:hint="eastAsia" w:ascii="宋体" w:hAnsi="宋体"/>
                <w:b/>
                <w:sz w:val="28"/>
                <w:szCs w:val="28"/>
              </w:rPr>
              <w:t>经费支出情况</w:t>
            </w:r>
          </w:p>
          <w:p w14:paraId="5C3FB4FE">
            <w:pPr>
              <w:spacing w:line="480" w:lineRule="auto"/>
              <w:jc w:val="center"/>
              <w:rPr>
                <w:rFonts w:hint="eastAsia" w:ascii="宋体" w:hAnsi="宋体" w:eastAsia="宋体"/>
                <w:b/>
                <w:sz w:val="28"/>
                <w:szCs w:val="28"/>
                <w:lang w:eastAsia="zh-CN"/>
              </w:rPr>
            </w:pPr>
            <w:r>
              <w:rPr>
                <w:rFonts w:hint="eastAsia" w:ascii="宋体" w:hAnsi="宋体"/>
                <w:b/>
                <w:sz w:val="28"/>
                <w:szCs w:val="28"/>
                <w:lang w:eastAsia="zh-CN"/>
              </w:rPr>
              <w:t>（</w:t>
            </w:r>
            <w:r>
              <w:rPr>
                <w:rFonts w:hint="eastAsia" w:ascii="宋体" w:hAnsi="宋体"/>
                <w:b/>
                <w:sz w:val="28"/>
                <w:szCs w:val="28"/>
                <w:lang w:val="en-US" w:eastAsia="zh-CN"/>
              </w:rPr>
              <w:t>全过程</w:t>
            </w:r>
            <w:r>
              <w:rPr>
                <w:rFonts w:hint="eastAsia" w:ascii="宋体" w:hAnsi="宋体"/>
                <w:b/>
                <w:sz w:val="28"/>
                <w:szCs w:val="28"/>
                <w:lang w:eastAsia="zh-CN"/>
              </w:rPr>
              <w:t>）</w:t>
            </w:r>
          </w:p>
        </w:tc>
        <w:tc>
          <w:tcPr>
            <w:tcW w:w="2396" w:type="dxa"/>
            <w:vAlign w:val="center"/>
          </w:tcPr>
          <w:p w14:paraId="424D8DB6">
            <w:pPr>
              <w:spacing w:line="480" w:lineRule="auto"/>
              <w:jc w:val="center"/>
              <w:rPr>
                <w:rFonts w:ascii="宋体" w:hAnsi="宋体"/>
                <w:b/>
                <w:sz w:val="24"/>
              </w:rPr>
            </w:pPr>
            <w:r>
              <w:rPr>
                <w:rFonts w:hint="eastAsia" w:ascii="宋体" w:hAnsi="宋体"/>
                <w:b/>
                <w:sz w:val="24"/>
              </w:rPr>
              <w:t>类  别</w:t>
            </w:r>
          </w:p>
        </w:tc>
        <w:tc>
          <w:tcPr>
            <w:tcW w:w="1417" w:type="dxa"/>
            <w:vAlign w:val="center"/>
          </w:tcPr>
          <w:p w14:paraId="344254C3">
            <w:pPr>
              <w:spacing w:line="480" w:lineRule="auto"/>
              <w:jc w:val="center"/>
              <w:rPr>
                <w:rFonts w:ascii="宋体" w:hAnsi="宋体"/>
                <w:b/>
                <w:sz w:val="24"/>
              </w:rPr>
            </w:pPr>
            <w:r>
              <w:rPr>
                <w:rFonts w:hint="eastAsia" w:ascii="宋体" w:hAnsi="宋体"/>
                <w:b/>
                <w:sz w:val="24"/>
              </w:rPr>
              <w:t>金  额</w:t>
            </w:r>
          </w:p>
        </w:tc>
        <w:tc>
          <w:tcPr>
            <w:tcW w:w="3216" w:type="dxa"/>
            <w:vAlign w:val="center"/>
          </w:tcPr>
          <w:p w14:paraId="6FBA87EA">
            <w:pPr>
              <w:snapToGrid w:val="0"/>
              <w:jc w:val="center"/>
              <w:rPr>
                <w:rFonts w:ascii="宋体" w:hAnsi="宋体"/>
                <w:b/>
                <w:sz w:val="24"/>
              </w:rPr>
            </w:pPr>
            <w:r>
              <w:rPr>
                <w:rFonts w:hint="eastAsia" w:ascii="宋体" w:hAnsi="宋体"/>
                <w:b/>
                <w:sz w:val="24"/>
              </w:rPr>
              <w:t>备  注</w:t>
            </w:r>
          </w:p>
          <w:p w14:paraId="4635D51B">
            <w:pPr>
              <w:snapToGrid w:val="0"/>
              <w:jc w:val="center"/>
              <w:rPr>
                <w:rFonts w:ascii="宋体" w:hAnsi="宋体"/>
                <w:b/>
                <w:szCs w:val="21"/>
              </w:rPr>
            </w:pPr>
            <w:r>
              <w:rPr>
                <w:rFonts w:hint="eastAsia" w:ascii="宋体" w:hAnsi="宋体"/>
                <w:b/>
                <w:szCs w:val="21"/>
              </w:rPr>
              <w:t>（如有会议费、劳务费、培训费的请说明）</w:t>
            </w:r>
          </w:p>
        </w:tc>
      </w:tr>
      <w:tr w14:paraId="519C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438" w:hRule="atLeast"/>
        </w:trPr>
        <w:tc>
          <w:tcPr>
            <w:tcW w:w="1540" w:type="dxa"/>
            <w:vMerge w:val="continue"/>
            <w:vAlign w:val="center"/>
          </w:tcPr>
          <w:p w14:paraId="3B8A02F4">
            <w:pPr>
              <w:spacing w:line="480" w:lineRule="auto"/>
              <w:jc w:val="center"/>
              <w:rPr>
                <w:rFonts w:ascii="宋体" w:hAnsi="宋体"/>
                <w:b/>
                <w:sz w:val="24"/>
              </w:rPr>
            </w:pPr>
          </w:p>
        </w:tc>
        <w:tc>
          <w:tcPr>
            <w:tcW w:w="2396" w:type="dxa"/>
            <w:vAlign w:val="center"/>
          </w:tcPr>
          <w:p w14:paraId="38A00FBA">
            <w:pPr>
              <w:spacing w:line="480" w:lineRule="auto"/>
              <w:jc w:val="center"/>
              <w:rPr>
                <w:rFonts w:hint="eastAsia" w:ascii="宋体" w:hAnsi="宋体" w:eastAsia="宋体"/>
                <w:b/>
                <w:sz w:val="24"/>
                <w:lang w:val="en-US" w:eastAsia="zh-CN"/>
              </w:rPr>
            </w:pPr>
            <w:r>
              <w:rPr>
                <w:rFonts w:hint="eastAsia" w:ascii="宋体" w:hAnsi="宋体"/>
                <w:b/>
                <w:sz w:val="24"/>
                <w:lang w:val="en-US" w:eastAsia="zh-CN"/>
              </w:rPr>
              <w:t>小额奖品</w:t>
            </w:r>
          </w:p>
        </w:tc>
        <w:tc>
          <w:tcPr>
            <w:tcW w:w="1417" w:type="dxa"/>
            <w:vAlign w:val="center"/>
          </w:tcPr>
          <w:p w14:paraId="6F88182D">
            <w:pPr>
              <w:spacing w:line="480" w:lineRule="auto"/>
              <w:jc w:val="center"/>
              <w:rPr>
                <w:rFonts w:hint="default" w:ascii="宋体" w:hAnsi="宋体" w:eastAsia="宋体"/>
                <w:b/>
                <w:sz w:val="24"/>
                <w:lang w:val="en-US" w:eastAsia="zh-CN"/>
              </w:rPr>
            </w:pPr>
            <w:r>
              <w:rPr>
                <w:rFonts w:hint="eastAsia" w:ascii="宋体" w:hAnsi="宋体"/>
                <w:b/>
                <w:sz w:val="24"/>
                <w:lang w:val="en-US" w:eastAsia="zh-CN"/>
              </w:rPr>
              <w:t>216.8</w:t>
            </w:r>
          </w:p>
        </w:tc>
        <w:tc>
          <w:tcPr>
            <w:tcW w:w="3216" w:type="dxa"/>
            <w:vAlign w:val="center"/>
          </w:tcPr>
          <w:p w14:paraId="53146CBC">
            <w:pPr>
              <w:spacing w:line="480" w:lineRule="auto"/>
              <w:jc w:val="center"/>
              <w:rPr>
                <w:rFonts w:hint="default" w:ascii="宋体" w:hAnsi="宋体" w:eastAsia="宋体"/>
                <w:b/>
                <w:sz w:val="24"/>
                <w:lang w:val="en-US" w:eastAsia="zh-CN"/>
              </w:rPr>
            </w:pPr>
            <w:r>
              <w:rPr>
                <w:rFonts w:hint="eastAsia" w:ascii="宋体" w:hAnsi="宋体"/>
                <w:b/>
                <w:sz w:val="24"/>
                <w:lang w:val="en-US" w:eastAsia="zh-CN"/>
              </w:rPr>
              <w:t>问卷调查活动发放奖品15人</w:t>
            </w:r>
          </w:p>
        </w:tc>
      </w:tr>
      <w:tr w14:paraId="4F0E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590" w:hRule="atLeast"/>
        </w:trPr>
        <w:tc>
          <w:tcPr>
            <w:tcW w:w="1540" w:type="dxa"/>
            <w:vMerge w:val="continue"/>
            <w:vAlign w:val="center"/>
          </w:tcPr>
          <w:p w14:paraId="72968AE7">
            <w:pPr>
              <w:spacing w:line="480" w:lineRule="auto"/>
              <w:jc w:val="center"/>
              <w:rPr>
                <w:rFonts w:ascii="宋体" w:hAnsi="宋体"/>
                <w:b/>
                <w:sz w:val="24"/>
              </w:rPr>
            </w:pPr>
          </w:p>
        </w:tc>
        <w:tc>
          <w:tcPr>
            <w:tcW w:w="2396" w:type="dxa"/>
            <w:vAlign w:val="center"/>
          </w:tcPr>
          <w:p w14:paraId="145BA9CB">
            <w:pPr>
              <w:spacing w:line="480" w:lineRule="auto"/>
              <w:jc w:val="center"/>
              <w:rPr>
                <w:rFonts w:ascii="宋体" w:hAnsi="宋体"/>
                <w:b/>
                <w:sz w:val="24"/>
              </w:rPr>
            </w:pPr>
          </w:p>
        </w:tc>
        <w:tc>
          <w:tcPr>
            <w:tcW w:w="1417" w:type="dxa"/>
            <w:vAlign w:val="center"/>
          </w:tcPr>
          <w:p w14:paraId="1B8D9D8D">
            <w:pPr>
              <w:spacing w:line="480" w:lineRule="auto"/>
              <w:jc w:val="center"/>
              <w:rPr>
                <w:rFonts w:ascii="宋体" w:hAnsi="宋体"/>
                <w:b/>
                <w:sz w:val="24"/>
              </w:rPr>
            </w:pPr>
          </w:p>
        </w:tc>
        <w:tc>
          <w:tcPr>
            <w:tcW w:w="3216" w:type="dxa"/>
            <w:vAlign w:val="center"/>
          </w:tcPr>
          <w:p w14:paraId="22E1E4AB">
            <w:pPr>
              <w:spacing w:line="480" w:lineRule="auto"/>
              <w:jc w:val="center"/>
              <w:rPr>
                <w:rFonts w:ascii="宋体" w:hAnsi="宋体"/>
                <w:b/>
                <w:sz w:val="24"/>
              </w:rPr>
            </w:pPr>
          </w:p>
        </w:tc>
      </w:tr>
      <w:tr w14:paraId="2CE4D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1033" w:hRule="atLeast"/>
        </w:trPr>
        <w:tc>
          <w:tcPr>
            <w:tcW w:w="1540" w:type="dxa"/>
            <w:vMerge w:val="continue"/>
            <w:vAlign w:val="center"/>
          </w:tcPr>
          <w:p w14:paraId="33540A94">
            <w:pPr>
              <w:spacing w:line="480" w:lineRule="auto"/>
              <w:jc w:val="center"/>
              <w:rPr>
                <w:rFonts w:ascii="宋体" w:hAnsi="宋体"/>
                <w:b/>
                <w:sz w:val="24"/>
              </w:rPr>
            </w:pPr>
          </w:p>
        </w:tc>
        <w:tc>
          <w:tcPr>
            <w:tcW w:w="2396" w:type="dxa"/>
            <w:vAlign w:val="center"/>
          </w:tcPr>
          <w:p w14:paraId="3A26A4A9">
            <w:pPr>
              <w:spacing w:line="480" w:lineRule="auto"/>
              <w:jc w:val="center"/>
              <w:rPr>
                <w:rFonts w:ascii="宋体" w:hAnsi="宋体"/>
                <w:b/>
                <w:sz w:val="28"/>
                <w:szCs w:val="28"/>
              </w:rPr>
            </w:pPr>
            <w:bookmarkStart w:id="0" w:name="OLE_LINK14"/>
            <w:r>
              <w:rPr>
                <w:rFonts w:hint="eastAsia" w:ascii="宋体" w:hAnsi="宋体"/>
                <w:b/>
                <w:sz w:val="28"/>
                <w:szCs w:val="28"/>
              </w:rPr>
              <w:t>合  计</w:t>
            </w:r>
            <w:bookmarkEnd w:id="0"/>
          </w:p>
        </w:tc>
        <w:tc>
          <w:tcPr>
            <w:tcW w:w="4633" w:type="dxa"/>
            <w:gridSpan w:val="2"/>
            <w:vAlign w:val="center"/>
          </w:tcPr>
          <w:p w14:paraId="7787B983">
            <w:pPr>
              <w:spacing w:line="480" w:lineRule="auto"/>
              <w:jc w:val="center"/>
              <w:rPr>
                <w:rFonts w:ascii="宋体" w:hAnsi="宋体"/>
                <w:b/>
                <w:sz w:val="28"/>
                <w:szCs w:val="28"/>
              </w:rPr>
            </w:pPr>
            <w:bookmarkStart w:id="1" w:name="OLE_LINK13"/>
            <w:bookmarkEnd w:id="1"/>
            <w:r>
              <w:rPr>
                <w:rFonts w:hint="eastAsia" w:ascii="宋体" w:hAnsi="宋体"/>
                <w:b/>
                <w:sz w:val="28"/>
                <w:szCs w:val="28"/>
                <w:u w:val="single"/>
                <w:lang w:val="en-US" w:eastAsia="zh-CN"/>
              </w:rPr>
              <w:t xml:space="preserve">        216.8        </w:t>
            </w:r>
            <w:r>
              <w:rPr>
                <w:rFonts w:hint="eastAsia" w:ascii="宋体" w:hAnsi="宋体"/>
                <w:b/>
                <w:sz w:val="28"/>
                <w:szCs w:val="28"/>
              </w:rPr>
              <w:t>元</w:t>
            </w:r>
          </w:p>
        </w:tc>
      </w:tr>
      <w:tr w14:paraId="4941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620" w:hRule="atLeast"/>
        </w:trPr>
        <w:tc>
          <w:tcPr>
            <w:tcW w:w="8569" w:type="dxa"/>
            <w:gridSpan w:val="4"/>
            <w:vAlign w:val="center"/>
          </w:tcPr>
          <w:p w14:paraId="79DC3001">
            <w:pPr>
              <w:spacing w:line="480" w:lineRule="auto"/>
              <w:jc w:val="left"/>
              <w:rPr>
                <w:rFonts w:hint="default" w:ascii="黑体" w:hAnsi="黑体" w:eastAsia="黑体" w:cs="黑体"/>
                <w:b w:val="0"/>
                <w:bCs/>
                <w:sz w:val="30"/>
                <w:szCs w:val="30"/>
                <w:u w:val="none"/>
                <w:lang w:val="en-US" w:eastAsia="zh-CN"/>
              </w:rPr>
            </w:pPr>
            <w:r>
              <w:rPr>
                <w:rFonts w:hint="eastAsia" w:ascii="黑体" w:hAnsi="黑体" w:eastAsia="黑体" w:cs="黑体"/>
                <w:b w:val="0"/>
                <w:bCs/>
                <w:sz w:val="30"/>
                <w:szCs w:val="30"/>
                <w:u w:val="none"/>
                <w:lang w:val="en-US" w:eastAsia="zh-CN"/>
              </w:rPr>
              <w:t>十、结论与展望</w:t>
            </w:r>
          </w:p>
        </w:tc>
      </w:tr>
      <w:tr w14:paraId="7D0B6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620" w:hRule="atLeast"/>
        </w:trPr>
        <w:tc>
          <w:tcPr>
            <w:tcW w:w="8569" w:type="dxa"/>
            <w:gridSpan w:val="4"/>
            <w:vAlign w:val="center"/>
          </w:tcPr>
          <w:p w14:paraId="28F43A6B">
            <w:pPr>
              <w:pStyle w:val="3"/>
              <w:keepNext w:val="0"/>
              <w:keepLines w:val="0"/>
              <w:widowControl/>
              <w:suppressLineNumbers w:val="0"/>
              <w:spacing w:before="0" w:beforeAutospacing="0" w:after="0" w:afterAutospacing="0"/>
              <w:ind w:firstLine="480" w:firstLineChars="200"/>
              <w:rPr>
                <w:rFonts w:hint="eastAsia" w:ascii="宋体" w:hAnsi="宋体" w:eastAsia="宋体" w:cs="宋体"/>
              </w:rPr>
            </w:pPr>
            <w:r>
              <w:rPr>
                <w:rFonts w:hint="eastAsia" w:ascii="宋体" w:hAnsi="宋体" w:eastAsia="宋体" w:cs="宋体"/>
              </w:rPr>
              <w:t>在</w:t>
            </w:r>
            <w:r>
              <w:rPr>
                <w:rFonts w:hint="eastAsia" w:ascii="宋体" w:hAnsi="宋体" w:eastAsia="宋体" w:cs="宋体"/>
                <w:lang w:eastAsia="zh-CN"/>
              </w:rPr>
              <w:t>“</w:t>
            </w:r>
            <w:r>
              <w:rPr>
                <w:rFonts w:hint="eastAsia" w:ascii="宋体" w:hAnsi="宋体" w:eastAsia="宋体" w:cs="宋体"/>
                <w:lang w:val="en-US" w:eastAsia="zh-CN"/>
              </w:rPr>
              <w:t>查吉儿”自助充</w:t>
            </w:r>
            <w:r>
              <w:rPr>
                <w:rFonts w:hint="eastAsia" w:ascii="宋体" w:hAnsi="宋体" w:eastAsia="宋体" w:cs="宋体"/>
              </w:rPr>
              <w:t>项目中，</w:t>
            </w:r>
            <w:r>
              <w:rPr>
                <w:rFonts w:hint="eastAsia" w:ascii="宋体" w:hAnsi="宋体" w:eastAsia="宋体" w:cs="宋体"/>
                <w:lang w:val="en-US" w:eastAsia="zh-CN"/>
              </w:rPr>
              <w:t>我们</w:t>
            </w:r>
            <w:r>
              <w:rPr>
                <w:rFonts w:hint="eastAsia" w:ascii="宋体" w:hAnsi="宋体" w:eastAsia="宋体" w:cs="宋体"/>
              </w:rPr>
              <w:t>针对校园电瓶车充电桩的现状进行了深入调研和分析。通过实地考察、校外对比调研和与学生的访谈</w:t>
            </w:r>
            <w:r>
              <w:rPr>
                <w:rFonts w:hint="eastAsia" w:ascii="宋体" w:hAnsi="宋体" w:eastAsia="宋体" w:cs="宋体"/>
                <w:lang w:val="en-US" w:eastAsia="zh-CN"/>
              </w:rPr>
              <w:t>等途径</w:t>
            </w:r>
            <w:r>
              <w:rPr>
                <w:rFonts w:hint="eastAsia" w:ascii="宋体" w:hAnsi="宋体" w:eastAsia="宋体" w:cs="宋体"/>
              </w:rPr>
              <w:t>，</w:t>
            </w:r>
            <w:r>
              <w:rPr>
                <w:rFonts w:hint="eastAsia" w:ascii="宋体" w:hAnsi="宋体" w:eastAsia="宋体" w:cs="宋体"/>
                <w:lang w:val="en-US" w:eastAsia="zh-CN"/>
              </w:rPr>
              <w:t>我们</w:t>
            </w:r>
            <w:r>
              <w:rPr>
                <w:rFonts w:hint="eastAsia" w:ascii="宋体" w:hAnsi="宋体" w:eastAsia="宋体" w:cs="宋体"/>
              </w:rPr>
              <w:t>发现校园内充电设施存在着多个问题，如充电桩数量不足、分布不均、使用体验差等。许多学生反映在充电过程中经常遭遇插头被拔掉、充电器失效等情况，影响了他们的使用体验和充电效率。</w:t>
            </w:r>
          </w:p>
          <w:p w14:paraId="0D9D599D">
            <w:pPr>
              <w:pStyle w:val="3"/>
              <w:keepNext w:val="0"/>
              <w:keepLines w:val="0"/>
              <w:widowControl/>
              <w:suppressLineNumbers w:val="0"/>
              <w:spacing w:before="0" w:beforeAutospacing="0" w:after="0" w:afterAutospacing="0"/>
              <w:ind w:firstLine="480" w:firstLineChars="200"/>
            </w:pPr>
            <w:r>
              <w:t>通过进一步的问卷调查和随机采访，</w:t>
            </w:r>
            <w:r>
              <w:rPr>
                <w:rFonts w:hint="eastAsia"/>
                <w:lang w:val="en-US" w:eastAsia="zh-CN"/>
              </w:rPr>
              <w:t>我们对收获的有效问卷进行了分析。</w:t>
            </w:r>
            <w:r>
              <w:t>结果显示，学生对电瓶车充电桩的整体满意度较低，平均评分为4.44分。而在充电桩的数量、质量及分布方面，学生的满意度平均值为</w:t>
            </w:r>
            <w:r>
              <w:rPr>
                <w:rFonts w:hint="eastAsia"/>
                <w:lang w:val="en-US" w:eastAsia="zh-CN"/>
              </w:rPr>
              <w:t>仅</w:t>
            </w:r>
            <w:r>
              <w:t>3.83分，明显低于期望值，表明充电桩的相关问题对学生的日常生活造成了困扰。</w:t>
            </w:r>
          </w:p>
          <w:p w14:paraId="3E1FD5C5">
            <w:pPr>
              <w:pStyle w:val="3"/>
              <w:keepNext w:val="0"/>
              <w:keepLines w:val="0"/>
              <w:widowControl/>
              <w:suppressLineNumbers w:val="0"/>
              <w:spacing w:before="0" w:beforeAutospacing="0" w:after="0" w:afterAutospacing="0"/>
              <w:ind w:firstLine="480" w:firstLineChars="200"/>
              <w:rPr>
                <w:rFonts w:hint="default" w:eastAsiaTheme="minorEastAsia"/>
                <w:lang w:val="en-US" w:eastAsia="zh-CN"/>
              </w:rPr>
            </w:pPr>
            <w:r>
              <w:t>基于这些调研结果，我们提出了针对充电桩现有问题的多项改进措施。首先，为了解决充电桩数量不足的问题，我们设计了一个微信小程序，旨在帮助学生查询附近充电桩的实时使用情况，并提供充电预约功能，优化资源分配和使用效率。其次</w:t>
            </w:r>
            <w:r>
              <w:rPr>
                <w:rFonts w:hint="eastAsia"/>
                <w:lang w:eastAsia="zh-CN"/>
              </w:rPr>
              <w:t>，</w:t>
            </w:r>
            <w:r>
              <w:t>我们提出了一种创新的机械锁扣设计，旨在防止充电器被其他人拔掉。这种机械锁扣能够通过智能感应确保电动车在充电期间的安全性，并通过渲染动画展示了其实际应用效果。</w:t>
            </w:r>
            <w:r>
              <w:rPr>
                <w:rFonts w:hint="eastAsia"/>
                <w:lang w:val="en-US" w:eastAsia="zh-CN"/>
              </w:rPr>
              <w:t>以下为项目的完成情况以及未来改进方向。</w:t>
            </w:r>
          </w:p>
          <w:p w14:paraId="18F3027B">
            <w:pPr>
              <w:pStyle w:val="3"/>
              <w:keepNext w:val="0"/>
              <w:keepLines w:val="0"/>
              <w:widowControl/>
              <w:suppressLineNumbers w:val="0"/>
              <w:spacing w:before="0" w:beforeAutospacing="0" w:after="0" w:afterAutospacing="0"/>
            </w:pPr>
            <w:r>
              <w:rPr>
                <w:rFonts w:hint="eastAsia"/>
                <w:lang w:val="en-US" w:eastAsia="zh-CN"/>
              </w:rPr>
              <w:t>1.</w:t>
            </w:r>
            <w:r>
              <w:t>目标完成情况</w:t>
            </w:r>
          </w:p>
          <w:p w14:paraId="3F0D946E">
            <w:pPr>
              <w:pStyle w:val="3"/>
              <w:keepNext w:val="0"/>
              <w:keepLines w:val="0"/>
              <w:widowControl/>
              <w:suppressLineNumbers w:val="0"/>
              <w:spacing w:before="0" w:beforeAutospacing="0" w:after="0" w:afterAutospacing="0"/>
              <w:ind w:firstLine="480" w:firstLineChars="200"/>
            </w:pPr>
            <w:r>
              <w:t>总体来看，我们的项目达到了预期目标。我们成功完成了校园充电桩现状的调研，收集了大量的用户反馈，并基于这些数据提出了改进方案。在小程序设计方面，我们不仅考虑到了用户的需求，还力求提高使用便捷性和可操作性。此外，机械锁扣的构想到动画呈现也有效地展示了我们的创新设计。</w:t>
            </w:r>
          </w:p>
          <w:p w14:paraId="1704A217">
            <w:pPr>
              <w:pStyle w:val="3"/>
              <w:keepNext w:val="0"/>
              <w:keepLines w:val="0"/>
              <w:widowControl/>
              <w:suppressLineNumbers w:val="0"/>
              <w:spacing w:before="0" w:beforeAutospacing="0" w:after="0" w:afterAutospacing="0"/>
            </w:pPr>
            <w:r>
              <w:rPr>
                <w:rFonts w:hint="eastAsia"/>
                <w:lang w:val="en-US" w:eastAsia="zh-CN"/>
              </w:rPr>
              <w:t>2.</w:t>
            </w:r>
            <w:r>
              <w:t>后续应用与改进方向</w:t>
            </w:r>
          </w:p>
          <w:p w14:paraId="3C94A310">
            <w:pPr>
              <w:pStyle w:val="3"/>
              <w:keepNext w:val="0"/>
              <w:keepLines w:val="0"/>
              <w:widowControl/>
              <w:suppressLineNumbers w:val="0"/>
              <w:spacing w:before="0" w:beforeAutospacing="0" w:after="0" w:afterAutospacing="0"/>
              <w:ind w:firstLine="480" w:firstLineChars="200"/>
              <w:jc w:val="left"/>
            </w:pPr>
            <w:bookmarkStart w:id="2" w:name="_GoBack"/>
            <w:bookmarkEnd w:id="2"/>
            <w:r>
              <w:t>尽管我们取得了一定的成果，但在后续的应用和改进方向上，还有</w:t>
            </w:r>
            <w:r>
              <w:rPr>
                <w:rFonts w:hint="eastAsia"/>
                <w:lang w:val="en-US" w:eastAsia="zh-CN"/>
              </w:rPr>
              <w:t>一些</w:t>
            </w:r>
            <w:r>
              <w:t>可以进一步完善的地方。</w:t>
            </w:r>
          </w:p>
          <w:p w14:paraId="6FC96ACC">
            <w:pPr>
              <w:pStyle w:val="3"/>
              <w:keepNext w:val="0"/>
              <w:keepLines w:val="0"/>
              <w:widowControl/>
              <w:suppressLineNumbers w:val="0"/>
              <w:spacing w:before="0" w:beforeAutospacing="0" w:after="0" w:afterAutospacing="0"/>
              <w:ind w:firstLine="480" w:firstLineChars="200"/>
              <w:jc w:val="left"/>
            </w:pPr>
            <w:r>
              <w:rPr>
                <w:rFonts w:hint="eastAsia"/>
                <w:lang w:eastAsia="zh-CN"/>
              </w:rPr>
              <w:t>（</w:t>
            </w:r>
            <w:r>
              <w:rPr>
                <w:rFonts w:hint="eastAsia"/>
                <w:lang w:val="en-US" w:eastAsia="zh-CN"/>
              </w:rPr>
              <w:t>1）</w:t>
            </w:r>
            <w:r>
              <w:t>小程序的进一步开发：当前的小程序仅提供了充电桩的查询与预约功能，未来可以添加更多的功能，如充电过程中的实时监控、费用结算、用户反馈渠道等。这些功能能够增强用户体验，并为管理者提供更多的数据支持。</w:t>
            </w:r>
          </w:p>
          <w:p w14:paraId="43C4BB65">
            <w:pPr>
              <w:pStyle w:val="3"/>
              <w:keepNext w:val="0"/>
              <w:keepLines w:val="0"/>
              <w:widowControl/>
              <w:suppressLineNumbers w:val="0"/>
              <w:spacing w:before="0" w:beforeAutospacing="0" w:after="0" w:afterAutospacing="0"/>
              <w:ind w:firstLine="480" w:firstLineChars="200"/>
              <w:jc w:val="left"/>
            </w:pPr>
            <w:r>
              <w:rPr>
                <w:rFonts w:hint="eastAsia"/>
                <w:lang w:eastAsia="zh-CN"/>
              </w:rPr>
              <w:t>（</w:t>
            </w:r>
            <w:r>
              <w:rPr>
                <w:rFonts w:hint="eastAsia"/>
                <w:lang w:val="en-US" w:eastAsia="zh-CN"/>
              </w:rPr>
              <w:t>2）</w:t>
            </w:r>
            <w:r>
              <w:t>机械锁扣的实际应用：虽然机械锁扣在动画中已经实现了基本的功能展示，但要实现其在实际充电桩上的应用，还需要进行更多的技术验证和试验。我们可以与充电桩供应商合作，进行原型制作和测试，确保设计能够实际有效地解决充电器被拔掉的问题。</w:t>
            </w:r>
          </w:p>
          <w:p w14:paraId="1082FF7A">
            <w:pPr>
              <w:pStyle w:val="3"/>
              <w:keepNext w:val="0"/>
              <w:keepLines w:val="0"/>
              <w:widowControl/>
              <w:suppressLineNumbers w:val="0"/>
              <w:spacing w:before="0" w:beforeAutospacing="0" w:after="0" w:afterAutospacing="0"/>
              <w:ind w:firstLine="480" w:firstLineChars="200"/>
              <w:jc w:val="left"/>
            </w:pPr>
            <w:r>
              <w:rPr>
                <w:rFonts w:hint="eastAsia"/>
                <w:lang w:val="en-US" w:eastAsia="zh-CN"/>
              </w:rPr>
              <w:t>（3</w:t>
            </w:r>
            <w:r>
              <w:rPr>
                <w:rFonts w:hint="eastAsia"/>
                <w:lang w:eastAsia="zh-CN"/>
              </w:rPr>
              <w:t>）</w:t>
            </w:r>
            <w:r>
              <w:t>充电桩数量和分布的优化：我们</w:t>
            </w:r>
            <w:r>
              <w:rPr>
                <w:rFonts w:hint="eastAsia"/>
                <w:lang w:val="en-US" w:eastAsia="zh-CN"/>
              </w:rPr>
              <w:t>通过</w:t>
            </w:r>
            <w:r>
              <w:t>调研发现，校内充电桩的数量和分布存在不平衡问题，未来可以通过大数据分析和地理信息系统（GIS）来精确评估校内不同区域的充电需求，进而调整充电桩的布局，确保充电需求得到充分满足。</w:t>
            </w:r>
          </w:p>
          <w:p w14:paraId="7687A283">
            <w:pPr>
              <w:pStyle w:val="3"/>
              <w:keepNext w:val="0"/>
              <w:keepLines w:val="0"/>
              <w:widowControl/>
              <w:suppressLineNumbers w:val="0"/>
              <w:spacing w:before="0" w:beforeAutospacing="0" w:after="0" w:afterAutospacing="0"/>
              <w:ind w:firstLine="480" w:firstLineChars="200"/>
              <w:jc w:val="left"/>
            </w:pPr>
            <w:r>
              <w:rPr>
                <w:rFonts w:hint="eastAsia"/>
                <w:lang w:eastAsia="zh-CN"/>
              </w:rPr>
              <w:t>（</w:t>
            </w:r>
            <w:r>
              <w:rPr>
                <w:rFonts w:hint="eastAsia"/>
                <w:lang w:val="en-US" w:eastAsia="zh-CN"/>
              </w:rPr>
              <w:t>4）</w:t>
            </w:r>
            <w:r>
              <w:t>用户教育与宣传：为了提高学生的充电使用体验，我们还可以通过宣传活动，增强学生对充电桩使用规则的理解和遵守，减少因不当使用造成的设备损坏或充电中断。</w:t>
            </w:r>
          </w:p>
          <w:p w14:paraId="5F00D736">
            <w:pPr>
              <w:pStyle w:val="3"/>
              <w:keepNext w:val="0"/>
              <w:keepLines w:val="0"/>
              <w:widowControl/>
              <w:suppressLineNumbers w:val="0"/>
              <w:spacing w:before="0" w:beforeAutospacing="0" w:after="0" w:afterAutospacing="0"/>
              <w:jc w:val="left"/>
            </w:pPr>
            <w:r>
              <w:rPr>
                <w:rFonts w:hint="eastAsia"/>
                <w:lang w:val="en-US" w:eastAsia="zh-CN"/>
              </w:rPr>
              <w:t>3.</w:t>
            </w:r>
            <w:r>
              <w:t>结语</w:t>
            </w:r>
          </w:p>
          <w:p w14:paraId="32D615BE">
            <w:pPr>
              <w:pStyle w:val="3"/>
              <w:keepNext w:val="0"/>
              <w:keepLines w:val="0"/>
              <w:widowControl/>
              <w:suppressLineNumbers w:val="0"/>
              <w:spacing w:before="0" w:beforeAutospacing="0" w:after="0" w:afterAutospacing="0"/>
              <w:ind w:firstLine="480" w:firstLineChars="200"/>
              <w:jc w:val="left"/>
              <w:rPr>
                <w:rFonts w:hint="eastAsia" w:ascii="宋体" w:hAnsi="宋体" w:eastAsia="宋体" w:cs="宋体"/>
                <w:b w:val="0"/>
                <w:bCs/>
                <w:sz w:val="24"/>
                <w:szCs w:val="24"/>
                <w:u w:val="none"/>
                <w:lang w:val="en-US" w:eastAsia="zh-CN"/>
              </w:rPr>
            </w:pPr>
            <w:r>
              <w:t>总体而言，本次项目为校园电瓶车充电设施的改进提供了有价值的建议和解决方案。通过这次实践，我们不仅锻炼了自己的调研和设计能力，还对如何将理论与实际问题结合产生了更深的认识。在后续的工作中，我们将继续优化和完善设计，努力为校园内的师生提供更便捷、高效的充电体验。</w:t>
            </w:r>
          </w:p>
        </w:tc>
      </w:tr>
    </w:tbl>
    <w:p w14:paraId="5CB2EF1F">
      <w:pPr>
        <w:jc w:val="center"/>
        <w:rPr>
          <w:rFonts w:hint="eastAsia"/>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华文宋体">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9E19CC"/>
    <w:multiLevelType w:val="singleLevel"/>
    <w:tmpl w:val="849E19CC"/>
    <w:lvl w:ilvl="0" w:tentative="0">
      <w:start w:val="3"/>
      <w:numFmt w:val="chineseCounting"/>
      <w:suff w:val="nothing"/>
      <w:lvlText w:val="（%1）"/>
      <w:lvlJc w:val="left"/>
      <w:rPr>
        <w:rFonts w:hint="eastAsia"/>
      </w:rPr>
    </w:lvl>
  </w:abstractNum>
  <w:abstractNum w:abstractNumId="1">
    <w:nsid w:val="E595732B"/>
    <w:multiLevelType w:val="singleLevel"/>
    <w:tmpl w:val="E595732B"/>
    <w:lvl w:ilvl="0" w:tentative="0">
      <w:start w:val="1"/>
      <w:numFmt w:val="chineseCounting"/>
      <w:suff w:val="nothing"/>
      <w:lvlText w:val="（%1）"/>
      <w:lvlJc w:val="left"/>
      <w:rPr>
        <w:rFonts w:hint="eastAsia"/>
      </w:rPr>
    </w:lvl>
  </w:abstractNum>
  <w:abstractNum w:abstractNumId="2">
    <w:nsid w:val="0224F846"/>
    <w:multiLevelType w:val="singleLevel"/>
    <w:tmpl w:val="0224F846"/>
    <w:lvl w:ilvl="0" w:tentative="0">
      <w:start w:val="2"/>
      <w:numFmt w:val="chineseCounting"/>
      <w:suff w:val="nothing"/>
      <w:lvlText w:val="（%1）"/>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E10BC0"/>
    <w:rsid w:val="183D2FD1"/>
    <w:rsid w:val="42A611BA"/>
    <w:rsid w:val="5E7850C2"/>
    <w:rsid w:val="7BE10BC0"/>
    <w:rsid w:val="7D073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7"/>
    <w:unhideWhenUsed/>
    <w:qFormat/>
    <w:uiPriority w:val="0"/>
    <w:pPr>
      <w:keepNext/>
      <w:keepLines/>
      <w:spacing w:before="260" w:beforeLines="0" w:beforeAutospacing="0" w:after="260" w:afterLines="0" w:afterAutospacing="0" w:line="413" w:lineRule="auto"/>
      <w:outlineLvl w:val="2"/>
    </w:pPr>
    <w:rPr>
      <w:b/>
      <w:sz w:val="28"/>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标题 3 Char"/>
    <w:link w:val="2"/>
    <w:qFormat/>
    <w:uiPriority w:val="0"/>
    <w:rPr>
      <w:b/>
      <w:sz w:val="2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5867</Words>
  <Characters>6260</Characters>
  <Lines>0</Lines>
  <Paragraphs>0</Paragraphs>
  <TotalTime>0</TotalTime>
  <ScaleCrop>false</ScaleCrop>
  <LinksUpToDate>false</LinksUpToDate>
  <CharactersWithSpaces>6312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2025-05-08T11:11:00Z</dcterms:created>
  <dc:creator>⍩⃝</dc:creator>
  <cp:lastModifiedBy>⍩⃝</cp:lastModifiedBy>
  <dcterms:modified xsi:type="dcterms:W3CDTF">2025-05-09T00:34:50Z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AF5B5C0A3D8E4B089E5B2B6A387DC8FB_11</vt:lpwstr>
  </property>
  <property fmtid="{D5CDD505-2E9C-101B-9397-08002B2CF9AE}" pid="4" name="KSOTemplateDocerSaveRecord">
    <vt:lpwstr>eyJoZGlkIjoiOTZlN2JjYWFjZmQ2NWUzZmQzYTc1NDEzYjI5MzhkOWEiLCJ1c2VySWQiOiIxMTc1MDU1MjQzIn0=</vt:lpwstr>
  </property>
</Properties>
</file>