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00CB" w:rsidRPr="00C000CB" w:rsidRDefault="00C000CB">
      <w:pPr>
        <w:rPr>
          <w:rFonts w:ascii="Times New Roman" w:hAnsi="Times New Roman" w:cs="Times New Roman"/>
        </w:rPr>
      </w:pPr>
      <w:r w:rsidRPr="00C000CB">
        <w:rPr>
          <w:rFonts w:ascii="Times New Roman" w:hAnsi="Times New Roman" w:cs="Times New Roman"/>
        </w:rPr>
        <w:t xml:space="preserve">3.1.1 wind profile </w:t>
      </w:r>
    </w:p>
    <w:p w:rsidR="007315A8" w:rsidRDefault="007315A8" w:rsidP="00170B30">
      <w:pPr>
        <w:ind w:firstLine="420"/>
        <w:rPr>
          <w:rFonts w:ascii="Times New Roman" w:hAnsi="Times New Roman" w:cs="Times New Roman"/>
        </w:rPr>
      </w:pPr>
      <w:r w:rsidRPr="007315A8">
        <w:rPr>
          <w:rFonts w:ascii="Times New Roman" w:hAnsi="Times New Roman" w:cs="Times New Roman"/>
        </w:rPr>
        <w:t>风廓线反映了近地面风场的垂直结构，是刻画风场主要形态特征的核心变量。其形态受大气边界层热力与动力过程的共同控制，尤其与稳定度、湍流输送和地表粗糙度密切相关。为了深入理解该风场的风速垂直分布特征，识别主导的变化模态，我们对多高度风速观测数据进行经验正交函数（</w:t>
      </w:r>
      <w:r w:rsidRPr="007315A8">
        <w:rPr>
          <w:rFonts w:ascii="Times New Roman" w:hAnsi="Times New Roman" w:cs="Times New Roman"/>
        </w:rPr>
        <w:t>EOF</w:t>
      </w:r>
      <w:r w:rsidRPr="007315A8">
        <w:rPr>
          <w:rFonts w:ascii="Times New Roman" w:hAnsi="Times New Roman" w:cs="Times New Roman"/>
        </w:rPr>
        <w:t>）分解。</w:t>
      </w:r>
      <w:r w:rsidRPr="007315A8">
        <w:rPr>
          <w:rFonts w:ascii="Times New Roman" w:hAnsi="Times New Roman" w:cs="Times New Roman"/>
        </w:rPr>
        <w:t>EOF</w:t>
      </w:r>
      <w:r w:rsidRPr="007315A8">
        <w:rPr>
          <w:rFonts w:ascii="Times New Roman" w:hAnsi="Times New Roman" w:cs="Times New Roman"/>
        </w:rPr>
        <w:t>分析能够从多变量时间序列中提取主要的空间变化模式，揭示不同高度风速之间的协变关系。本研究选取该风场测风塔</w:t>
      </w:r>
      <w:r w:rsidRPr="007315A8">
        <w:rPr>
          <w:rFonts w:ascii="Times New Roman" w:hAnsi="Times New Roman" w:cs="Times New Roman"/>
        </w:rPr>
        <w:t>4</w:t>
      </w:r>
      <w:r w:rsidRPr="007315A8">
        <w:rPr>
          <w:rFonts w:ascii="Times New Roman" w:hAnsi="Times New Roman" w:cs="Times New Roman"/>
        </w:rPr>
        <w:t>个高度（</w:t>
      </w:r>
      <w:r w:rsidRPr="007315A8">
        <w:rPr>
          <w:rFonts w:ascii="Times New Roman" w:hAnsi="Times New Roman" w:cs="Times New Roman"/>
        </w:rPr>
        <w:t>10m</w:t>
      </w:r>
      <w:r w:rsidRPr="007315A8">
        <w:rPr>
          <w:rFonts w:ascii="Times New Roman" w:hAnsi="Times New Roman" w:cs="Times New Roman"/>
        </w:rPr>
        <w:t>、</w:t>
      </w:r>
      <w:r w:rsidRPr="007315A8">
        <w:rPr>
          <w:rFonts w:ascii="Times New Roman" w:hAnsi="Times New Roman" w:cs="Times New Roman"/>
        </w:rPr>
        <w:t>30m</w:t>
      </w:r>
      <w:r w:rsidRPr="007315A8">
        <w:rPr>
          <w:rFonts w:ascii="Times New Roman" w:hAnsi="Times New Roman" w:cs="Times New Roman"/>
        </w:rPr>
        <w:t>、</w:t>
      </w:r>
      <w:r w:rsidRPr="007315A8">
        <w:rPr>
          <w:rFonts w:ascii="Times New Roman" w:hAnsi="Times New Roman" w:cs="Times New Roman"/>
        </w:rPr>
        <w:t>50m</w:t>
      </w:r>
      <w:r w:rsidRPr="007315A8">
        <w:rPr>
          <w:rFonts w:ascii="Times New Roman" w:hAnsi="Times New Roman" w:cs="Times New Roman"/>
        </w:rPr>
        <w:t>、</w:t>
      </w:r>
      <w:r w:rsidRPr="007315A8">
        <w:rPr>
          <w:rFonts w:ascii="Times New Roman" w:hAnsi="Times New Roman" w:cs="Times New Roman"/>
        </w:rPr>
        <w:t>70m</w:t>
      </w:r>
      <w:r w:rsidRPr="007315A8">
        <w:rPr>
          <w:rFonts w:ascii="Times New Roman" w:hAnsi="Times New Roman" w:cs="Times New Roman"/>
        </w:rPr>
        <w:t>）的风速观测数据，其中</w:t>
      </w:r>
      <w:r w:rsidRPr="007315A8">
        <w:rPr>
          <w:rFonts w:ascii="Times New Roman" w:hAnsi="Times New Roman" w:cs="Times New Roman"/>
        </w:rPr>
        <w:t>10m</w:t>
      </w:r>
      <w:r w:rsidRPr="007315A8">
        <w:rPr>
          <w:rFonts w:ascii="Times New Roman" w:hAnsi="Times New Roman" w:cs="Times New Roman"/>
        </w:rPr>
        <w:t>为近地面代表层，</w:t>
      </w:r>
      <w:r w:rsidRPr="007315A8">
        <w:rPr>
          <w:rFonts w:ascii="Times New Roman" w:hAnsi="Times New Roman" w:cs="Times New Roman"/>
        </w:rPr>
        <w:t>70m</w:t>
      </w:r>
      <w:r w:rsidRPr="007315A8">
        <w:rPr>
          <w:rFonts w:ascii="Times New Roman" w:hAnsi="Times New Roman" w:cs="Times New Roman"/>
        </w:rPr>
        <w:t>为轮毂高度。</w:t>
      </w:r>
      <w:r w:rsidRPr="007315A8">
        <w:rPr>
          <w:rFonts w:ascii="Times New Roman" w:hAnsi="Times New Roman" w:cs="Times New Roman"/>
        </w:rPr>
        <w:t>EOF</w:t>
      </w:r>
      <w:r w:rsidRPr="007315A8">
        <w:rPr>
          <w:rFonts w:ascii="Times New Roman" w:hAnsi="Times New Roman" w:cs="Times New Roman"/>
        </w:rPr>
        <w:t>分解基于标准化后的风速协方差矩阵进行特征值分解</w:t>
      </w:r>
      <w:r>
        <w:rPr>
          <w:rFonts w:ascii="Times New Roman" w:hAnsi="Times New Roman" w:cs="Times New Roman" w:hint="eastAsia"/>
        </w:rPr>
        <w:t>。</w:t>
      </w:r>
    </w:p>
    <w:p w:rsidR="007315A8" w:rsidRPr="007315A8" w:rsidRDefault="007315A8" w:rsidP="00170B30">
      <w:pPr>
        <w:ind w:firstLine="420"/>
        <w:rPr>
          <w:rFonts w:ascii="Times New Roman" w:hAnsi="Times New Roman" w:cs="Times New Roman"/>
        </w:rPr>
      </w:pPr>
      <w:r w:rsidRPr="007315A8">
        <w:rPr>
          <w:rFonts w:ascii="Times New Roman" w:hAnsi="Times New Roman" w:cs="Times New Roman"/>
        </w:rPr>
        <w:t>EOF</w:t>
      </w:r>
      <w:r w:rsidRPr="007315A8">
        <w:rPr>
          <w:rFonts w:ascii="Times New Roman" w:hAnsi="Times New Roman" w:cs="Times New Roman"/>
        </w:rPr>
        <w:t>分解结果显示（图</w:t>
      </w:r>
      <w:r w:rsidRPr="007315A8">
        <w:rPr>
          <w:rFonts w:ascii="Times New Roman" w:hAnsi="Times New Roman" w:cs="Times New Roman"/>
        </w:rPr>
        <w:t>1</w:t>
      </w:r>
      <w:r w:rsidRPr="007315A8">
        <w:rPr>
          <w:rFonts w:ascii="Times New Roman" w:hAnsi="Times New Roman" w:cs="Times New Roman"/>
        </w:rPr>
        <w:t>），前</w:t>
      </w:r>
      <w:r w:rsidRPr="007315A8">
        <w:rPr>
          <w:rFonts w:ascii="Times New Roman" w:hAnsi="Times New Roman" w:cs="Times New Roman"/>
        </w:rPr>
        <w:t>4</w:t>
      </w:r>
      <w:r w:rsidRPr="007315A8">
        <w:rPr>
          <w:rFonts w:ascii="Times New Roman" w:hAnsi="Times New Roman" w:cs="Times New Roman"/>
        </w:rPr>
        <w:t>个模态的解释方差分别为</w:t>
      </w:r>
      <w:r w:rsidRPr="007315A8">
        <w:rPr>
          <w:rFonts w:ascii="Times New Roman" w:hAnsi="Times New Roman" w:cs="Times New Roman"/>
        </w:rPr>
        <w:t>94.10%</w:t>
      </w:r>
      <w:r w:rsidRPr="007315A8">
        <w:rPr>
          <w:rFonts w:ascii="Times New Roman" w:hAnsi="Times New Roman" w:cs="Times New Roman"/>
        </w:rPr>
        <w:t>、</w:t>
      </w:r>
      <w:r w:rsidRPr="007315A8">
        <w:rPr>
          <w:rFonts w:ascii="Times New Roman" w:hAnsi="Times New Roman" w:cs="Times New Roman"/>
        </w:rPr>
        <w:t>4.50%</w:t>
      </w:r>
      <w:r w:rsidRPr="007315A8">
        <w:rPr>
          <w:rFonts w:ascii="Times New Roman" w:hAnsi="Times New Roman" w:cs="Times New Roman"/>
        </w:rPr>
        <w:t>、</w:t>
      </w:r>
      <w:r w:rsidRPr="007315A8">
        <w:rPr>
          <w:rFonts w:ascii="Times New Roman" w:hAnsi="Times New Roman" w:cs="Times New Roman"/>
        </w:rPr>
        <w:t>1.00%</w:t>
      </w:r>
      <w:r w:rsidRPr="007315A8">
        <w:rPr>
          <w:rFonts w:ascii="Times New Roman" w:hAnsi="Times New Roman" w:cs="Times New Roman"/>
        </w:rPr>
        <w:t>和</w:t>
      </w:r>
      <w:r w:rsidRPr="007315A8">
        <w:rPr>
          <w:rFonts w:ascii="Times New Roman" w:hAnsi="Times New Roman" w:cs="Times New Roman"/>
        </w:rPr>
        <w:t>0.40%</w:t>
      </w:r>
      <w:r w:rsidRPr="007315A8">
        <w:rPr>
          <w:rFonts w:ascii="Times New Roman" w:hAnsi="Times New Roman" w:cs="Times New Roman"/>
        </w:rPr>
        <w:t>，前两个模态的累计解释方差达到</w:t>
      </w:r>
      <w:r w:rsidRPr="007315A8">
        <w:rPr>
          <w:rFonts w:ascii="Times New Roman" w:hAnsi="Times New Roman" w:cs="Times New Roman"/>
        </w:rPr>
        <w:t>98.60%</w:t>
      </w:r>
      <w:r w:rsidRPr="007315A8">
        <w:rPr>
          <w:rFonts w:ascii="Times New Roman" w:hAnsi="Times New Roman" w:cs="Times New Roman"/>
        </w:rPr>
        <w:t>。第一模态的解释方差高达</w:t>
      </w:r>
      <w:r w:rsidRPr="007315A8">
        <w:rPr>
          <w:rFonts w:ascii="Times New Roman" w:hAnsi="Times New Roman" w:cs="Times New Roman"/>
        </w:rPr>
        <w:t>94.10%</w:t>
      </w:r>
      <w:r w:rsidRPr="007315A8">
        <w:rPr>
          <w:rFonts w:ascii="Times New Roman" w:hAnsi="Times New Roman" w:cs="Times New Roman"/>
        </w:rPr>
        <w:t>，远超其他模态，表明该风场风速变化具有极强的主导模式，风廓线的垂直变化模式相对简单且高度一致。第一模态的空间分布呈现显著的一致性特征（图</w:t>
      </w:r>
      <w:r w:rsidRPr="007315A8">
        <w:rPr>
          <w:rFonts w:ascii="Times New Roman" w:hAnsi="Times New Roman" w:cs="Times New Roman"/>
        </w:rPr>
        <w:t>1a</w:t>
      </w:r>
      <w:r w:rsidRPr="007315A8">
        <w:rPr>
          <w:rFonts w:ascii="Times New Roman" w:hAnsi="Times New Roman" w:cs="Times New Roman"/>
        </w:rPr>
        <w:t>）。各高度的载荷系数均为正值且数值相近：</w:t>
      </w:r>
      <w:r w:rsidRPr="007315A8">
        <w:rPr>
          <w:rFonts w:ascii="Times New Roman" w:hAnsi="Times New Roman" w:cs="Times New Roman"/>
        </w:rPr>
        <w:t>10m</w:t>
      </w:r>
      <w:r w:rsidRPr="007315A8">
        <w:rPr>
          <w:rFonts w:ascii="Times New Roman" w:hAnsi="Times New Roman" w:cs="Times New Roman"/>
        </w:rPr>
        <w:t>（</w:t>
      </w:r>
      <w:r w:rsidRPr="007315A8">
        <w:rPr>
          <w:rFonts w:ascii="Times New Roman" w:hAnsi="Times New Roman" w:cs="Times New Roman"/>
        </w:rPr>
        <w:t>0.478</w:t>
      </w:r>
      <w:r w:rsidRPr="007315A8">
        <w:rPr>
          <w:rFonts w:ascii="Times New Roman" w:hAnsi="Times New Roman" w:cs="Times New Roman"/>
        </w:rPr>
        <w:t>）、</w:t>
      </w:r>
      <w:r w:rsidRPr="007315A8">
        <w:rPr>
          <w:rFonts w:ascii="Times New Roman" w:hAnsi="Times New Roman" w:cs="Times New Roman"/>
        </w:rPr>
        <w:t>30m</w:t>
      </w:r>
      <w:r w:rsidRPr="007315A8">
        <w:rPr>
          <w:rFonts w:ascii="Times New Roman" w:hAnsi="Times New Roman" w:cs="Times New Roman"/>
        </w:rPr>
        <w:t>（</w:t>
      </w:r>
      <w:r w:rsidRPr="007315A8">
        <w:rPr>
          <w:rFonts w:ascii="Times New Roman" w:hAnsi="Times New Roman" w:cs="Times New Roman"/>
        </w:rPr>
        <w:t>0.507</w:t>
      </w:r>
      <w:r w:rsidRPr="007315A8">
        <w:rPr>
          <w:rFonts w:ascii="Times New Roman" w:hAnsi="Times New Roman" w:cs="Times New Roman"/>
        </w:rPr>
        <w:t>）、</w:t>
      </w:r>
      <w:r w:rsidRPr="007315A8">
        <w:rPr>
          <w:rFonts w:ascii="Times New Roman" w:hAnsi="Times New Roman" w:cs="Times New Roman"/>
        </w:rPr>
        <w:t>50m</w:t>
      </w:r>
      <w:r w:rsidRPr="007315A8">
        <w:rPr>
          <w:rFonts w:ascii="Times New Roman" w:hAnsi="Times New Roman" w:cs="Times New Roman"/>
        </w:rPr>
        <w:t>（</w:t>
      </w:r>
      <w:r w:rsidRPr="007315A8">
        <w:rPr>
          <w:rFonts w:ascii="Times New Roman" w:hAnsi="Times New Roman" w:cs="Times New Roman"/>
        </w:rPr>
        <w:t>0.509</w:t>
      </w:r>
      <w:r w:rsidRPr="007315A8">
        <w:rPr>
          <w:rFonts w:ascii="Times New Roman" w:hAnsi="Times New Roman" w:cs="Times New Roman"/>
        </w:rPr>
        <w:t>）、</w:t>
      </w:r>
      <w:r w:rsidRPr="007315A8">
        <w:rPr>
          <w:rFonts w:ascii="Times New Roman" w:hAnsi="Times New Roman" w:cs="Times New Roman"/>
        </w:rPr>
        <w:t>70m</w:t>
      </w:r>
      <w:r w:rsidRPr="007315A8">
        <w:rPr>
          <w:rFonts w:ascii="Times New Roman" w:hAnsi="Times New Roman" w:cs="Times New Roman"/>
        </w:rPr>
        <w:t>（</w:t>
      </w:r>
      <w:r w:rsidRPr="007315A8">
        <w:rPr>
          <w:rFonts w:ascii="Times New Roman" w:hAnsi="Times New Roman" w:cs="Times New Roman"/>
        </w:rPr>
        <w:t>0.505</w:t>
      </w:r>
      <w:r w:rsidRPr="007315A8">
        <w:rPr>
          <w:rFonts w:ascii="Times New Roman" w:hAnsi="Times New Roman" w:cs="Times New Roman"/>
        </w:rPr>
        <w:t>），变化范围仅为</w:t>
      </w:r>
      <w:r w:rsidRPr="007315A8">
        <w:rPr>
          <w:rFonts w:ascii="Times New Roman" w:hAnsi="Times New Roman" w:cs="Times New Roman"/>
        </w:rPr>
        <w:t>0.031</w:t>
      </w:r>
      <w:r w:rsidRPr="007315A8">
        <w:rPr>
          <w:rFonts w:ascii="Times New Roman" w:hAnsi="Times New Roman" w:cs="Times New Roman"/>
        </w:rPr>
        <w:t>。这种高度一致的载荷分布表明，从近地面到</w:t>
      </w:r>
      <w:r w:rsidRPr="007315A8">
        <w:rPr>
          <w:rFonts w:ascii="Times New Roman" w:hAnsi="Times New Roman" w:cs="Times New Roman"/>
        </w:rPr>
        <w:t>70m</w:t>
      </w:r>
      <w:r w:rsidRPr="007315A8">
        <w:rPr>
          <w:rFonts w:ascii="Times New Roman" w:hAnsi="Times New Roman" w:cs="Times New Roman"/>
        </w:rPr>
        <w:t>高度范围内，风速变化呈现高度同步性，各高度风速具有极强的正相关关系。第二模态（解释方差</w:t>
      </w:r>
      <w:r w:rsidRPr="007315A8">
        <w:rPr>
          <w:rFonts w:ascii="Times New Roman" w:hAnsi="Times New Roman" w:cs="Times New Roman"/>
        </w:rPr>
        <w:t>4.50%</w:t>
      </w:r>
      <w:r w:rsidRPr="007315A8">
        <w:rPr>
          <w:rFonts w:ascii="Times New Roman" w:hAnsi="Times New Roman" w:cs="Times New Roman"/>
        </w:rPr>
        <w:t>）在垂直方向上呈现梯度变化特征，低层载荷系数为负值（</w:t>
      </w:r>
      <w:r w:rsidRPr="007315A8">
        <w:rPr>
          <w:rFonts w:ascii="Times New Roman" w:hAnsi="Times New Roman" w:cs="Times New Roman"/>
        </w:rPr>
        <w:t>10m: -0.877</w:t>
      </w:r>
      <w:r w:rsidRPr="007315A8">
        <w:rPr>
          <w:rFonts w:ascii="Times New Roman" w:hAnsi="Times New Roman" w:cs="Times New Roman"/>
        </w:rPr>
        <w:t>），高层为正值（</w:t>
      </w:r>
      <w:r w:rsidRPr="007315A8">
        <w:rPr>
          <w:rFonts w:ascii="Times New Roman" w:hAnsi="Times New Roman" w:cs="Times New Roman"/>
        </w:rPr>
        <w:t>70m: 0.320</w:t>
      </w:r>
      <w:r w:rsidRPr="007315A8">
        <w:rPr>
          <w:rFonts w:ascii="Times New Roman" w:hAnsi="Times New Roman" w:cs="Times New Roman"/>
        </w:rPr>
        <w:t>），反映了</w:t>
      </w:r>
      <w:r w:rsidR="00494A64">
        <w:rPr>
          <w:rFonts w:ascii="Times New Roman" w:hAnsi="Times New Roman" w:cs="Times New Roman" w:hint="eastAsia"/>
        </w:rPr>
        <w:t>高</w:t>
      </w:r>
      <w:r w:rsidRPr="007315A8">
        <w:rPr>
          <w:rFonts w:ascii="Times New Roman" w:hAnsi="Times New Roman" w:cs="Times New Roman"/>
        </w:rPr>
        <w:t>风切变的变化模式。第三、四模态的解释方差合计仅为</w:t>
      </w:r>
      <w:r w:rsidRPr="007315A8">
        <w:rPr>
          <w:rFonts w:ascii="Times New Roman" w:hAnsi="Times New Roman" w:cs="Times New Roman"/>
        </w:rPr>
        <w:t>1.40%</w:t>
      </w:r>
      <w:r w:rsidRPr="007315A8">
        <w:rPr>
          <w:rFonts w:ascii="Times New Roman" w:hAnsi="Times New Roman" w:cs="Times New Roman"/>
        </w:rPr>
        <w:t>，表明风切变和其他复杂垂直结构对该风场风速变异的贡献十分有限。</w:t>
      </w:r>
    </w:p>
    <w:p w:rsidR="00C641A1" w:rsidRDefault="007315A8" w:rsidP="00170B30">
      <w:pPr>
        <w:ind w:firstLine="420"/>
        <w:rPr>
          <w:rFonts w:ascii="Times New Roman" w:hAnsi="Times New Roman" w:cs="Times New Roman"/>
        </w:rPr>
      </w:pPr>
      <w:r w:rsidRPr="007315A8">
        <w:rPr>
          <w:rFonts w:ascii="Times New Roman" w:hAnsi="Times New Roman" w:cs="Times New Roman"/>
        </w:rPr>
        <w:t>EOF</w:t>
      </w:r>
      <w:r w:rsidRPr="007315A8">
        <w:rPr>
          <w:rFonts w:ascii="Times New Roman" w:hAnsi="Times New Roman" w:cs="Times New Roman"/>
        </w:rPr>
        <w:t>分析确认了该风场的低风切变特征，各高度风速变化高度协调。这种特征可能与该地区相对平坦的地形和稳定的大气边界层条件有关。虽然载荷系数相近，但仍存在</w:t>
      </w:r>
      <w:r w:rsidRPr="007315A8">
        <w:rPr>
          <w:rFonts w:ascii="Times New Roman" w:hAnsi="Times New Roman" w:cs="Times New Roman"/>
        </w:rPr>
        <w:t>0.031</w:t>
      </w:r>
      <w:r w:rsidRPr="007315A8">
        <w:rPr>
          <w:rFonts w:ascii="Times New Roman" w:hAnsi="Times New Roman" w:cs="Times New Roman"/>
        </w:rPr>
        <w:t>的变化范围，表明不同高度风速对功率预测的贡献可能存在差异。基于这一风廓线结构认识，我们进一步分析各高度风速与</w:t>
      </w:r>
      <w:r>
        <w:rPr>
          <w:rFonts w:ascii="Times New Roman" w:hAnsi="Times New Roman" w:cs="Times New Roman" w:hint="eastAsia"/>
        </w:rPr>
        <w:t>整场发电</w:t>
      </w:r>
      <w:r w:rsidRPr="007315A8">
        <w:rPr>
          <w:rFonts w:ascii="Times New Roman" w:hAnsi="Times New Roman" w:cs="Times New Roman"/>
        </w:rPr>
        <w:t>功率输出的统计关系。</w:t>
      </w:r>
    </w:p>
    <w:p w:rsidR="00C641A1" w:rsidRPr="00C641A1" w:rsidRDefault="00C641A1" w:rsidP="00C641A1">
      <w:pPr>
        <w:ind w:firstLine="420"/>
        <w:rPr>
          <w:rFonts w:ascii="Times New Roman" w:hAnsi="Times New Roman" w:cs="Times New Roman"/>
          <w:u w:val="single"/>
        </w:rPr>
      </w:pPr>
      <w:r w:rsidRPr="00C641A1">
        <w:rPr>
          <w:rFonts w:ascii="Times New Roman" w:hAnsi="Times New Roman" w:cs="Times New Roman"/>
          <w:u w:val="single"/>
        </w:rPr>
        <w:t>为了理解该风场的风速垂直分布特征，我们对多高度风速观测数据进行经验正交函数（</w:t>
      </w:r>
      <w:r w:rsidRPr="00C641A1">
        <w:rPr>
          <w:rFonts w:ascii="Times New Roman" w:hAnsi="Times New Roman" w:cs="Times New Roman"/>
          <w:u w:val="single"/>
        </w:rPr>
        <w:t>EOF</w:t>
      </w:r>
      <w:r w:rsidRPr="00C641A1">
        <w:rPr>
          <w:rFonts w:ascii="Times New Roman" w:hAnsi="Times New Roman" w:cs="Times New Roman"/>
          <w:u w:val="single"/>
        </w:rPr>
        <w:t>）分解。分析选取测风塔</w:t>
      </w:r>
      <w:r w:rsidRPr="00C641A1">
        <w:rPr>
          <w:rFonts w:ascii="Times New Roman" w:hAnsi="Times New Roman" w:cs="Times New Roman"/>
          <w:u w:val="single"/>
        </w:rPr>
        <w:t>4</w:t>
      </w:r>
      <w:r w:rsidRPr="00C641A1">
        <w:rPr>
          <w:rFonts w:ascii="Times New Roman" w:hAnsi="Times New Roman" w:cs="Times New Roman"/>
          <w:u w:val="single"/>
        </w:rPr>
        <w:t>个高度（</w:t>
      </w:r>
      <w:r w:rsidRPr="00C641A1">
        <w:rPr>
          <w:rFonts w:ascii="Times New Roman" w:hAnsi="Times New Roman" w:cs="Times New Roman"/>
          <w:u w:val="single"/>
        </w:rPr>
        <w:t>10m</w:t>
      </w:r>
      <w:r w:rsidRPr="00C641A1">
        <w:rPr>
          <w:rFonts w:ascii="Times New Roman" w:hAnsi="Times New Roman" w:cs="Times New Roman"/>
          <w:u w:val="single"/>
        </w:rPr>
        <w:t>、</w:t>
      </w:r>
      <w:r w:rsidRPr="00C641A1">
        <w:rPr>
          <w:rFonts w:ascii="Times New Roman" w:hAnsi="Times New Roman" w:cs="Times New Roman"/>
          <w:u w:val="single"/>
        </w:rPr>
        <w:t>30m</w:t>
      </w:r>
      <w:r w:rsidRPr="00C641A1">
        <w:rPr>
          <w:rFonts w:ascii="Times New Roman" w:hAnsi="Times New Roman" w:cs="Times New Roman"/>
          <w:u w:val="single"/>
        </w:rPr>
        <w:t>、</w:t>
      </w:r>
      <w:r w:rsidRPr="00C641A1">
        <w:rPr>
          <w:rFonts w:ascii="Times New Roman" w:hAnsi="Times New Roman" w:cs="Times New Roman"/>
          <w:u w:val="single"/>
        </w:rPr>
        <w:t>50m</w:t>
      </w:r>
      <w:r w:rsidRPr="00C641A1">
        <w:rPr>
          <w:rFonts w:ascii="Times New Roman" w:hAnsi="Times New Roman" w:cs="Times New Roman"/>
          <w:u w:val="single"/>
        </w:rPr>
        <w:t>、</w:t>
      </w:r>
      <w:r w:rsidRPr="00C641A1">
        <w:rPr>
          <w:rFonts w:ascii="Times New Roman" w:hAnsi="Times New Roman" w:cs="Times New Roman"/>
          <w:u w:val="single"/>
        </w:rPr>
        <w:t>70m</w:t>
      </w:r>
      <w:r w:rsidRPr="00C641A1">
        <w:rPr>
          <w:rFonts w:ascii="Times New Roman" w:hAnsi="Times New Roman" w:cs="Times New Roman"/>
          <w:u w:val="single"/>
        </w:rPr>
        <w:t>）的风速数据，基于标准化后的协方差矩阵进行特征值分解。</w:t>
      </w:r>
    </w:p>
    <w:p w:rsidR="00C641A1" w:rsidRPr="00C641A1" w:rsidRDefault="00C641A1" w:rsidP="00C641A1">
      <w:pPr>
        <w:ind w:firstLine="420"/>
        <w:rPr>
          <w:rFonts w:ascii="Times New Roman" w:hAnsi="Times New Roman" w:cs="Times New Roman" w:hint="eastAsia"/>
          <w:u w:val="single"/>
        </w:rPr>
      </w:pPr>
      <w:r w:rsidRPr="00C641A1">
        <w:rPr>
          <w:rFonts w:ascii="Times New Roman" w:hAnsi="Times New Roman" w:cs="Times New Roman"/>
          <w:u w:val="single"/>
        </w:rPr>
        <w:t>EOF</w:t>
      </w:r>
      <w:r w:rsidRPr="00C641A1">
        <w:rPr>
          <w:rFonts w:ascii="Times New Roman" w:hAnsi="Times New Roman" w:cs="Times New Roman"/>
          <w:u w:val="single"/>
        </w:rPr>
        <w:t>分解结果显示（图</w:t>
      </w:r>
      <w:r w:rsidRPr="00C641A1">
        <w:rPr>
          <w:rFonts w:ascii="Times New Roman" w:hAnsi="Times New Roman" w:cs="Times New Roman"/>
          <w:u w:val="single"/>
        </w:rPr>
        <w:t>1</w:t>
      </w:r>
      <w:r w:rsidRPr="00C641A1">
        <w:rPr>
          <w:rFonts w:ascii="Times New Roman" w:hAnsi="Times New Roman" w:cs="Times New Roman"/>
          <w:u w:val="single"/>
        </w:rPr>
        <w:t>），前</w:t>
      </w:r>
      <w:r w:rsidRPr="00C641A1">
        <w:rPr>
          <w:rFonts w:ascii="Times New Roman" w:hAnsi="Times New Roman" w:cs="Times New Roman"/>
          <w:u w:val="single"/>
        </w:rPr>
        <w:t>4</w:t>
      </w:r>
      <w:r w:rsidRPr="00C641A1">
        <w:rPr>
          <w:rFonts w:ascii="Times New Roman" w:hAnsi="Times New Roman" w:cs="Times New Roman"/>
          <w:u w:val="single"/>
        </w:rPr>
        <w:t>个模态的解释方差分别为</w:t>
      </w:r>
      <w:r w:rsidRPr="00C641A1">
        <w:rPr>
          <w:rFonts w:ascii="Times New Roman" w:hAnsi="Times New Roman" w:cs="Times New Roman"/>
          <w:u w:val="single"/>
        </w:rPr>
        <w:t>94.10%</w:t>
      </w:r>
      <w:r w:rsidRPr="00C641A1">
        <w:rPr>
          <w:rFonts w:ascii="Times New Roman" w:hAnsi="Times New Roman" w:cs="Times New Roman"/>
          <w:u w:val="single"/>
        </w:rPr>
        <w:t>、</w:t>
      </w:r>
      <w:r w:rsidRPr="00C641A1">
        <w:rPr>
          <w:rFonts w:ascii="Times New Roman" w:hAnsi="Times New Roman" w:cs="Times New Roman"/>
          <w:u w:val="single"/>
        </w:rPr>
        <w:t>4.50%</w:t>
      </w:r>
      <w:r w:rsidRPr="00C641A1">
        <w:rPr>
          <w:rFonts w:ascii="Times New Roman" w:hAnsi="Times New Roman" w:cs="Times New Roman"/>
          <w:u w:val="single"/>
        </w:rPr>
        <w:t>、</w:t>
      </w:r>
      <w:r w:rsidRPr="00C641A1">
        <w:rPr>
          <w:rFonts w:ascii="Times New Roman" w:hAnsi="Times New Roman" w:cs="Times New Roman"/>
          <w:u w:val="single"/>
        </w:rPr>
        <w:t>1.00%</w:t>
      </w:r>
      <w:r w:rsidRPr="00C641A1">
        <w:rPr>
          <w:rFonts w:ascii="Times New Roman" w:hAnsi="Times New Roman" w:cs="Times New Roman"/>
          <w:u w:val="single"/>
        </w:rPr>
        <w:t>和</w:t>
      </w:r>
      <w:r w:rsidRPr="00C641A1">
        <w:rPr>
          <w:rFonts w:ascii="Times New Roman" w:hAnsi="Times New Roman" w:cs="Times New Roman"/>
          <w:u w:val="single"/>
        </w:rPr>
        <w:t>0.40%</w:t>
      </w:r>
      <w:r w:rsidRPr="00C641A1">
        <w:rPr>
          <w:rFonts w:ascii="Times New Roman" w:hAnsi="Times New Roman" w:cs="Times New Roman"/>
          <w:u w:val="single"/>
        </w:rPr>
        <w:t>。第一模态解释方差高达</w:t>
      </w:r>
      <w:r w:rsidRPr="00C641A1">
        <w:rPr>
          <w:rFonts w:ascii="Times New Roman" w:hAnsi="Times New Roman" w:cs="Times New Roman"/>
          <w:u w:val="single"/>
        </w:rPr>
        <w:t>94.10%</w:t>
      </w:r>
      <w:r w:rsidRPr="00C641A1">
        <w:rPr>
          <w:rFonts w:ascii="Times New Roman" w:hAnsi="Times New Roman" w:cs="Times New Roman"/>
          <w:u w:val="single"/>
        </w:rPr>
        <w:t>，远超其他模态，表明该风场风速变化具有极强的主导模式。第一模态的载荷系数在各高度均为正值且相近：</w:t>
      </w:r>
      <w:r w:rsidRPr="00C641A1">
        <w:rPr>
          <w:rFonts w:ascii="Times New Roman" w:hAnsi="Times New Roman" w:cs="Times New Roman"/>
          <w:u w:val="single"/>
        </w:rPr>
        <w:t>10m</w:t>
      </w:r>
      <w:r w:rsidRPr="00C641A1">
        <w:rPr>
          <w:rFonts w:ascii="Times New Roman" w:hAnsi="Times New Roman" w:cs="Times New Roman"/>
          <w:u w:val="single"/>
        </w:rPr>
        <w:t>（</w:t>
      </w:r>
      <w:r w:rsidRPr="00C641A1">
        <w:rPr>
          <w:rFonts w:ascii="Times New Roman" w:hAnsi="Times New Roman" w:cs="Times New Roman"/>
          <w:u w:val="single"/>
        </w:rPr>
        <w:t>0.478</w:t>
      </w:r>
      <w:r w:rsidRPr="00C641A1">
        <w:rPr>
          <w:rFonts w:ascii="Times New Roman" w:hAnsi="Times New Roman" w:cs="Times New Roman"/>
          <w:u w:val="single"/>
        </w:rPr>
        <w:t>）、</w:t>
      </w:r>
      <w:r w:rsidRPr="00C641A1">
        <w:rPr>
          <w:rFonts w:ascii="Times New Roman" w:hAnsi="Times New Roman" w:cs="Times New Roman"/>
          <w:u w:val="single"/>
        </w:rPr>
        <w:t>30m</w:t>
      </w:r>
      <w:r w:rsidRPr="00C641A1">
        <w:rPr>
          <w:rFonts w:ascii="Times New Roman" w:hAnsi="Times New Roman" w:cs="Times New Roman"/>
          <w:u w:val="single"/>
        </w:rPr>
        <w:t>（</w:t>
      </w:r>
      <w:r w:rsidRPr="00C641A1">
        <w:rPr>
          <w:rFonts w:ascii="Times New Roman" w:hAnsi="Times New Roman" w:cs="Times New Roman"/>
          <w:u w:val="single"/>
        </w:rPr>
        <w:t>0.507</w:t>
      </w:r>
      <w:r w:rsidRPr="00C641A1">
        <w:rPr>
          <w:rFonts w:ascii="Times New Roman" w:hAnsi="Times New Roman" w:cs="Times New Roman"/>
          <w:u w:val="single"/>
        </w:rPr>
        <w:t>）、</w:t>
      </w:r>
      <w:r w:rsidRPr="00C641A1">
        <w:rPr>
          <w:rFonts w:ascii="Times New Roman" w:hAnsi="Times New Roman" w:cs="Times New Roman"/>
          <w:u w:val="single"/>
        </w:rPr>
        <w:t>50m</w:t>
      </w:r>
      <w:r w:rsidRPr="00C641A1">
        <w:rPr>
          <w:rFonts w:ascii="Times New Roman" w:hAnsi="Times New Roman" w:cs="Times New Roman"/>
          <w:u w:val="single"/>
        </w:rPr>
        <w:t>（</w:t>
      </w:r>
      <w:r w:rsidRPr="00C641A1">
        <w:rPr>
          <w:rFonts w:ascii="Times New Roman" w:hAnsi="Times New Roman" w:cs="Times New Roman"/>
          <w:u w:val="single"/>
        </w:rPr>
        <w:t>0.509</w:t>
      </w:r>
      <w:r w:rsidRPr="00C641A1">
        <w:rPr>
          <w:rFonts w:ascii="Times New Roman" w:hAnsi="Times New Roman" w:cs="Times New Roman"/>
          <w:u w:val="single"/>
        </w:rPr>
        <w:t>）、</w:t>
      </w:r>
      <w:r w:rsidRPr="00C641A1">
        <w:rPr>
          <w:rFonts w:ascii="Times New Roman" w:hAnsi="Times New Roman" w:cs="Times New Roman"/>
          <w:u w:val="single"/>
        </w:rPr>
        <w:t>70m</w:t>
      </w:r>
      <w:r w:rsidRPr="00C641A1">
        <w:rPr>
          <w:rFonts w:ascii="Times New Roman" w:hAnsi="Times New Roman" w:cs="Times New Roman"/>
          <w:u w:val="single"/>
        </w:rPr>
        <w:t>（</w:t>
      </w:r>
      <w:r w:rsidRPr="00C641A1">
        <w:rPr>
          <w:rFonts w:ascii="Times New Roman" w:hAnsi="Times New Roman" w:cs="Times New Roman"/>
          <w:u w:val="single"/>
        </w:rPr>
        <w:t>0.505</w:t>
      </w:r>
      <w:r w:rsidRPr="00C641A1">
        <w:rPr>
          <w:rFonts w:ascii="Times New Roman" w:hAnsi="Times New Roman" w:cs="Times New Roman"/>
          <w:u w:val="single"/>
        </w:rPr>
        <w:t>），变化范围仅为</w:t>
      </w:r>
      <w:r w:rsidRPr="00C641A1">
        <w:rPr>
          <w:rFonts w:ascii="Times New Roman" w:hAnsi="Times New Roman" w:cs="Times New Roman"/>
          <w:u w:val="single"/>
        </w:rPr>
        <w:t>0.031</w:t>
      </w:r>
      <w:r w:rsidRPr="00C641A1">
        <w:rPr>
          <w:rFonts w:ascii="Times New Roman" w:hAnsi="Times New Roman" w:cs="Times New Roman"/>
          <w:u w:val="single"/>
        </w:rPr>
        <w:t>。这表明各高度风速变化高度同步，具有极强的正相关关系。第二模态（</w:t>
      </w:r>
      <w:r w:rsidRPr="00C641A1">
        <w:rPr>
          <w:rFonts w:ascii="Times New Roman" w:hAnsi="Times New Roman" w:cs="Times New Roman"/>
          <w:u w:val="single"/>
        </w:rPr>
        <w:t>4.50%</w:t>
      </w:r>
      <w:r w:rsidRPr="00C641A1">
        <w:rPr>
          <w:rFonts w:ascii="Times New Roman" w:hAnsi="Times New Roman" w:cs="Times New Roman"/>
          <w:u w:val="single"/>
        </w:rPr>
        <w:t>）反映风切变变化，但贡献有限。</w:t>
      </w:r>
      <w:r w:rsidRPr="00C641A1">
        <w:rPr>
          <w:rFonts w:ascii="Times New Roman" w:hAnsi="Times New Roman" w:cs="Times New Roman"/>
          <w:u w:val="single"/>
        </w:rPr>
        <w:t>EOF</w:t>
      </w:r>
      <w:r w:rsidRPr="00C641A1">
        <w:rPr>
          <w:rFonts w:ascii="Times New Roman" w:hAnsi="Times New Roman" w:cs="Times New Roman"/>
          <w:u w:val="single"/>
        </w:rPr>
        <w:t>分析确认了该风场的低风切变特征。虽然载荷系数相近，但微小差异暗示不同高度对功率预测的贡献可能不同。基于此认识，我们进一步分析各高度风速与功率的统计关系。</w:t>
      </w:r>
    </w:p>
    <w:p w:rsidR="00C641A1" w:rsidRPr="00C641A1" w:rsidRDefault="00C641A1" w:rsidP="00170B30">
      <w:pPr>
        <w:ind w:firstLine="420"/>
        <w:rPr>
          <w:rFonts w:ascii="Times New Roman" w:hAnsi="Times New Roman" w:cs="Times New Roman" w:hint="eastAsia"/>
        </w:rPr>
      </w:pPr>
    </w:p>
    <w:p w:rsidR="003C111E" w:rsidRDefault="003C111E" w:rsidP="00C641A1">
      <w:pPr>
        <w:rPr>
          <w:rFonts w:ascii="Times New Roman" w:hAnsi="Times New Roman" w:cs="Times New Roman"/>
        </w:rPr>
      </w:pPr>
      <w:r>
        <w:rPr>
          <w:rFonts w:ascii="Times New Roman" w:hAnsi="Times New Roman" w:cs="Times New Roman" w:hint="eastAsia"/>
          <w:noProof/>
        </w:rPr>
        <w:lastRenderedPageBreak/>
        <w:drawing>
          <wp:inline distT="0" distB="0" distL="0" distR="0">
            <wp:extent cx="5274310" cy="1964055"/>
            <wp:effectExtent l="0" t="0" r="0" b="4445"/>
            <wp:docPr id="1159214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4902" name="图片 11592149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964055"/>
                    </a:xfrm>
                    <a:prstGeom prst="rect">
                      <a:avLst/>
                    </a:prstGeom>
                  </pic:spPr>
                </pic:pic>
              </a:graphicData>
            </a:graphic>
          </wp:inline>
        </w:drawing>
      </w:r>
    </w:p>
    <w:p w:rsidR="00080351" w:rsidRPr="00080351" w:rsidRDefault="00080351" w:rsidP="00080351">
      <w:pPr>
        <w:ind w:firstLine="420"/>
        <w:rPr>
          <w:rFonts w:ascii="Times New Roman" w:hAnsi="Times New Roman" w:cs="Times New Roman" w:hint="eastAsia"/>
        </w:rPr>
      </w:pPr>
    </w:p>
    <w:sectPr w:rsidR="00080351" w:rsidRPr="000803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CB"/>
    <w:rsid w:val="00080351"/>
    <w:rsid w:val="000D50E0"/>
    <w:rsid w:val="00170B30"/>
    <w:rsid w:val="003772FA"/>
    <w:rsid w:val="003C111E"/>
    <w:rsid w:val="00494A64"/>
    <w:rsid w:val="00567FEC"/>
    <w:rsid w:val="005D1D8F"/>
    <w:rsid w:val="0068447B"/>
    <w:rsid w:val="007315A8"/>
    <w:rsid w:val="007C07D4"/>
    <w:rsid w:val="00A47DB0"/>
    <w:rsid w:val="00C000CB"/>
    <w:rsid w:val="00C641A1"/>
    <w:rsid w:val="00D9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AC42"/>
  <w15:chartTrackingRefBased/>
  <w15:docId w15:val="{BD8D1381-7572-1349-ACC0-FA316C65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00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00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00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00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00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00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00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00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00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00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00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00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00CB"/>
    <w:rPr>
      <w:rFonts w:cstheme="majorBidi"/>
      <w:color w:val="0F4761" w:themeColor="accent1" w:themeShade="BF"/>
      <w:sz w:val="28"/>
      <w:szCs w:val="28"/>
    </w:rPr>
  </w:style>
  <w:style w:type="character" w:customStyle="1" w:styleId="50">
    <w:name w:val="标题 5 字符"/>
    <w:basedOn w:val="a0"/>
    <w:link w:val="5"/>
    <w:uiPriority w:val="9"/>
    <w:semiHidden/>
    <w:rsid w:val="00C000CB"/>
    <w:rPr>
      <w:rFonts w:cstheme="majorBidi"/>
      <w:color w:val="0F4761" w:themeColor="accent1" w:themeShade="BF"/>
      <w:sz w:val="24"/>
    </w:rPr>
  </w:style>
  <w:style w:type="character" w:customStyle="1" w:styleId="60">
    <w:name w:val="标题 6 字符"/>
    <w:basedOn w:val="a0"/>
    <w:link w:val="6"/>
    <w:uiPriority w:val="9"/>
    <w:semiHidden/>
    <w:rsid w:val="00C000CB"/>
    <w:rPr>
      <w:rFonts w:cstheme="majorBidi"/>
      <w:b/>
      <w:bCs/>
      <w:color w:val="0F4761" w:themeColor="accent1" w:themeShade="BF"/>
    </w:rPr>
  </w:style>
  <w:style w:type="character" w:customStyle="1" w:styleId="70">
    <w:name w:val="标题 7 字符"/>
    <w:basedOn w:val="a0"/>
    <w:link w:val="7"/>
    <w:uiPriority w:val="9"/>
    <w:semiHidden/>
    <w:rsid w:val="00C000CB"/>
    <w:rPr>
      <w:rFonts w:cstheme="majorBidi"/>
      <w:b/>
      <w:bCs/>
      <w:color w:val="595959" w:themeColor="text1" w:themeTint="A6"/>
    </w:rPr>
  </w:style>
  <w:style w:type="character" w:customStyle="1" w:styleId="80">
    <w:name w:val="标题 8 字符"/>
    <w:basedOn w:val="a0"/>
    <w:link w:val="8"/>
    <w:uiPriority w:val="9"/>
    <w:semiHidden/>
    <w:rsid w:val="00C000CB"/>
    <w:rPr>
      <w:rFonts w:cstheme="majorBidi"/>
      <w:color w:val="595959" w:themeColor="text1" w:themeTint="A6"/>
    </w:rPr>
  </w:style>
  <w:style w:type="character" w:customStyle="1" w:styleId="90">
    <w:name w:val="标题 9 字符"/>
    <w:basedOn w:val="a0"/>
    <w:link w:val="9"/>
    <w:uiPriority w:val="9"/>
    <w:semiHidden/>
    <w:rsid w:val="00C000CB"/>
    <w:rPr>
      <w:rFonts w:eastAsiaTheme="majorEastAsia" w:cstheme="majorBidi"/>
      <w:color w:val="595959" w:themeColor="text1" w:themeTint="A6"/>
    </w:rPr>
  </w:style>
  <w:style w:type="paragraph" w:styleId="a3">
    <w:name w:val="Title"/>
    <w:basedOn w:val="a"/>
    <w:next w:val="a"/>
    <w:link w:val="a4"/>
    <w:uiPriority w:val="10"/>
    <w:qFormat/>
    <w:rsid w:val="00C000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00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0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00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0CB"/>
    <w:pPr>
      <w:spacing w:before="160"/>
      <w:jc w:val="center"/>
    </w:pPr>
    <w:rPr>
      <w:i/>
      <w:iCs/>
      <w:color w:val="404040" w:themeColor="text1" w:themeTint="BF"/>
    </w:rPr>
  </w:style>
  <w:style w:type="character" w:customStyle="1" w:styleId="a8">
    <w:name w:val="引用 字符"/>
    <w:basedOn w:val="a0"/>
    <w:link w:val="a7"/>
    <w:uiPriority w:val="29"/>
    <w:rsid w:val="00C000CB"/>
    <w:rPr>
      <w:i/>
      <w:iCs/>
      <w:color w:val="404040" w:themeColor="text1" w:themeTint="BF"/>
    </w:rPr>
  </w:style>
  <w:style w:type="paragraph" w:styleId="a9">
    <w:name w:val="List Paragraph"/>
    <w:basedOn w:val="a"/>
    <w:uiPriority w:val="34"/>
    <w:qFormat/>
    <w:rsid w:val="00C000CB"/>
    <w:pPr>
      <w:ind w:left="720"/>
      <w:contextualSpacing/>
    </w:pPr>
  </w:style>
  <w:style w:type="character" w:styleId="aa">
    <w:name w:val="Intense Emphasis"/>
    <w:basedOn w:val="a0"/>
    <w:uiPriority w:val="21"/>
    <w:qFormat/>
    <w:rsid w:val="00C000CB"/>
    <w:rPr>
      <w:i/>
      <w:iCs/>
      <w:color w:val="0F4761" w:themeColor="accent1" w:themeShade="BF"/>
    </w:rPr>
  </w:style>
  <w:style w:type="paragraph" w:styleId="ab">
    <w:name w:val="Intense Quote"/>
    <w:basedOn w:val="a"/>
    <w:next w:val="a"/>
    <w:link w:val="ac"/>
    <w:uiPriority w:val="30"/>
    <w:qFormat/>
    <w:rsid w:val="00C00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00CB"/>
    <w:rPr>
      <w:i/>
      <w:iCs/>
      <w:color w:val="0F4761" w:themeColor="accent1" w:themeShade="BF"/>
    </w:rPr>
  </w:style>
  <w:style w:type="character" w:styleId="ad">
    <w:name w:val="Intense Reference"/>
    <w:basedOn w:val="a0"/>
    <w:uiPriority w:val="32"/>
    <w:qFormat/>
    <w:rsid w:val="00C00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124261">
      <w:bodyDiv w:val="1"/>
      <w:marLeft w:val="0"/>
      <w:marRight w:val="0"/>
      <w:marTop w:val="0"/>
      <w:marBottom w:val="0"/>
      <w:divBdr>
        <w:top w:val="none" w:sz="0" w:space="0" w:color="auto"/>
        <w:left w:val="none" w:sz="0" w:space="0" w:color="auto"/>
        <w:bottom w:val="none" w:sz="0" w:space="0" w:color="auto"/>
        <w:right w:val="none" w:sz="0" w:space="0" w:color="auto"/>
      </w:divBdr>
    </w:div>
    <w:div w:id="181313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C20FB-4667-AA44-94FE-4E48A6C30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12</cp:revision>
  <dcterms:created xsi:type="dcterms:W3CDTF">2025-06-30T02:31:00Z</dcterms:created>
  <dcterms:modified xsi:type="dcterms:W3CDTF">2025-06-30T03:34:00Z</dcterms:modified>
</cp:coreProperties>
</file>