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E406A" w14:textId="77777777" w:rsidR="00FD3B7A" w:rsidRDefault="00FD3B7A" w:rsidP="00FD3B7A">
      <w:pPr>
        <w:widowControl/>
        <w:spacing w:before="100" w:beforeAutospacing="1" w:after="100" w:afterAutospacing="1" w:line="240" w:lineRule="auto"/>
        <w:jc w:val="center"/>
        <w:rPr>
          <w:rFonts w:ascii="Calibri" w:eastAsia="宋体" w:hAnsi="Calibri" w:cs="Calibri"/>
          <w:color w:val="000000"/>
          <w:kern w:val="0"/>
          <w:sz w:val="24"/>
          <w14:ligatures w14:val="none"/>
        </w:rPr>
      </w:pPr>
      <w:bookmarkStart w:id="0" w:name="OLE_LINK2"/>
      <w:bookmarkStart w:id="1" w:name="OLE_LINK5"/>
      <w:bookmarkStart w:id="2" w:name="OLE_LINK4"/>
      <w:r w:rsidRPr="005609DD">
        <w:rPr>
          <w:rFonts w:ascii="Calibri" w:eastAsia="宋体" w:hAnsi="Calibri" w:cs="Calibri"/>
          <w:color w:val="000000"/>
          <w:kern w:val="0"/>
          <w:sz w:val="28"/>
          <w:szCs w:val="28"/>
          <w14:ligatures w14:val="none"/>
        </w:rPr>
        <w:t>Multi-Height and Flow-Regime-Dependent Inputs Enhance Day-Ahead Wind Power Forecasting</w:t>
      </w:r>
    </w:p>
    <w:p w14:paraId="3AE2F839" w14:textId="76467D7B" w:rsidR="00FD3B7A" w:rsidRDefault="00FD3B7A" w:rsidP="00FD3B7A">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 xml:space="preserve">Accurate day-ahead wind power forecasting is essential for power-system operation, electricity market, and the large-scale integration of variable renewable energy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2012)","noteIndex":0},"citationItems":[{"id":1767,"uris":["http://zotero.org/users/14274501/items/KNDMQHAV"],"itemData":{"id":1767,"type":"article-journal","abstract":"This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beneﬁts of a more ﬂexible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deﬁcit production could be traded 2 h before delivery could beneﬁt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(Holttinen, 2005; Mahoney et al., 2012)</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The forecasting has been substantially advanced by the </w:t>
      </w:r>
      <w:r w:rsidRPr="00EC629C">
        <w:rPr>
          <w:rFonts w:ascii="Calibri" w:eastAsia="宋体" w:hAnsi="Calibri" w:cs="Calibri"/>
          <w:color w:val="000000"/>
          <w:kern w:val="0"/>
          <w:sz w:val="24"/>
          <w14:ligatures w14:val="none"/>
        </w:rPr>
        <w:t>development of deep learning</w:t>
      </w:r>
      <w:r>
        <w:rPr>
          <w:rFonts w:ascii="Calibri" w:eastAsia="宋体" w:hAnsi="Calibri" w:cs="Calibri" w:hint="eastAsia"/>
          <w:color w:val="000000"/>
          <w:kern w:val="0"/>
          <w:sz w:val="24"/>
          <w14:ligatures w14:val="none"/>
        </w:rPr>
        <w:t xml:space="preserve"> models</w:t>
      </w:r>
      <w:r>
        <w:rPr>
          <w:rFonts w:ascii="Calibri" w:eastAsia="宋体" w:hAnsi="Calibri" w:cs="Calibri"/>
          <w:color w:val="000000"/>
          <w:kern w:val="0"/>
          <w:sz w:val="24"/>
          <w14:ligatures w14:val="none"/>
        </w:rPr>
        <w:t xml:space="preserve">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2024)","noteIndex":0},"citationItems":[{"id":1832,"uris":["http://zotero.org/users/14274501/items/TEVII5UA"],"itemData":{"id":1832,"type":"article-journal","abstract":"With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(Liu &amp; Zhang, 2024)</w:t>
      </w:r>
      <w:r w:rsidRPr="00FD3B7A">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and depends </w:t>
      </w:r>
      <w:r w:rsidRPr="00EC629C">
        <w:rPr>
          <w:rFonts w:ascii="Calibri" w:eastAsia="宋体" w:hAnsi="Calibri" w:cs="Calibri"/>
          <w:color w:val="000000"/>
          <w:kern w:val="0"/>
          <w:sz w:val="24"/>
          <w14:ligatures w14:val="none"/>
        </w:rPr>
        <w:t>not only on model</w:t>
      </w:r>
      <w:r>
        <w:rPr>
          <w:rFonts w:ascii="Calibri" w:eastAsia="宋体" w:hAnsi="Calibri" w:cs="Calibri" w:hint="eastAsia"/>
          <w:color w:val="000000"/>
          <w:kern w:val="0"/>
          <w:sz w:val="24"/>
          <w14:ligatures w14:val="none"/>
        </w:rPr>
        <w:t>s</w:t>
      </w:r>
      <w:r w:rsidRPr="00EC629C">
        <w:rPr>
          <w:rFonts w:ascii="Calibri" w:eastAsia="宋体" w:hAnsi="Calibri" w:cs="Calibri"/>
          <w:color w:val="000000"/>
          <w:kern w:val="0"/>
          <w:sz w:val="24"/>
          <w14:ligatures w14:val="none"/>
        </w:rPr>
        <w:t xml:space="preserve"> but fundamentally on the physical relevance of meteorological inputs </w:t>
      </w:r>
      <w:r w:rsidRPr="00FD3B7A">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Pr="00FD3B7A">
        <w:rPr>
          <w:rFonts w:ascii="Calibri" w:eastAsia="宋体" w:hAnsi="Calibri" w:cs="Calibri"/>
          <w:noProof/>
          <w:color w:val="000000"/>
          <w:kern w:val="0"/>
          <w:sz w:val="24"/>
          <w14:ligatures w14:val="none"/>
        </w:rPr>
        <w:t>(Optis &amp; Perr-Sauer, 2019)</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Previous research has paid disproportionate attention to </w:t>
      </w:r>
      <w:r>
        <w:rPr>
          <w:rFonts w:ascii="Calibri" w:eastAsia="宋体" w:hAnsi="Calibri" w:cs="Calibri" w:hint="eastAsia"/>
          <w:color w:val="000000"/>
          <w:kern w:val="0"/>
          <w:sz w:val="24"/>
          <w14:ligatures w14:val="none"/>
        </w:rPr>
        <w:t xml:space="preserve">the models, including architecture innovation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{"citationID":"cPZiIfgm","properties":{"formattedCitation":"(Bentsen et al., 2023)","plainCitation":"(Bentsen et al., 2023)","noteIndex":0},"citationItems":[{"id":16,"uris":["http://zotero.org/users/14274501/items/VEWYXDBV"],"itemData":{"id":16,"type":"article-journal","container-title":"Applied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(Bentsen et al., 2023)</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w:t>
      </w:r>
      <w:r w:rsidRPr="00EC629C">
        <w:rPr>
          <w:rFonts w:ascii="Calibri" w:eastAsia="宋体" w:hAnsi="Calibri" w:cs="Calibri"/>
          <w:color w:val="000000"/>
          <w:kern w:val="0"/>
          <w:sz w:val="24"/>
          <w14:ligatures w14:val="none"/>
        </w:rPr>
        <w:t xml:space="preserve"> hyperparameter optimization</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{"citationID":"X5TGXZQ4","properties":{"formattedCitation":"(Hanifi et al., 2024)","plainCitation":"(Hanifi et al., 2024)","noteIndex":0},"citationItems":[{"id":1975,"uris":["http://zotero.org/users/14274501/items/WDL6N3XL"],"itemData":{"id":1975,"type":"article-journal","container-title":"Renewable Energy","DOI":"10.1016/j.renene.2023.119700","ISSN":"0960-1481","journalAbbreviation":"Renewable Energy","language":"en","note":"publisher: Elsevier","page":"119700","title":"Advanced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(Hanifi et al., 2024)</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w:t>
      </w:r>
      <w:r w:rsidRPr="00EC629C">
        <w:rPr>
          <w:rFonts w:ascii="Calibri" w:eastAsia="宋体" w:hAnsi="Calibri" w:cs="Calibri"/>
          <w:color w:val="000000"/>
          <w:kern w:val="0"/>
          <w:sz w:val="24"/>
          <w14:ligatures w14:val="none"/>
        </w:rPr>
        <w:t xml:space="preserve"> and post-processing</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{"citationID":"coFr8WIW","properties":{"formattedCitation":"(Xia et al., 2026)","plainCitation":"(Xia et al., 2026)","noteIndex":0},"citationItems":[{"id":1769,"uris":["http://zotero.org/users/14274501/items/C2QH392X"],"itemData":{"id":1769,"type":"article-journal","abstract":"Accurate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Pr>
          <w:rFonts w:ascii="Calibri" w:eastAsia="宋体" w:hAnsi="Calibri" w:cs="Calibri"/>
          <w:color w:val="000000"/>
          <w:kern w:val="0"/>
          <w:sz w:val="24"/>
          <w14:ligatures w14:val="none"/>
        </w:rPr>
        <w:fldChar w:fldCharType="separate"/>
      </w:r>
      <w:r w:rsidRPr="00FD3B7A">
        <w:rPr>
          <w:rFonts w:ascii="Calibri" w:hAnsi="Calibri" w:cs="Calibri"/>
          <w:sz w:val="24"/>
        </w:rPr>
        <w:t>(Xia et al., 2026)</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In comparison,</w:t>
      </w:r>
      <w:r w:rsidRPr="00394449">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input feature selection lacks a mechanistically optimization. Consequently, </w:t>
      </w:r>
      <w:r w:rsidRPr="00EC629C">
        <w:rPr>
          <w:rFonts w:ascii="Calibri" w:eastAsia="宋体" w:hAnsi="Calibri" w:cs="Calibri"/>
          <w:color w:val="000000"/>
          <w:kern w:val="0"/>
          <w:sz w:val="24"/>
          <w14:ligatures w14:val="none"/>
        </w:rPr>
        <w:t>the atmospheric physics governing wind farm power production remain underrepresented in forecasting.</w:t>
      </w:r>
    </w:p>
    <w:p w14:paraId="4E8C5A70" w14:textId="71BA608B" w:rsidR="00904748" w:rsidRPr="00EC629C" w:rsidRDefault="00904748" w:rsidP="0090474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Traditionally</w:t>
      </w:r>
      <w:r w:rsidRPr="00EC629C">
        <w:rPr>
          <w:rFonts w:ascii="Calibri" w:eastAsia="宋体" w:hAnsi="Calibri" w:cs="Calibri"/>
          <w:color w:val="000000"/>
          <w:kern w:val="0"/>
          <w:sz w:val="24"/>
          <w14:ligatures w14:val="none"/>
        </w:rPr>
        <w:t xml:space="preserve">, wind speed at hub height has been the primary feature input </w:t>
      </w:r>
      <w:r>
        <w:rPr>
          <w:rFonts w:ascii="Calibri" w:eastAsia="宋体" w:hAnsi="Calibri" w:cs="Calibri" w:hint="eastAsia"/>
          <w:color w:val="000000"/>
          <w:kern w:val="0"/>
          <w:sz w:val="24"/>
          <w14:ligatures w14:val="none"/>
        </w:rPr>
        <w:t>into the</w:t>
      </w:r>
      <w:r w:rsidRPr="00EC629C">
        <w:rPr>
          <w:rFonts w:ascii="Calibri" w:eastAsia="宋体" w:hAnsi="Calibri" w:cs="Calibri"/>
          <w:color w:val="000000"/>
          <w:kern w:val="0"/>
          <w:sz w:val="24"/>
          <w14:ligatures w14:val="none"/>
        </w:rPr>
        <w:t xml:space="preserve"> forecasting models </w:t>
      </w:r>
      <w:r w:rsidRPr="00FD3B7A">
        <w:rPr>
          <w:rFonts w:ascii="Calibri" w:eastAsia="宋体" w:hAnsi="Calibri" w:cs="Calibri"/>
          <w:color w:val="000000"/>
          <w:kern w:val="0"/>
          <w:sz w:val="24"/>
          <w14:ligatures w14:val="none"/>
        </w:rPr>
        <w:fldChar w:fldCharType="begin"/>
      </w:r>
      <w:r w:rsidR="007F3284">
        <w:rPr>
          <w:rFonts w:ascii="Calibri" w:eastAsia="宋体" w:hAnsi="Calibri" w:cs="Calibri"/>
          <w:color w:val="000000"/>
          <w:kern w:val="0"/>
          <w:sz w:val="24"/>
          <w14:ligatures w14:val="none"/>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2023)","noteIndex":0},"citationItems":[{"id":1768,"uris":["http://zotero.org/users/14274501/items/5TJHB4EM"],"itemData":{"id":1768,"type":"article-journal","abstract":"Wind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Ellen"}],"issued":{"date-parts":[["2012",10]]}}},{"id":1763,"uris":["http://zotero.org/users/14274501/items/UEB3S88X"],"itemData":{"id":1763,"type":"article-journal","abstract":"Large-scale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speciﬁc spatial location and the layout of its neighboring correlated wind turbines. Then, spatial correlation matrix of wind speed is derived by discretizing differential equation at each wind turbine using a ﬁnite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1764,"uris":["http://zotero.org/users/14274501/items/8GQWTJ6M"],"itemData":{"id":1764,"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1976,"uris":["http://zotero.org/users/14274501/items/2BE8NPN6"],"itemData":{"id":1976,"type":"article-journal","container-title":"Applied Energy","DOI":"10.1016/j.apenergy.2023.121554","ISSN":"0306-2619","journalAbbreviation":"Appl. Energy","language":"en","note":"publisher: Elsevier","page":"121554","title":"Wind farm layout and hub height optimization with a novel wake model","volume":"348","author":[{"family":"Sun","given":"Haiying"},{"family":"Yang","given":"Hongxing"}],"issued":{"date-parts":[["2023"]]}}}],"schema":"https://github.com/citation-style-language/schema/raw/master/csl-citation.json"} </w:instrText>
      </w:r>
      <w:r w:rsidRPr="00FD3B7A">
        <w:rPr>
          <w:rFonts w:ascii="Calibri" w:eastAsia="宋体" w:hAnsi="Calibri" w:cs="Calibri"/>
          <w:color w:val="000000"/>
          <w:kern w:val="0"/>
          <w:sz w:val="24"/>
          <w14:ligatures w14:val="none"/>
        </w:rPr>
        <w:fldChar w:fldCharType="separate"/>
      </w:r>
      <w:r w:rsidR="007F3284" w:rsidRPr="007F3284">
        <w:rPr>
          <w:rFonts w:ascii="Calibri" w:hAnsi="Calibri" w:cs="Calibri"/>
          <w:sz w:val="24"/>
        </w:rPr>
        <w:t>(Mahoney et al., 2012; Ye et al., 2017; Che et al., 2022; Sun &amp; Yang, 2023)</w:t>
      </w:r>
      <w:r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This practice originates from the single-turbine power curve, </w:t>
      </w:r>
      <w:r w:rsidRPr="00F425DD">
        <w:rPr>
          <w:rFonts w:ascii="Calibri" w:eastAsia="宋体" w:hAnsi="Calibri" w:cs="Calibri"/>
          <w:color w:val="000000"/>
          <w:kern w:val="0"/>
          <w:sz w:val="24"/>
          <w14:ligatures w14:val="none"/>
        </w:rPr>
        <w:t xml:space="preserve">where </w:t>
      </w:r>
      <w:r>
        <w:rPr>
          <w:rFonts w:ascii="Calibri" w:eastAsia="宋体" w:hAnsi="Calibri" w:cs="Calibri" w:hint="eastAsia"/>
          <w:color w:val="000000"/>
          <w:kern w:val="0"/>
          <w:sz w:val="24"/>
          <w14:ligatures w14:val="none"/>
        </w:rPr>
        <w:t>power</w:t>
      </w:r>
      <w:r w:rsidRPr="00F425DD">
        <w:rPr>
          <w:rFonts w:ascii="Calibri" w:eastAsia="宋体" w:hAnsi="Calibri" w:cs="Calibri"/>
          <w:color w:val="000000"/>
          <w:kern w:val="0"/>
          <w:sz w:val="24"/>
          <w14:ligatures w14:val="none"/>
        </w:rPr>
        <w:t xml:space="preserve"> can be characterized by a single </w:t>
      </w:r>
      <w:r>
        <w:rPr>
          <w:rFonts w:ascii="Calibri" w:eastAsia="宋体" w:hAnsi="Calibri" w:cs="Calibri"/>
          <w:color w:val="000000"/>
          <w:kern w:val="0"/>
          <w:sz w:val="24"/>
          <w14:ligatures w14:val="none"/>
        </w:rPr>
        <w:t>hub</w:t>
      </w:r>
      <w:r>
        <w:rPr>
          <w:rFonts w:ascii="Calibri" w:eastAsia="宋体" w:hAnsi="Calibri" w:cs="Calibri" w:hint="eastAsia"/>
          <w:color w:val="000000"/>
          <w:kern w:val="0"/>
          <w:sz w:val="24"/>
          <w14:ligatures w14:val="none"/>
        </w:rPr>
        <w:t>-</w:t>
      </w:r>
      <w:r w:rsidRPr="00F425DD">
        <w:rPr>
          <w:rFonts w:ascii="Calibri" w:eastAsia="宋体" w:hAnsi="Calibri" w:cs="Calibri"/>
          <w:color w:val="000000"/>
          <w:kern w:val="0"/>
          <w:sz w:val="24"/>
          <w14:ligatures w14:val="none"/>
        </w:rPr>
        <w:t>height</w:t>
      </w:r>
      <w:r>
        <w:rPr>
          <w:rFonts w:ascii="Calibri" w:eastAsia="宋体" w:hAnsi="Calibri" w:cs="Calibri" w:hint="eastAsia"/>
          <w:color w:val="000000"/>
          <w:kern w:val="0"/>
          <w:sz w:val="24"/>
          <w14:ligatures w14:val="none"/>
        </w:rPr>
        <w:t xml:space="preserve"> wind speed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{"citationID":"QuzhfntJ","properties":{"formattedCitation":"(Turbines\\uc0\\u8212{}Part, 2005)","plainCitation":"(Turbines—Part, 2005)","noteIndex":0},"citationItems":[{"id":1760,"uris":["http://zotero.org/users/14274501/items/3X2LALHE"],"itemData":{"id":1760,"type":"article-journal","container-title":"British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Pr>
          <w:rFonts w:ascii="Calibri" w:eastAsia="宋体" w:hAnsi="Calibri" w:cs="Calibri"/>
          <w:color w:val="000000"/>
          <w:kern w:val="0"/>
          <w:sz w:val="24"/>
          <w14:ligatures w14:val="none"/>
        </w:rPr>
        <w:fldChar w:fldCharType="separate"/>
      </w:r>
      <w:r w:rsidRPr="00401647">
        <w:rPr>
          <w:rFonts w:ascii="Calibri" w:hAnsi="Calibri" w:cs="Calibri"/>
          <w:color w:val="000000"/>
          <w:kern w:val="0"/>
          <w:sz w:val="24"/>
        </w:rPr>
        <w:t>(Turbines—Part, 2005)</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and could be supported by the </w:t>
      </w:r>
      <w:r w:rsidRPr="00F425DD">
        <w:rPr>
          <w:rFonts w:ascii="Calibri" w:eastAsia="宋体" w:hAnsi="Calibri" w:cs="Calibri"/>
          <w:color w:val="000000"/>
          <w:kern w:val="0"/>
          <w:sz w:val="24"/>
          <w14:ligatures w14:val="none"/>
        </w:rPr>
        <w:t xml:space="preserve">strong correlation </w:t>
      </w:r>
      <w:r>
        <w:rPr>
          <w:rFonts w:ascii="Calibri" w:eastAsia="宋体" w:hAnsi="Calibri" w:cs="Calibri" w:hint="eastAsia"/>
          <w:color w:val="000000"/>
          <w:kern w:val="0"/>
          <w:sz w:val="24"/>
          <w14:ligatures w14:val="none"/>
        </w:rPr>
        <w:t>between the hub-height speed and</w:t>
      </w:r>
      <w:r w:rsidRPr="00F425DD">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single turbine </w:t>
      </w:r>
      <w:r w:rsidRPr="00F425DD">
        <w:rPr>
          <w:rFonts w:ascii="Calibri" w:eastAsia="宋体" w:hAnsi="Calibri" w:cs="Calibri"/>
          <w:color w:val="000000"/>
          <w:kern w:val="0"/>
          <w:sz w:val="24"/>
          <w14:ligatures w14:val="none"/>
        </w:rPr>
        <w:t>power</w:t>
      </w:r>
      <w:r>
        <w:rPr>
          <w:rFonts w:ascii="Calibri" w:eastAsia="宋体" w:hAnsi="Calibri" w:cs="Calibri" w:hint="eastAsia"/>
          <w:color w:val="000000"/>
          <w:kern w:val="0"/>
          <w:sz w:val="24"/>
          <w14:ligatures w14:val="none"/>
        </w:rPr>
        <w:t xml:space="preserve">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{"citationID":"xda80eVG","properties":{"formattedCitation":"(Clifton et al., 2013)","plainCitation":"(Clifton et al., 2013)","noteIndex":0},"citationItems":[{"id":1759,"uris":["http://zotero.org/users/14274501/items/Y4FVRGTC"],"itemData":{"id":1759,"type":"article-journal","abstract":"Wind turbine power output is known to be a strong function of wind speed, but is also affected by turbulence and shear. In this work, new aerostructural simulations of a generic 1.5 MW turbine are used to rank atmospheric inﬂuences on power output. Most signiﬁcant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signiﬁcantly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(Clifton et al., 2013)</w:t>
      </w:r>
      <w:r>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However, this simplification is increasingly challenged by the complex wind farm environments. Since wind farms operate in a boundary layer marked by significant spatial heterogeneity</w:t>
      </w:r>
      <w:r>
        <w:rPr>
          <w:rFonts w:ascii="Calibri" w:eastAsia="宋体" w:hAnsi="Calibri" w:cs="Calibri" w:hint="eastAsia"/>
          <w:color w:val="000000"/>
          <w:kern w:val="0"/>
          <w:sz w:val="24"/>
          <w14:ligatures w14:val="none"/>
        </w:rPr>
        <w:t xml:space="preserve"> of meterological physics</w:t>
      </w:r>
      <w:r w:rsidRPr="00EC629C">
        <w:rPr>
          <w:rFonts w:ascii="Calibri" w:eastAsia="宋体" w:hAnsi="Calibri" w:cs="Calibri"/>
          <w:color w:val="000000"/>
          <w:kern w:val="0"/>
          <w:sz w:val="24"/>
          <w14:ligatures w14:val="none"/>
        </w:rPr>
        <w:t xml:space="preserve">, power forecasting based solely on hub-height </w:t>
      </w:r>
      <w:r>
        <w:rPr>
          <w:rFonts w:ascii="Calibri" w:eastAsia="宋体" w:hAnsi="Calibri" w:cs="Calibri" w:hint="eastAsia"/>
          <w:color w:val="000000"/>
          <w:kern w:val="0"/>
          <w:sz w:val="24"/>
          <w14:ligatures w14:val="none"/>
        </w:rPr>
        <w:t xml:space="preserve">wind speed </w:t>
      </w:r>
      <w:r w:rsidRPr="00EC629C">
        <w:rPr>
          <w:rFonts w:ascii="Calibri" w:eastAsia="宋体" w:hAnsi="Calibri" w:cs="Calibri"/>
          <w:color w:val="000000"/>
          <w:kern w:val="0"/>
          <w:sz w:val="24"/>
          <w14:ligatures w14:val="none"/>
        </w:rPr>
        <w:t xml:space="preserve">speed lacks reliability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{"citationID":"iBoz99op","properties":{"formattedCitation":"(Buhan et al., 2016)","plainCitation":"(Buhan et al., 2016)","noteIndex":0},"citationItems":[{"id":1746,"uris":["http://zotero.org/users/14274501/items/ECRFFUKQ"],"itemData":{"id":1746,"type":"article-journal","abstract":"A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ﬁrst, NWP data are combined using adaptive boosting (AdaBoost) machine-learning algorithm to provide a proper combination of meteorological grid data from a set of grids around each WPP. Then, combined grid data are clustered, and for each cluster, an artiﬁcial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ﬁnal 48-h-ahead wind-electric power forecasts. The proposed model has been successfully applied to seven WPPs with installed capacities in the range from 10 to </w:instrText>
      </w:r>
      <w:r>
        <w:rPr>
          <w:rFonts w:ascii="Cambria Math" w:eastAsia="宋体" w:hAnsi="Cambria Math" w:cs="Cambria Math"/>
          <w:color w:val="000000"/>
          <w:kern w:val="0"/>
          <w:sz w:val="24"/>
          <w14:ligatures w14:val="none"/>
        </w:rPr>
        <w:instrText>∼</w:instrText>
      </w:r>
      <w:r>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(Buhan et al., 2016)</w:t>
      </w:r>
      <w:r>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w:t>
      </w:r>
      <w:r w:rsidRPr="003B2E39">
        <w:rPr>
          <w:rFonts w:ascii="Calibri" w:eastAsia="宋体" w:hAnsi="Calibri" w:cs="Calibri"/>
          <w:color w:val="000000"/>
          <w:kern w:val="0"/>
          <w:sz w:val="24"/>
          <w14:ligatures w14:val="none"/>
        </w:rPr>
        <w:t xml:space="preserve">Physical studies have demonstrated that the rotor-equivalent wind speed (REWS) </w:t>
      </w:r>
      <w:r w:rsidR="003B2E39" w:rsidRPr="003B2E39">
        <w:rPr>
          <w:rFonts w:ascii="Calibri" w:eastAsia="宋体" w:hAnsi="Calibri" w:cs="Calibri"/>
          <w:color w:val="000000"/>
          <w:kern w:val="0"/>
          <w:sz w:val="24"/>
          <w14:ligatures w14:val="none"/>
        </w:rPr>
        <w:fldChar w:fldCharType="begin"/>
      </w:r>
      <w:r w:rsidR="003B2E39" w:rsidRPr="003B2E39">
        <w:rPr>
          <w:rFonts w:ascii="Calibri" w:eastAsia="宋体" w:hAnsi="Calibri" w:cs="Calibri"/>
          <w:color w:val="000000"/>
          <w:kern w:val="0"/>
          <w:sz w:val="24"/>
          <w14:ligatures w14:val="none"/>
        </w:rPr>
        <w:instrText xml:space="preserve"> ADDIN ZOTERO_ITEM CSL_CITATION {"citationID":"cMMzP9Nc","properties":{"formattedCitation":"(Wagner et al., 2009)","plainCitation":"(Wagner et al., 2009)","noteIndex":0},"citationItems":[{"id":1756,"uris":["http://zotero.org/users/14274501/items/3UCCBBT6"],"itemData":{"id":1756,"type":"article-journal","abstract":"Abstract\n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3B2E39" w:rsidRPr="003B2E39">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3B2E39" w:rsidRPr="003B2E39">
        <w:rPr>
          <w:rFonts w:ascii="Calibri" w:eastAsia="宋体" w:hAnsi="Calibri" w:cs="Calibri" w:hint="eastAsia"/>
          <w:color w:val="000000"/>
          <w:kern w:val="0"/>
          <w:sz w:val="24"/>
          <w14:ligatures w14:val="none"/>
        </w:rPr>
        <w:instrText>‐</w:instrText>
      </w:r>
      <w:r w:rsidR="003B2E39" w:rsidRPr="003B2E39">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3B2E39" w:rsidRPr="003B2E39">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3B2E39" w:rsidRPr="003B2E39">
        <w:rPr>
          <w:rFonts w:ascii="Calibri" w:eastAsia="宋体" w:hAnsi="Calibri" w:cs="Calibri"/>
          <w:color w:val="000000"/>
          <w:kern w:val="0"/>
          <w:sz w:val="24"/>
          <w14:ligatures w14:val="none"/>
        </w:rPr>
        <w:fldChar w:fldCharType="separate"/>
      </w:r>
      <w:r w:rsidR="003B2E39" w:rsidRPr="003B2E39">
        <w:rPr>
          <w:rFonts w:ascii="Calibri" w:hAnsi="Calibri" w:cs="Calibri"/>
          <w:sz w:val="24"/>
        </w:rPr>
        <w:t>(Wagner et al., 2009)</w:t>
      </w:r>
      <w:r w:rsidR="003B2E39" w:rsidRPr="003B2E39">
        <w:rPr>
          <w:rFonts w:ascii="Calibri" w:eastAsia="宋体" w:hAnsi="Calibri" w:cs="Calibri"/>
          <w:color w:val="000000"/>
          <w:kern w:val="0"/>
          <w:sz w:val="24"/>
          <w14:ligatures w14:val="none"/>
        </w:rPr>
        <w:fldChar w:fldCharType="end"/>
      </w:r>
      <w:r w:rsidRPr="003B2E39">
        <w:rPr>
          <w:rFonts w:ascii="Calibri" w:eastAsia="宋体" w:hAnsi="Calibri" w:cs="Calibri" w:hint="eastAsia"/>
          <w:color w:val="000000"/>
          <w:kern w:val="0"/>
          <w:sz w:val="24"/>
          <w14:ligatures w14:val="none"/>
        </w:rPr>
        <w:t xml:space="preserve">, which integrates wind profile across the swept area of </w:t>
      </w:r>
      <w:r w:rsidRPr="003B2E39">
        <w:rPr>
          <w:rFonts w:ascii="Calibri" w:eastAsia="宋体" w:hAnsi="Calibri" w:cs="Calibri"/>
          <w:color w:val="000000"/>
          <w:kern w:val="0"/>
          <w:sz w:val="24"/>
          <w14:ligatures w14:val="none"/>
        </w:rPr>
        <w:t>blades</w:t>
      </w:r>
      <w:r w:rsidRPr="003B2E39">
        <w:rPr>
          <w:rFonts w:ascii="Calibri" w:eastAsia="宋体" w:hAnsi="Calibri" w:cs="Calibri" w:hint="eastAsia"/>
          <w:color w:val="000000"/>
          <w:kern w:val="0"/>
          <w:sz w:val="24"/>
          <w14:ligatures w14:val="none"/>
        </w:rPr>
        <w:t xml:space="preserve">, </w:t>
      </w:r>
      <w:r w:rsidRPr="003B2E39">
        <w:rPr>
          <w:rFonts w:ascii="Calibri" w:eastAsia="宋体" w:hAnsi="Calibri" w:cs="Calibri"/>
          <w:color w:val="000000"/>
          <w:kern w:val="0"/>
          <w:sz w:val="24"/>
          <w14:ligatures w14:val="none"/>
        </w:rPr>
        <w:t>outperforms single-</w:t>
      </w:r>
      <w:r w:rsidRPr="003B2E39">
        <w:rPr>
          <w:rFonts w:ascii="Calibri" w:eastAsia="宋体" w:hAnsi="Calibri" w:cs="Calibri" w:hint="eastAsia"/>
          <w:color w:val="000000"/>
          <w:kern w:val="0"/>
          <w:sz w:val="24"/>
          <w14:ligatures w14:val="none"/>
        </w:rPr>
        <w:t>height</w:t>
      </w:r>
      <w:r w:rsidRPr="003B2E39">
        <w:rPr>
          <w:rFonts w:ascii="Calibri" w:eastAsia="宋体" w:hAnsi="Calibri" w:cs="Calibri"/>
          <w:color w:val="000000"/>
          <w:kern w:val="0"/>
          <w:sz w:val="24"/>
          <w14:ligatures w14:val="none"/>
        </w:rPr>
        <w:t xml:space="preserve"> measurements</w:t>
      </w:r>
      <w:r w:rsidRPr="003B2E39">
        <w:rPr>
          <w:rFonts w:ascii="Calibri" w:eastAsia="宋体" w:hAnsi="Calibri" w:cs="Calibri" w:hint="eastAsia"/>
          <w:color w:val="000000"/>
          <w:kern w:val="0"/>
          <w:sz w:val="24"/>
          <w14:ligatures w14:val="none"/>
        </w:rPr>
        <w:t xml:space="preserve"> in forecasting farm-scale power</w:t>
      </w:r>
      <w:r w:rsidRPr="003B2E39">
        <w:rPr>
          <w:rFonts w:ascii="Calibri" w:eastAsia="宋体" w:hAnsi="Calibri" w:cs="Calibri"/>
          <w:color w:val="000000"/>
          <w:kern w:val="0"/>
          <w:sz w:val="24"/>
          <w14:ligatures w14:val="none"/>
        </w:rPr>
        <w:t xml:space="preserve"> </w:t>
      </w:r>
      <w:r w:rsidR="003B2E39" w:rsidRPr="003B2E39">
        <w:rPr>
          <w:rFonts w:ascii="Calibri" w:eastAsia="宋体" w:hAnsi="Calibri" w:cs="Calibri"/>
          <w:color w:val="000000"/>
          <w:kern w:val="0"/>
          <w:sz w:val="24"/>
          <w14:ligatures w14:val="none"/>
        </w:rPr>
        <w:fldChar w:fldCharType="begin"/>
      </w:r>
      <w:r w:rsidR="003B2E39" w:rsidRPr="003B2E39">
        <w:rPr>
          <w:rFonts w:ascii="Calibri" w:eastAsia="宋体" w:hAnsi="Calibri" w:cs="Calibri"/>
          <w:color w:val="000000"/>
          <w:kern w:val="0"/>
          <w:sz w:val="24"/>
          <w14:ligatures w14:val="none"/>
        </w:rPr>
        <w:instrText xml:space="preserve"> ADDIN ZOTERO_ITEM CSL_CITATION {"citationID":"ZCg05g8F","properties":{"formattedCitation":"(2022)","plainCitation":"(2022)","dontUpdate":true,"noteIndex":0},"citationItems":[{"id":1754,"uris":["http://zotero.org/users/14274501/items/45YLP2JC"],"itemData":{"id":1754,"type":"article-journal","abstract":"To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proﬁles and meteorological characteristics to be able to predict power responses according to physical patterns. The decision tree model was trained for four vertical wind proﬁle classiﬁcations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classiﬁed vertical wind proﬁle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3B2E39" w:rsidRPr="003B2E39">
        <w:rPr>
          <w:rFonts w:ascii="Calibri" w:eastAsia="宋体" w:hAnsi="Calibri" w:cs="Calibri"/>
          <w:color w:val="000000"/>
          <w:kern w:val="0"/>
          <w:sz w:val="24"/>
          <w14:ligatures w14:val="none"/>
        </w:rPr>
        <w:fldChar w:fldCharType="separate"/>
      </w:r>
      <w:r w:rsidR="003B2E39" w:rsidRPr="003B2E39">
        <w:rPr>
          <w:rFonts w:ascii="Calibri" w:eastAsia="宋体" w:hAnsi="Calibri" w:cs="Calibri"/>
          <w:noProof/>
          <w:color w:val="000000"/>
          <w:kern w:val="0"/>
          <w:sz w:val="24"/>
          <w14:ligatures w14:val="none"/>
        </w:rPr>
        <w:t>(Sasser et al., 2022)</w:t>
      </w:r>
      <w:r w:rsidR="003B2E39" w:rsidRPr="003B2E39">
        <w:rPr>
          <w:rFonts w:ascii="Calibri" w:eastAsia="宋体" w:hAnsi="Calibri" w:cs="Calibri"/>
          <w:color w:val="000000"/>
          <w:kern w:val="0"/>
          <w:sz w:val="24"/>
          <w14:ligatures w14:val="none"/>
        </w:rPr>
        <w:fldChar w:fldCharType="end"/>
      </w:r>
      <w:r w:rsidRPr="003B2E39">
        <w:rPr>
          <w:rFonts w:ascii="Calibri" w:eastAsia="宋体" w:hAnsi="Calibri" w:cs="Calibri"/>
          <w:color w:val="000000"/>
          <w:kern w:val="0"/>
          <w:sz w:val="24"/>
          <w14:ligatures w14:val="none"/>
        </w:rPr>
        <w:t>.</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Moreover</w:t>
      </w:r>
      <w:r w:rsidRPr="00EC629C">
        <w:rPr>
          <w:rFonts w:ascii="Calibri" w:eastAsia="宋体" w:hAnsi="Calibri" w:cs="Calibri"/>
          <w:color w:val="000000"/>
          <w:kern w:val="0"/>
          <w:sz w:val="24"/>
          <w14:ligatures w14:val="none"/>
        </w:rPr>
        <w:t xml:space="preserve">, atmospheric stability can induce 15–20% power variation at the same wind speed, with turbulent kinetic energy identified as a dominant modulation factor </w:t>
      </w:r>
      <w:r w:rsidR="00DF2703" w:rsidRPr="00FD3B7A">
        <w:rPr>
          <w:rFonts w:ascii="Calibri" w:eastAsia="宋体" w:hAnsi="Calibri" w:cs="Calibri"/>
          <w:color w:val="000000"/>
          <w:kern w:val="0"/>
          <w:sz w:val="24"/>
          <w14:ligatures w14:val="none"/>
        </w:rPr>
        <w:fldChar w:fldCharType="begin"/>
      </w:r>
      <w:r w:rsidR="00DF2703">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2012)","noteIndex":0},"citationItems":[{"id":1755,"uris":["http://zotero.org/users/14274501/items/MKLZNDJ2"],"itemData":{"id":1755,"type":"article-journal","abstract":"The power generated by a wind turbine largely depends on the wind speed. During time periods with identical hub-height wind speeds but different shapes to the wind proﬁle, a turbine will produce different amounts of power. This variability may be induced by atmospheric stability, which affects proﬁles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beneﬁt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DF2703" w:rsidRPr="00FD3B7A">
        <w:rPr>
          <w:rFonts w:ascii="Calibri" w:eastAsia="宋体" w:hAnsi="Calibri" w:cs="Calibri"/>
          <w:color w:val="000000"/>
          <w:kern w:val="0"/>
          <w:sz w:val="24"/>
          <w14:ligatures w14:val="none"/>
        </w:rPr>
        <w:fldChar w:fldCharType="separate"/>
      </w:r>
      <w:r w:rsidR="00DF2703" w:rsidRPr="00FD3B7A">
        <w:rPr>
          <w:rFonts w:ascii="Calibri" w:eastAsia="宋体" w:hAnsi="Calibri" w:cs="Calibri"/>
          <w:noProof/>
          <w:color w:val="000000"/>
          <w:kern w:val="0"/>
          <w:sz w:val="24"/>
          <w14:ligatures w14:val="none"/>
        </w:rPr>
        <w:t>(Wharton &amp; Lundquist, 2012)</w:t>
      </w:r>
      <w:r w:rsidR="00DF2703"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w:t>
      </w:r>
    </w:p>
    <w:p w14:paraId="0ED19A74" w14:textId="10D9A02A" w:rsidR="008E0ADE" w:rsidRPr="00EC629C" w:rsidRDefault="008E0ADE" w:rsidP="008E0ADE">
      <w:pPr>
        <w:widowControl/>
        <w:spacing w:before="100" w:beforeAutospacing="1" w:after="100" w:afterAutospacing="1" w:line="240" w:lineRule="auto"/>
        <w:rPr>
          <w:rFonts w:ascii="Calibri" w:eastAsia="宋体" w:hAnsi="Calibri" w:cs="Calibri"/>
          <w:color w:val="000000"/>
          <w:kern w:val="0"/>
          <w:sz w:val="24"/>
          <w14:ligatures w14:val="none"/>
        </w:rPr>
      </w:pPr>
      <w:r w:rsidRPr="00EC629C">
        <w:rPr>
          <w:rFonts w:ascii="Calibri" w:eastAsia="宋体" w:hAnsi="Calibri" w:cs="Calibri"/>
          <w:color w:val="000000"/>
          <w:kern w:val="0"/>
          <w:sz w:val="24"/>
          <w14:ligatures w14:val="none"/>
        </w:rPr>
        <w:t xml:space="preserve">The complexity is further amplified by flow regimes. Wind farms </w:t>
      </w:r>
      <w:r>
        <w:rPr>
          <w:rFonts w:ascii="Calibri" w:eastAsia="宋体" w:hAnsi="Calibri" w:cs="Calibri" w:hint="eastAsia"/>
          <w:color w:val="000000"/>
          <w:kern w:val="0"/>
          <w:sz w:val="24"/>
          <w14:ligatures w14:val="none"/>
        </w:rPr>
        <w:t xml:space="preserve">run in the regions </w:t>
      </w:r>
      <w:r w:rsidRPr="00EC629C">
        <w:rPr>
          <w:rFonts w:ascii="Calibri" w:eastAsia="宋体" w:hAnsi="Calibri" w:cs="Calibri"/>
          <w:color w:val="000000"/>
          <w:kern w:val="0"/>
          <w:sz w:val="24"/>
          <w14:ligatures w14:val="none"/>
        </w:rPr>
        <w:t xml:space="preserve">encompass both free-stream </w:t>
      </w:r>
      <w:r>
        <w:rPr>
          <w:rFonts w:ascii="Calibri" w:eastAsia="宋体" w:hAnsi="Calibri" w:cs="Calibri" w:hint="eastAsia"/>
          <w:color w:val="000000"/>
          <w:kern w:val="0"/>
          <w:sz w:val="24"/>
          <w14:ligatures w14:val="none"/>
        </w:rPr>
        <w:t xml:space="preserve">wake-influeced </w:t>
      </w:r>
      <w:r w:rsidRPr="00EC629C">
        <w:rPr>
          <w:rFonts w:ascii="Calibri" w:eastAsia="宋体" w:hAnsi="Calibri" w:cs="Calibri"/>
          <w:color w:val="000000"/>
          <w:kern w:val="0"/>
          <w:sz w:val="24"/>
          <w14:ligatures w14:val="none"/>
        </w:rPr>
        <w:t>flow</w:t>
      </w:r>
      <w:r>
        <w:rPr>
          <w:rFonts w:ascii="Calibri" w:eastAsia="宋体" w:hAnsi="Calibri" w:cs="Calibri" w:hint="eastAsia"/>
          <w:color w:val="000000"/>
          <w:kern w:val="0"/>
          <w:sz w:val="24"/>
          <w14:ligatures w14:val="none"/>
        </w:rPr>
        <w:t>s</w:t>
      </w:r>
      <w:r w:rsidRPr="00EC629C">
        <w:rPr>
          <w:rFonts w:ascii="Calibri" w:eastAsia="宋体" w:hAnsi="Calibri" w:cs="Calibri"/>
          <w:color w:val="000000"/>
          <w:kern w:val="0"/>
          <w:sz w:val="24"/>
          <w14:ligatures w14:val="none"/>
        </w:rPr>
        <w:t>. Turbine wake interactions can cause 10–20% power losses and induce elevated turbulence intensity</w:t>
      </w:r>
      <w:r>
        <w:rPr>
          <w:rFonts w:ascii="Calibri" w:eastAsia="宋体" w:hAnsi="Calibri" w:cs="Calibri" w:hint="eastAsia"/>
          <w:color w:val="000000"/>
          <w:kern w:val="0"/>
          <w:sz w:val="24"/>
          <w14:ligatures w14:val="none"/>
        </w:rPr>
        <w:t xml:space="preserve"> </w:t>
      </w:r>
      <w:r w:rsidR="00DD0568" w:rsidRPr="00FD3B7A">
        <w:rPr>
          <w:rFonts w:ascii="Calibri" w:eastAsia="宋体" w:hAnsi="Calibri" w:cs="Calibri"/>
          <w:color w:val="000000"/>
          <w:kern w:val="0"/>
          <w:sz w:val="24"/>
          <w14:ligatures w14:val="none"/>
        </w:rPr>
        <w:fldChar w:fldCharType="begin"/>
      </w:r>
      <w:r w:rsidR="00DD0568">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2020)","noteIndex":0},"citationItems":[{"id":1749,"uris":["http://zotero.org/users/14274501/items/7SBSEFPR"],"itemData":{"id":1749,"type":"article-journal","abstract":"Abstract\n            Understanding of power losses and turbulence increase due to wind turbine wake interactions in large offshore wind farms is </w:instrText>
      </w:r>
      <w:r w:rsidR="00DD0568">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of</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the</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art models. Observed power losses due solely to wakes are approximately 10% on average. Thes</w:instrText>
      </w:r>
      <w:r w:rsidR="00DD0568">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DD0568">
        <w:rPr>
          <w:rFonts w:ascii="Calibri" w:eastAsia="宋体" w:hAnsi="Calibri" w:cs="Calibri" w:hint="eastAsia"/>
          <w:color w:val="000000"/>
          <w:kern w:val="0"/>
          <w:sz w:val="24"/>
          <w14:ligatures w14:val="none"/>
        </w:rPr>
        <w:instrText>:"M. N."},{"family":"Pryor","given":"S. C."},{"family":"Rethore","given":"P.</w:instrText>
      </w:r>
      <w:r w:rsidR="00DD0568">
        <w:rPr>
          <w:rFonts w:ascii="Calibri" w:eastAsia="宋体" w:hAnsi="Calibri" w:cs="Calibri" w:hint="eastAsia"/>
          <w:color w:val="000000"/>
          <w:kern w:val="0"/>
          <w:sz w:val="24"/>
          <w14:ligatures w14:val="none"/>
        </w:rPr>
        <w:instrText>‐</w:instrText>
      </w:r>
      <w:r w:rsidR="00DD0568">
        <w:rPr>
          <w:rFonts w:ascii="Calibri" w:eastAsia="宋体" w:hAnsi="Calibri" w:cs="Calibri" w:hint="eastAsia"/>
          <w:color w:val="000000"/>
          <w:kern w:val="0"/>
          <w:sz w:val="24"/>
          <w14:ligatures w14:val="none"/>
        </w:rPr>
        <w:instrText>E."},{"family":"Jørgensen","given":"H. E."}],"issued":{"date-parts":[["2007",11]]}}},{"id":1748,"uris":["http://zotero.org/users/14274501/items/IK6DQM6L"],"itemData":{"id":1748,"</w:instrText>
      </w:r>
      <w:r w:rsidR="00DD0568">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DD0568" w:rsidRPr="00FD3B7A">
        <w:rPr>
          <w:rFonts w:ascii="Calibri" w:eastAsia="宋体" w:hAnsi="Calibri" w:cs="Calibri"/>
          <w:color w:val="000000"/>
          <w:kern w:val="0"/>
          <w:sz w:val="24"/>
          <w14:ligatures w14:val="none"/>
        </w:rPr>
        <w:fldChar w:fldCharType="separate"/>
      </w:r>
      <w:r w:rsidR="00DD0568" w:rsidRPr="00FD3B7A">
        <w:rPr>
          <w:rFonts w:ascii="Calibri" w:eastAsia="宋体" w:hAnsi="Calibri" w:cs="Calibri"/>
          <w:noProof/>
          <w:color w:val="000000"/>
          <w:kern w:val="0"/>
          <w:sz w:val="24"/>
          <w14:ligatures w14:val="none"/>
        </w:rPr>
        <w:t>(Barthelmie et al., 2007; Feroz et al., 2020)</w:t>
      </w:r>
      <w:r w:rsidR="00DD0568"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 xml:space="preserve">, meaning that the physical drivers of power production fluctuate dynamically with </w:t>
      </w:r>
      <w:r w:rsidR="00B217EB">
        <w:rPr>
          <w:rFonts w:ascii="Calibri" w:eastAsia="宋体" w:hAnsi="Calibri" w:cs="Calibri"/>
          <w:color w:val="000000"/>
          <w:kern w:val="0"/>
          <w:sz w:val="24"/>
          <w14:ligatures w14:val="none"/>
        </w:rPr>
        <w:t>flow regime</w:t>
      </w:r>
      <w:r w:rsidR="00B217EB" w:rsidRPr="00EC629C">
        <w:rPr>
          <w:rFonts w:ascii="Calibri" w:eastAsia="宋体" w:hAnsi="Calibri" w:cs="Calibri"/>
          <w:color w:val="000000"/>
          <w:kern w:val="0"/>
          <w:sz w:val="24"/>
          <w14:ligatures w14:val="none"/>
        </w:rPr>
        <w:t xml:space="preserve"> </w:t>
      </w:r>
      <w:r w:rsidRPr="00EC629C">
        <w:rPr>
          <w:rFonts w:ascii="Calibri" w:eastAsia="宋体" w:hAnsi="Calibri" w:cs="Calibri"/>
          <w:color w:val="000000"/>
          <w:kern w:val="0"/>
          <w:sz w:val="24"/>
          <w14:ligatures w14:val="none"/>
        </w:rPr>
        <w:t xml:space="preserve">and atmospheric stability. </w:t>
      </w:r>
      <w:r>
        <w:rPr>
          <w:rFonts w:ascii="Calibri" w:eastAsia="宋体" w:hAnsi="Calibri" w:cs="Calibri" w:hint="eastAsia"/>
          <w:color w:val="000000"/>
          <w:kern w:val="0"/>
          <w:sz w:val="24"/>
          <w14:ligatures w14:val="none"/>
        </w:rPr>
        <w:t>More</w:t>
      </w:r>
      <w:r w:rsidRPr="002F721D">
        <w:rPr>
          <w:rFonts w:ascii="Calibri" w:eastAsia="宋体" w:hAnsi="Calibri" w:cs="Calibri"/>
          <w:color w:val="000000"/>
          <w:kern w:val="0"/>
          <w:sz w:val="24"/>
          <w14:ligatures w14:val="none"/>
        </w:rPr>
        <w:t xml:space="preserve"> recent</w:t>
      </w:r>
      <w:r>
        <w:rPr>
          <w:rFonts w:ascii="Calibri" w:eastAsia="宋体" w:hAnsi="Calibri" w:cs="Calibri" w:hint="eastAsia"/>
          <w:color w:val="000000"/>
          <w:kern w:val="0"/>
          <w:sz w:val="24"/>
          <w14:ligatures w14:val="none"/>
        </w:rPr>
        <w:t>ly,</w:t>
      </w:r>
      <w:r w:rsidRPr="002F721D">
        <w:rPr>
          <w:rFonts w:ascii="Calibri" w:eastAsia="宋体" w:hAnsi="Calibri" w:cs="Calibri"/>
          <w:color w:val="000000"/>
          <w:kern w:val="0"/>
          <w:sz w:val="24"/>
          <w14:ligatures w14:val="none"/>
        </w:rPr>
        <w:t xml:space="preserve"> explainable</w:t>
      </w:r>
      <w:r>
        <w:rPr>
          <w:rFonts w:ascii="Calibri" w:eastAsia="宋体" w:hAnsi="Calibri" w:cs="Calibri" w:hint="eastAsia"/>
          <w:color w:val="000000"/>
          <w:kern w:val="0"/>
          <w:sz w:val="24"/>
          <w14:ligatures w14:val="none"/>
        </w:rPr>
        <w:t xml:space="preserve"> </w:t>
      </w:r>
      <w:r w:rsidRPr="002F721D">
        <w:rPr>
          <w:rFonts w:ascii="Calibri" w:eastAsia="宋体" w:hAnsi="Calibri" w:cs="Calibri"/>
          <w:color w:val="000000"/>
          <w:kern w:val="0"/>
          <w:sz w:val="24"/>
          <w14:ligatures w14:val="none"/>
        </w:rPr>
        <w:t>AI studies</w:t>
      </w:r>
      <w:r>
        <w:rPr>
          <w:rFonts w:ascii="Calibri" w:eastAsia="宋体" w:hAnsi="Calibri" w:cs="Calibri" w:hint="eastAsia"/>
          <w:color w:val="000000"/>
          <w:kern w:val="0"/>
          <w:sz w:val="24"/>
          <w14:ligatures w14:val="none"/>
        </w:rPr>
        <w:t xml:space="preserve"> ranked </w:t>
      </w:r>
      <w:r w:rsidRPr="002F721D">
        <w:rPr>
          <w:rFonts w:ascii="Calibri" w:eastAsia="宋体" w:hAnsi="Calibri" w:cs="Calibri"/>
          <w:color w:val="000000"/>
          <w:kern w:val="0"/>
          <w:sz w:val="24"/>
          <w14:ligatures w14:val="none"/>
        </w:rPr>
        <w:t>turbulent variables (</w:t>
      </w:r>
      <w:r>
        <w:rPr>
          <w:rFonts w:ascii="Calibri" w:eastAsia="宋体" w:hAnsi="Calibri" w:cs="Calibri" w:hint="eastAsia"/>
          <w:color w:val="000000"/>
          <w:kern w:val="0"/>
          <w:sz w:val="24"/>
          <w14:ligatures w14:val="none"/>
        </w:rPr>
        <w:t xml:space="preserve">i.e., </w:t>
      </w:r>
      <w:r w:rsidRPr="002F721D">
        <w:rPr>
          <w:rFonts w:ascii="Calibri" w:eastAsia="宋体" w:hAnsi="Calibri" w:cs="Calibri"/>
          <w:color w:val="000000"/>
          <w:kern w:val="0"/>
          <w:sz w:val="24"/>
          <w14:ligatures w14:val="none"/>
        </w:rPr>
        <w:t>turbulent kinetic energy and turbulence intensity)</w:t>
      </w:r>
      <w:r>
        <w:rPr>
          <w:rFonts w:ascii="Calibri" w:eastAsia="宋体" w:hAnsi="Calibri" w:cs="Calibri" w:hint="eastAsia"/>
          <w:color w:val="000000"/>
          <w:kern w:val="0"/>
          <w:sz w:val="24"/>
          <w14:ligatures w14:val="none"/>
        </w:rPr>
        <w:t xml:space="preserve"> just behind wind speed in predicting farm-scale power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{"citationID":"w74V7nAL","properties":{"unsorted":true,"formattedCitation":"(Optis &amp; Perr-Sauer, 2019; Kim &amp; Kim, 2023)","plainCitation":"(Optis &amp; Perr-Sauer, 2019; Kim &amp; Kim, 2023)","noteIndex":0},"citationItems":[{"id":1766,"uris":["http://zotero.org/users/14274501/items/H7R5M7ZN"],"itemData":{"id":1766,"type":"article-journal","abstract":"Machine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1751,"uris":["http://zotero.org/users/14274501/items/K3MH2YRC"],"itemData":{"id":1751,"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(Optis &amp; Perr-Sauer, 2019; Kim &amp; Kim, 2023)</w:t>
      </w:r>
      <w:r>
        <w:rPr>
          <w:rFonts w:ascii="Calibri" w:eastAsia="宋体" w:hAnsi="Calibri" w:cs="Calibri"/>
          <w:color w:val="000000"/>
          <w:kern w:val="0"/>
          <w:sz w:val="24"/>
          <w14:ligatures w14:val="none"/>
        </w:rPr>
        <w:fldChar w:fldCharType="end"/>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 xml:space="preserve">Despite these insights, a gap remains in translating physical knowledge into data-driven forecasting. Most deep learning studies </w:t>
      </w:r>
      <w:r>
        <w:rPr>
          <w:rFonts w:ascii="Calibri" w:eastAsia="宋体" w:hAnsi="Calibri" w:cs="Calibri" w:hint="eastAsia"/>
          <w:color w:val="000000"/>
          <w:kern w:val="0"/>
          <w:sz w:val="24"/>
          <w14:ligatures w14:val="none"/>
        </w:rPr>
        <w:t>using</w:t>
      </w:r>
      <w:r w:rsidRPr="00EC629C">
        <w:rPr>
          <w:rFonts w:ascii="Calibri" w:eastAsia="宋体" w:hAnsi="Calibri" w:cs="Calibri"/>
          <w:color w:val="000000"/>
          <w:kern w:val="0"/>
          <w:sz w:val="24"/>
          <w14:ligatures w14:val="none"/>
        </w:rPr>
        <w:t xml:space="preserve"> multi-height data</w:t>
      </w:r>
      <w:r>
        <w:rPr>
          <w:rFonts w:ascii="Calibri" w:eastAsia="宋体" w:hAnsi="Calibri" w:cs="Calibri" w:hint="eastAsia"/>
          <w:color w:val="000000"/>
          <w:kern w:val="0"/>
          <w:sz w:val="24"/>
          <w14:ligatures w14:val="none"/>
        </w:rPr>
        <w:t xml:space="preserve"> to forecast</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did not</w:t>
      </w:r>
      <w:r w:rsidRPr="00EC629C">
        <w:rPr>
          <w:rFonts w:ascii="Calibri" w:eastAsia="宋体" w:hAnsi="Calibri" w:cs="Calibri"/>
          <w:color w:val="000000"/>
          <w:kern w:val="0"/>
          <w:sz w:val="24"/>
          <w14:ligatures w14:val="none"/>
        </w:rPr>
        <w:t xml:space="preserve"> distinguish between flow regimes. This lack of mechanistic differentiation fails to explain persistent anomalies, such as </w:t>
      </w:r>
      <w:r w:rsidRPr="00EC629C">
        <w:rPr>
          <w:rFonts w:ascii="Calibri" w:eastAsia="宋体" w:hAnsi="Calibri" w:cs="Calibri"/>
          <w:color w:val="000000"/>
          <w:kern w:val="0"/>
          <w:sz w:val="24"/>
          <w14:ligatures w14:val="none"/>
        </w:rPr>
        <w:lastRenderedPageBreak/>
        <w:t xml:space="preserve">the unexplained high correlation between near-surface winds (e.g., </w:t>
      </w:r>
      <w:r>
        <w:rPr>
          <w:rFonts w:ascii="Calibri" w:eastAsia="宋体" w:hAnsi="Calibri" w:cs="Calibri" w:hint="eastAsia"/>
          <w:color w:val="000000"/>
          <w:kern w:val="0"/>
          <w:sz w:val="24"/>
          <w14:ligatures w14:val="none"/>
        </w:rPr>
        <w:t>10-m-height wind speed</w:t>
      </w:r>
      <w:r w:rsidR="0047478E">
        <w:rPr>
          <w:rFonts w:ascii="Calibri" w:eastAsia="宋体" w:hAnsi="Calibri" w:cs="Calibri"/>
          <w:color w:val="000000"/>
          <w:kern w:val="0"/>
          <w:sz w:val="24"/>
          <w14:ligatures w14:val="none"/>
        </w:rPr>
        <w:t xml:space="preserve">) and total power output </w:t>
      </w:r>
      <w:r w:rsidR="0047478E" w:rsidRPr="00FD3B7A">
        <w:rPr>
          <w:rFonts w:ascii="Calibri" w:eastAsia="宋体" w:hAnsi="Calibri" w:cs="Calibri"/>
          <w:color w:val="000000"/>
          <w:kern w:val="0"/>
          <w:sz w:val="24"/>
          <w14:ligatures w14:val="none"/>
        </w:rPr>
        <w:fldChar w:fldCharType="begin"/>
      </w:r>
      <w:r w:rsidR="0047478E">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2022)","noteIndex":0},"citationItems":[{"id":1758,"uris":["http://zotero.org/users/14274501/items/IB9G5NFY"],"itemData":{"id":1758,"type":"paper-conference","abstract":"Analyses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1770,"uris":["http://zotero.org/users/14274501/items/ZWK7WGRP"],"itemData":{"id":1770,"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47478E" w:rsidRPr="00FD3B7A">
        <w:rPr>
          <w:rFonts w:ascii="Calibri" w:eastAsia="宋体" w:hAnsi="Calibri" w:cs="Calibri"/>
          <w:color w:val="000000"/>
          <w:kern w:val="0"/>
          <w:sz w:val="24"/>
          <w14:ligatures w14:val="none"/>
        </w:rPr>
        <w:fldChar w:fldCharType="separate"/>
      </w:r>
      <w:r w:rsidR="0047478E" w:rsidRPr="00FD3B7A">
        <w:rPr>
          <w:rFonts w:ascii="Calibri" w:eastAsia="宋体" w:hAnsi="Calibri" w:cs="Calibri"/>
          <w:noProof/>
          <w:color w:val="000000"/>
          <w:kern w:val="0"/>
          <w:sz w:val="24"/>
          <w14:ligatures w14:val="none"/>
        </w:rPr>
        <w:t>(Rubanenko et al., 2020; Chen &amp; Xu, 2022)</w:t>
      </w:r>
      <w:r w:rsidR="0047478E" w:rsidRPr="00FD3B7A">
        <w:rPr>
          <w:rFonts w:ascii="Calibri" w:eastAsia="宋体" w:hAnsi="Calibri" w:cs="Calibri"/>
          <w:color w:val="000000"/>
          <w:kern w:val="0"/>
          <w:sz w:val="24"/>
          <w14:ligatures w14:val="none"/>
        </w:rPr>
        <w:fldChar w:fldCharType="end"/>
      </w:r>
      <w:r w:rsidRPr="00EC629C">
        <w:rPr>
          <w:rFonts w:ascii="Calibri" w:eastAsia="宋体" w:hAnsi="Calibri" w:cs="Calibri"/>
          <w:color w:val="000000"/>
          <w:kern w:val="0"/>
          <w:sz w:val="24"/>
          <w14:ligatures w14:val="none"/>
        </w:rPr>
        <w:t>.</w:t>
      </w:r>
    </w:p>
    <w:p w14:paraId="50A4CAA5" w14:textId="77777777" w:rsidR="00DD0568" w:rsidRDefault="00DD0568" w:rsidP="00DD0568">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In this study, for </w:t>
      </w:r>
      <w:r w:rsidRPr="00EC629C">
        <w:rPr>
          <w:rFonts w:ascii="Calibri" w:eastAsia="宋体" w:hAnsi="Calibri" w:cs="Calibri"/>
          <w:color w:val="000000"/>
          <w:kern w:val="0"/>
          <w:sz w:val="24"/>
          <w14:ligatures w14:val="none"/>
        </w:rPr>
        <w:t>bridg</w:t>
      </w:r>
      <w:r>
        <w:rPr>
          <w:rFonts w:ascii="Calibri" w:eastAsia="宋体" w:hAnsi="Calibri" w:cs="Calibri" w:hint="eastAsia"/>
          <w:color w:val="000000"/>
          <w:kern w:val="0"/>
          <w:sz w:val="24"/>
          <w14:ligatures w14:val="none"/>
        </w:rPr>
        <w:t>ing</w:t>
      </w:r>
      <w:r w:rsidRPr="00EC629C">
        <w:rPr>
          <w:rFonts w:ascii="Calibri" w:eastAsia="宋体" w:hAnsi="Calibri" w:cs="Calibri"/>
          <w:color w:val="000000"/>
          <w:kern w:val="0"/>
          <w:sz w:val="24"/>
          <w14:ligatures w14:val="none"/>
        </w:rPr>
        <w:t xml:space="preserve"> the gap between atmospheric flow physics and </w:t>
      </w:r>
      <w:r>
        <w:rPr>
          <w:rFonts w:ascii="Calibri" w:eastAsia="宋体" w:hAnsi="Calibri" w:cs="Calibri" w:hint="eastAsia"/>
          <w:color w:val="000000"/>
          <w:kern w:val="0"/>
          <w:sz w:val="24"/>
          <w14:ligatures w14:val="none"/>
        </w:rPr>
        <w:t xml:space="preserve">farm-scale power forecasting, we developed a deep learning-based </w:t>
      </w:r>
      <w:r w:rsidRPr="00EC629C">
        <w:rPr>
          <w:rFonts w:ascii="Calibri" w:eastAsia="宋体" w:hAnsi="Calibri" w:cs="Calibri"/>
          <w:color w:val="000000"/>
          <w:kern w:val="0"/>
          <w:sz w:val="24"/>
          <w14:ligatures w14:val="none"/>
        </w:rPr>
        <w:t>quantitative framework</w:t>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using wind observations</w:t>
      </w:r>
      <w:r>
        <w:rPr>
          <w:rFonts w:ascii="Calibri" w:eastAsia="宋体" w:hAnsi="Calibri" w:cs="Calibri" w:hint="eastAsia"/>
          <w:color w:val="000000"/>
          <w:kern w:val="0"/>
          <w:sz w:val="24"/>
          <w14:ligatures w14:val="none"/>
        </w:rPr>
        <w:t xml:space="preserve"> at multi heights</w:t>
      </w:r>
      <w:r w:rsidRPr="00EC629C">
        <w:rPr>
          <w:rFonts w:ascii="Calibri" w:eastAsia="宋体" w:hAnsi="Calibri" w:cs="Calibri"/>
          <w:color w:val="000000"/>
          <w:kern w:val="0"/>
          <w:sz w:val="24"/>
          <w14:ligatures w14:val="none"/>
        </w:rPr>
        <w:t xml:space="preserve"> (</w:t>
      </w:r>
      <w:r>
        <w:rPr>
          <w:rFonts w:ascii="Calibri" w:eastAsia="宋体" w:hAnsi="Calibri" w:cs="Calibri" w:hint="eastAsia"/>
          <w:color w:val="000000"/>
          <w:kern w:val="0"/>
          <w:sz w:val="24"/>
          <w14:ligatures w14:val="none"/>
        </w:rPr>
        <w:t xml:space="preserve">i.e., </w:t>
      </w:r>
      <w:r w:rsidRPr="00EC629C">
        <w:rPr>
          <w:rFonts w:ascii="Calibri" w:eastAsia="宋体" w:hAnsi="Calibri" w:cs="Calibri"/>
          <w:color w:val="000000"/>
          <w:kern w:val="0"/>
          <w:sz w:val="24"/>
          <w14:ligatures w14:val="none"/>
        </w:rPr>
        <w:t>10, 30, 50</w:t>
      </w:r>
      <w:r>
        <w:rPr>
          <w:rFonts w:ascii="Calibri" w:eastAsia="宋体" w:hAnsi="Calibri" w:cs="Calibri" w:hint="eastAsia"/>
          <w:color w:val="000000"/>
          <w:kern w:val="0"/>
          <w:sz w:val="24"/>
          <w14:ligatures w14:val="none"/>
        </w:rPr>
        <w:t>, and</w:t>
      </w:r>
      <w:r w:rsidRPr="00EC629C">
        <w:rPr>
          <w:rFonts w:ascii="Calibri" w:eastAsia="宋体" w:hAnsi="Calibri" w:cs="Calibri"/>
          <w:color w:val="000000"/>
          <w:kern w:val="0"/>
          <w:sz w:val="24"/>
          <w14:ligatures w14:val="none"/>
        </w:rPr>
        <w:t xml:space="preserve"> 70 m) </w:t>
      </w:r>
      <w:r>
        <w:rPr>
          <w:rFonts w:ascii="Calibri" w:eastAsia="宋体" w:hAnsi="Calibri" w:cs="Calibri" w:hint="eastAsia"/>
          <w:color w:val="000000"/>
          <w:kern w:val="0"/>
          <w:sz w:val="24"/>
          <w14:ligatures w14:val="none"/>
        </w:rPr>
        <w:t>to forecast the</w:t>
      </w:r>
      <w:r w:rsidRPr="00EC629C">
        <w:rPr>
          <w:rFonts w:ascii="Calibri" w:eastAsia="宋体" w:hAnsi="Calibri" w:cs="Calibri"/>
          <w:color w:val="000000"/>
          <w:kern w:val="0"/>
          <w:sz w:val="24"/>
          <w14:ligatures w14:val="none"/>
        </w:rPr>
        <w:t xml:space="preserve"> power at a representative wind farm</w:t>
      </w:r>
      <w:r>
        <w:rPr>
          <w:rFonts w:ascii="Calibri" w:eastAsia="宋体" w:hAnsi="Calibri" w:cs="Calibri" w:hint="eastAsia"/>
          <w:color w:val="000000"/>
          <w:kern w:val="0"/>
          <w:sz w:val="24"/>
          <w14:ligatures w14:val="none"/>
        </w:rPr>
        <w:t xml:space="preserve">. Our results </w:t>
      </w:r>
      <w:r w:rsidRPr="00EC629C">
        <w:rPr>
          <w:rFonts w:ascii="Calibri" w:eastAsia="宋体" w:hAnsi="Calibri" w:cs="Calibri"/>
          <w:color w:val="000000"/>
          <w:kern w:val="0"/>
          <w:sz w:val="24"/>
          <w14:ligatures w14:val="none"/>
        </w:rPr>
        <w:t>demonstrate that incorporating multi-height wind profiles and flow-regime-dependent inputs</w:t>
      </w:r>
      <w:r>
        <w:rPr>
          <w:rFonts w:ascii="Calibri" w:eastAsia="宋体" w:hAnsi="Calibri" w:cs="Calibri" w:hint="eastAsia"/>
          <w:color w:val="000000"/>
          <w:kern w:val="0"/>
          <w:sz w:val="24"/>
          <w14:ligatures w14:val="none"/>
        </w:rPr>
        <w:t xml:space="preserve"> </w:t>
      </w:r>
      <w:r w:rsidRPr="00EC629C">
        <w:rPr>
          <w:rFonts w:ascii="Calibri" w:eastAsia="宋体" w:hAnsi="Calibri" w:cs="Calibri"/>
          <w:color w:val="000000"/>
          <w:kern w:val="0"/>
          <w:sz w:val="24"/>
          <w14:ligatures w14:val="none"/>
        </w:rPr>
        <w:t>specifically differentiating between free-stream and wake dynamics</w:t>
      </w:r>
      <w:r>
        <w:rPr>
          <w:rFonts w:ascii="Calibri" w:eastAsia="宋体" w:hAnsi="Calibri" w:cs="Calibri" w:hint="eastAsia"/>
          <w:color w:val="000000"/>
          <w:kern w:val="0"/>
          <w:sz w:val="24"/>
          <w14:ligatures w14:val="none"/>
        </w:rPr>
        <w:t xml:space="preserve"> could </w:t>
      </w:r>
      <w:r w:rsidRPr="00EC629C">
        <w:rPr>
          <w:rFonts w:ascii="Calibri" w:eastAsia="宋体" w:hAnsi="Calibri" w:cs="Calibri"/>
          <w:color w:val="000000"/>
          <w:kern w:val="0"/>
          <w:sz w:val="24"/>
          <w14:ligatures w14:val="none"/>
        </w:rPr>
        <w:t>significantly promote day-ahead forecasting accuracy.</w:t>
      </w:r>
      <w:r>
        <w:rPr>
          <w:rFonts w:ascii="Calibri" w:eastAsia="宋体" w:hAnsi="Calibri" w:cs="Calibri" w:hint="eastAsia"/>
          <w:color w:val="000000"/>
          <w:kern w:val="0"/>
          <w:sz w:val="24"/>
          <w14:ligatures w14:val="none"/>
        </w:rPr>
        <w:t xml:space="preserve"> This indicates that </w:t>
      </w:r>
      <w:r w:rsidRPr="00EC629C">
        <w:rPr>
          <w:rFonts w:ascii="Calibri" w:eastAsia="宋体" w:hAnsi="Calibri" w:cs="Calibri"/>
          <w:color w:val="000000"/>
          <w:kern w:val="0"/>
          <w:sz w:val="24"/>
          <w14:ligatures w14:val="none"/>
        </w:rPr>
        <w:t>the governing atmospheric timescales</w:t>
      </w:r>
      <w:bookmarkStart w:id="3" w:name="_GoBack"/>
      <w:bookmarkEnd w:id="3"/>
      <w:r w:rsidRPr="00EC629C">
        <w:rPr>
          <w:rFonts w:ascii="Calibri" w:eastAsia="宋体" w:hAnsi="Calibri" w:cs="Calibri"/>
          <w:color w:val="000000"/>
          <w:kern w:val="0"/>
          <w:sz w:val="24"/>
          <w14:ligatures w14:val="none"/>
        </w:rPr>
        <w:t xml:space="preserve"> and vertical structures </w:t>
      </w:r>
      <w:r>
        <w:rPr>
          <w:rFonts w:ascii="Calibri" w:eastAsia="宋体" w:hAnsi="Calibri" w:cs="Calibri" w:hint="eastAsia"/>
          <w:color w:val="000000"/>
          <w:kern w:val="0"/>
          <w:sz w:val="24"/>
          <w14:ligatures w14:val="none"/>
        </w:rPr>
        <w:t>are necessary to</w:t>
      </w:r>
      <w:r w:rsidRPr="00EC629C">
        <w:rPr>
          <w:rFonts w:ascii="Calibri" w:eastAsia="宋体" w:hAnsi="Calibri" w:cs="Calibri"/>
          <w:color w:val="000000"/>
          <w:kern w:val="0"/>
          <w:sz w:val="24"/>
          <w14:ligatures w14:val="none"/>
        </w:rPr>
        <w:t xml:space="preserve"> be </w:t>
      </w:r>
      <w:r>
        <w:rPr>
          <w:rFonts w:ascii="Calibri" w:eastAsia="宋体" w:hAnsi="Calibri" w:cs="Calibri" w:hint="eastAsia"/>
          <w:color w:val="000000"/>
          <w:kern w:val="0"/>
          <w:sz w:val="24"/>
          <w14:ligatures w14:val="none"/>
        </w:rPr>
        <w:t>considered in</w:t>
      </w:r>
      <w:r w:rsidRPr="00EC629C">
        <w:rPr>
          <w:rFonts w:ascii="Calibri" w:eastAsia="宋体" w:hAnsi="Calibri" w:cs="Calibri"/>
          <w:color w:val="000000"/>
          <w:kern w:val="0"/>
          <w:sz w:val="24"/>
          <w14:ligatures w14:val="none"/>
        </w:rPr>
        <w:t xml:space="preserve"> feature selection </w:t>
      </w:r>
      <w:r>
        <w:rPr>
          <w:rFonts w:ascii="Calibri" w:eastAsia="宋体" w:hAnsi="Calibri" w:cs="Calibri" w:hint="eastAsia"/>
          <w:color w:val="000000"/>
          <w:kern w:val="0"/>
          <w:sz w:val="24"/>
          <w14:ligatures w14:val="none"/>
        </w:rPr>
        <w:t>for deep learning models</w:t>
      </w:r>
      <w:r w:rsidRPr="00EC629C">
        <w:rPr>
          <w:rFonts w:ascii="Calibri" w:eastAsia="宋体" w:hAnsi="Calibri" w:cs="Calibri"/>
          <w:color w:val="000000"/>
          <w:kern w:val="0"/>
          <w:sz w:val="24"/>
          <w14:ligatures w14:val="none"/>
        </w:rPr>
        <w:t>.</w:t>
      </w:r>
      <w:r>
        <w:rPr>
          <w:rFonts w:ascii="Calibri" w:eastAsia="宋体" w:hAnsi="Calibri" w:cs="Calibri" w:hint="eastAsia"/>
          <w:color w:val="000000"/>
          <w:kern w:val="0"/>
          <w:sz w:val="24"/>
          <w14:ligatures w14:val="none"/>
        </w:rPr>
        <w:t xml:space="preserve"> These findings </w:t>
      </w:r>
      <w:r w:rsidRPr="00EC629C">
        <w:rPr>
          <w:rFonts w:ascii="Calibri" w:eastAsia="宋体" w:hAnsi="Calibri" w:cs="Calibri"/>
          <w:color w:val="000000"/>
          <w:kern w:val="0"/>
          <w:sz w:val="24"/>
          <w14:ligatures w14:val="none"/>
        </w:rPr>
        <w:t xml:space="preserve">provide a mechanistic explanation for the relevance of non-hub-height winds and offer practical guidance for improving power forecasting </w:t>
      </w:r>
      <w:r>
        <w:rPr>
          <w:rFonts w:ascii="Calibri" w:eastAsia="宋体" w:hAnsi="Calibri" w:cs="Calibri" w:hint="eastAsia"/>
          <w:color w:val="000000"/>
          <w:kern w:val="0"/>
          <w:sz w:val="24"/>
          <w14:ligatures w14:val="none"/>
        </w:rPr>
        <w:t xml:space="preserve">driven by </w:t>
      </w:r>
      <w:r w:rsidRPr="00EC629C">
        <w:rPr>
          <w:rFonts w:ascii="Calibri" w:eastAsia="宋体" w:hAnsi="Calibri" w:cs="Calibri"/>
          <w:color w:val="000000"/>
          <w:kern w:val="0"/>
          <w:sz w:val="24"/>
          <w14:ligatures w14:val="none"/>
        </w:rPr>
        <w:t>Numerical Weather Predictio</w:t>
      </w:r>
      <w:r>
        <w:rPr>
          <w:rFonts w:ascii="Calibri" w:eastAsia="宋体" w:hAnsi="Calibri" w:cs="Calibri" w:hint="eastAsia"/>
          <w:color w:val="000000"/>
          <w:kern w:val="0"/>
          <w:sz w:val="24"/>
          <w14:ligatures w14:val="none"/>
        </w:rPr>
        <w:t>n</w:t>
      </w:r>
      <w:r>
        <w:rPr>
          <w:rFonts w:ascii="Calibri" w:eastAsia="宋体" w:hAnsi="Calibri" w:cs="Calibri"/>
          <w:color w:val="000000"/>
          <w:kern w:val="0"/>
          <w:sz w:val="24"/>
          <w14:ligatures w14:val="none"/>
        </w:rPr>
        <w:t xml:space="preserve"> (NWP)</w:t>
      </w:r>
      <w:r w:rsidRPr="00EC629C">
        <w:rPr>
          <w:rFonts w:ascii="Calibri" w:eastAsia="宋体" w:hAnsi="Calibri" w:cs="Calibri"/>
          <w:color w:val="000000"/>
          <w:kern w:val="0"/>
          <w:sz w:val="24"/>
          <w14:ligatures w14:val="none"/>
        </w:rPr>
        <w:t>.</w:t>
      </w:r>
    </w:p>
    <w:bookmarkEnd w:id="0"/>
    <w:p w14:paraId="65CF88F7" w14:textId="77777777" w:rsidR="00126A41" w:rsidRPr="00126A41" w:rsidRDefault="00EC1864" w:rsidP="00126A41">
      <w:pPr>
        <w:pStyle w:val="af4"/>
        <w:rPr>
          <w:rFonts w:ascii="Calibri" w:hAnsi="Calibri" w:cs="Calibri"/>
          <w:sz w:val="24"/>
        </w:rPr>
      </w:pPr>
      <w:r>
        <w:rPr>
          <w:rFonts w:ascii="Calibri" w:eastAsia="宋体" w:hAnsi="Calibri" w:cs="Calibri"/>
          <w:color w:val="000000"/>
          <w14:ligatures w14:val="none"/>
        </w:rPr>
        <w:fldChar w:fldCharType="begin"/>
      </w:r>
      <w:r w:rsidR="00126A41">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126A41" w:rsidRPr="00126A41">
        <w:rPr>
          <w:rFonts w:ascii="Calibri" w:hAnsi="Calibri" w:cs="Calibri"/>
          <w:sz w:val="24"/>
        </w:rPr>
        <w:t xml:space="preserve">Barthelmie, R. J., Frandsen, S. T., Nielsen, M. N., Pryor, S. C., Rethore, P. ‐E., &amp; Jørgensen, H. E. (2007). Modelling and measurements of power losses and turbulence intensity in wind turbine wakes at Middelgrunden offshore wind farm. </w:t>
      </w:r>
      <w:r w:rsidR="00126A41" w:rsidRPr="00126A41">
        <w:rPr>
          <w:rFonts w:ascii="Calibri" w:hAnsi="Calibri" w:cs="Calibri"/>
          <w:i/>
          <w:iCs/>
          <w:sz w:val="24"/>
        </w:rPr>
        <w:t>Wind Energy</w:t>
      </w:r>
      <w:r w:rsidR="00126A41" w:rsidRPr="00126A41">
        <w:rPr>
          <w:rFonts w:ascii="Calibri" w:hAnsi="Calibri" w:cs="Calibri"/>
          <w:sz w:val="24"/>
        </w:rPr>
        <w:t xml:space="preserve">, </w:t>
      </w:r>
      <w:r w:rsidR="00126A41" w:rsidRPr="00126A41">
        <w:rPr>
          <w:rFonts w:ascii="Calibri" w:hAnsi="Calibri" w:cs="Calibri"/>
          <w:i/>
          <w:iCs/>
          <w:sz w:val="24"/>
        </w:rPr>
        <w:t>10</w:t>
      </w:r>
      <w:r w:rsidR="00126A41" w:rsidRPr="00126A41">
        <w:rPr>
          <w:rFonts w:ascii="Calibri" w:hAnsi="Calibri" w:cs="Calibri"/>
          <w:sz w:val="24"/>
        </w:rPr>
        <w:t>(6), 517–528. https://doi.org/10.1002/we.238</w:t>
      </w:r>
    </w:p>
    <w:p w14:paraId="65C65F31"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Bentsen, L. Ø., Warakagoda, N. D., Stenbro, R., &amp; Engelstad, P. (2023). Spatio-temporal wind speed forecasting using graph networks and novel Transformer architectures.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333</w:t>
      </w:r>
      <w:r w:rsidRPr="00126A41">
        <w:rPr>
          <w:rFonts w:ascii="Calibri" w:hAnsi="Calibri" w:cs="Calibri"/>
          <w:sz w:val="24"/>
        </w:rPr>
        <w:t>, 120565. https://doi.org/10.1016/j.apenergy.2022.120565</w:t>
      </w:r>
    </w:p>
    <w:p w14:paraId="063ED77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Buhan, S., Ozkazanc, Y., &amp; Cadirci, I. (2016). Wind Pattern Recognition and Reference Wind Mast Data Correlations With NWP for Improved Wind-Electric Power Forecasts. </w:t>
      </w:r>
      <w:r w:rsidRPr="00126A41">
        <w:rPr>
          <w:rFonts w:ascii="Calibri" w:hAnsi="Calibri" w:cs="Calibri"/>
          <w:i/>
          <w:iCs/>
          <w:sz w:val="24"/>
        </w:rPr>
        <w:t>IEEE Transactions on Industrial Informatics</w:t>
      </w:r>
      <w:r w:rsidRPr="00126A41">
        <w:rPr>
          <w:rFonts w:ascii="Calibri" w:hAnsi="Calibri" w:cs="Calibri"/>
          <w:sz w:val="24"/>
        </w:rPr>
        <w:t xml:space="preserve">, </w:t>
      </w:r>
      <w:r w:rsidRPr="00126A41">
        <w:rPr>
          <w:rFonts w:ascii="Calibri" w:hAnsi="Calibri" w:cs="Calibri"/>
          <w:i/>
          <w:iCs/>
          <w:sz w:val="24"/>
        </w:rPr>
        <w:t>12</w:t>
      </w:r>
      <w:r w:rsidRPr="00126A41">
        <w:rPr>
          <w:rFonts w:ascii="Calibri" w:hAnsi="Calibri" w:cs="Calibri"/>
          <w:sz w:val="24"/>
        </w:rPr>
        <w:t>(3), 991–1004. https://doi.org/10.1109/TII.2016.2543004</w:t>
      </w:r>
    </w:p>
    <w:p w14:paraId="33DD6D1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Che, Y., A. Salazar, A., Peng, S., Zheng, J., Chen, Y., &amp; Yuan, L. (2022). A multi-scale model for day-ahead wind speed forecasting: A case study of the Houhoku wind farm, Japan. </w:t>
      </w:r>
      <w:r w:rsidRPr="00126A41">
        <w:rPr>
          <w:rFonts w:ascii="Calibri" w:hAnsi="Calibri" w:cs="Calibri"/>
          <w:i/>
          <w:iCs/>
          <w:sz w:val="24"/>
        </w:rPr>
        <w:t>Sustainable Energy Technologies and Assessments</w:t>
      </w:r>
      <w:r w:rsidRPr="00126A41">
        <w:rPr>
          <w:rFonts w:ascii="Calibri" w:hAnsi="Calibri" w:cs="Calibri"/>
          <w:sz w:val="24"/>
        </w:rPr>
        <w:t xml:space="preserve">, </w:t>
      </w:r>
      <w:r w:rsidRPr="00126A41">
        <w:rPr>
          <w:rFonts w:ascii="Calibri" w:hAnsi="Calibri" w:cs="Calibri"/>
          <w:i/>
          <w:iCs/>
          <w:sz w:val="24"/>
        </w:rPr>
        <w:t>52</w:t>
      </w:r>
      <w:r w:rsidRPr="00126A41">
        <w:rPr>
          <w:rFonts w:ascii="Calibri" w:hAnsi="Calibri" w:cs="Calibri"/>
          <w:sz w:val="24"/>
        </w:rPr>
        <w:t xml:space="preserve">, </w:t>
      </w:r>
      <w:r w:rsidRPr="00126A41">
        <w:rPr>
          <w:rFonts w:ascii="Calibri" w:hAnsi="Calibri" w:cs="Calibri"/>
          <w:sz w:val="24"/>
        </w:rPr>
        <w:lastRenderedPageBreak/>
        <w:t>101995. https://doi.org/10.1016/j.seta.2022.101995</w:t>
      </w:r>
    </w:p>
    <w:p w14:paraId="50AFCCC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Chen, Y., &amp; Xu, J. (2022). Solar and wind power data from the Chinese State Grid Renewable Energy Generation Forecasting Competition. </w:t>
      </w:r>
      <w:r w:rsidRPr="00126A41">
        <w:rPr>
          <w:rFonts w:ascii="Calibri" w:hAnsi="Calibri" w:cs="Calibri"/>
          <w:i/>
          <w:iCs/>
          <w:sz w:val="24"/>
        </w:rPr>
        <w:t>Scientific Data</w:t>
      </w:r>
      <w:r w:rsidRPr="00126A41">
        <w:rPr>
          <w:rFonts w:ascii="Calibri" w:hAnsi="Calibri" w:cs="Calibri"/>
          <w:sz w:val="24"/>
        </w:rPr>
        <w:t xml:space="preserve">, </w:t>
      </w:r>
      <w:r w:rsidRPr="00126A41">
        <w:rPr>
          <w:rFonts w:ascii="Calibri" w:hAnsi="Calibri" w:cs="Calibri"/>
          <w:i/>
          <w:iCs/>
          <w:sz w:val="24"/>
        </w:rPr>
        <w:t>9</w:t>
      </w:r>
      <w:r w:rsidRPr="00126A41">
        <w:rPr>
          <w:rFonts w:ascii="Calibri" w:hAnsi="Calibri" w:cs="Calibri"/>
          <w:sz w:val="24"/>
        </w:rPr>
        <w:t>(1), 577. https://doi.org/10.1038/s41597-022-01696-6</w:t>
      </w:r>
    </w:p>
    <w:p w14:paraId="03509118"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Clifton, A., Kilcher, L., Lundquist, J. K., &amp; Fleming, P. (2013). Using machine learning to predict wind turbine power output. </w:t>
      </w:r>
      <w:r w:rsidRPr="00126A41">
        <w:rPr>
          <w:rFonts w:ascii="Calibri" w:hAnsi="Calibri" w:cs="Calibri"/>
          <w:i/>
          <w:iCs/>
          <w:sz w:val="24"/>
        </w:rPr>
        <w:t>Environmental Research Letters</w:t>
      </w:r>
      <w:r w:rsidRPr="00126A41">
        <w:rPr>
          <w:rFonts w:ascii="Calibri" w:hAnsi="Calibri" w:cs="Calibri"/>
          <w:sz w:val="24"/>
        </w:rPr>
        <w:t xml:space="preserve">, </w:t>
      </w:r>
      <w:r w:rsidRPr="00126A41">
        <w:rPr>
          <w:rFonts w:ascii="Calibri" w:hAnsi="Calibri" w:cs="Calibri"/>
          <w:i/>
          <w:iCs/>
          <w:sz w:val="24"/>
        </w:rPr>
        <w:t>8</w:t>
      </w:r>
      <w:r w:rsidRPr="00126A41">
        <w:rPr>
          <w:rFonts w:ascii="Calibri" w:hAnsi="Calibri" w:cs="Calibri"/>
          <w:sz w:val="24"/>
        </w:rPr>
        <w:t>(2), 024009. https://doi.org/10.1088/1748-9326/8/2/024009</w:t>
      </w:r>
    </w:p>
    <w:p w14:paraId="44DAF72C"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Feroz, R. M. A., Javed, A., Syed, A. H., Kazmi, S. A. A., &amp; Uddin, E. (2020). Wind speed and power forecasting of a utility-scale wind farm with inter-farm wake interference and seasonal variation. </w:t>
      </w:r>
      <w:r w:rsidRPr="00126A41">
        <w:rPr>
          <w:rFonts w:ascii="Calibri" w:hAnsi="Calibri" w:cs="Calibri"/>
          <w:i/>
          <w:iCs/>
          <w:sz w:val="24"/>
        </w:rPr>
        <w:t>Sustainable Energy Technologies and Assessments</w:t>
      </w:r>
      <w:r w:rsidRPr="00126A41">
        <w:rPr>
          <w:rFonts w:ascii="Calibri" w:hAnsi="Calibri" w:cs="Calibri"/>
          <w:sz w:val="24"/>
        </w:rPr>
        <w:t xml:space="preserve">, </w:t>
      </w:r>
      <w:r w:rsidRPr="00126A41">
        <w:rPr>
          <w:rFonts w:ascii="Calibri" w:hAnsi="Calibri" w:cs="Calibri"/>
          <w:i/>
          <w:iCs/>
          <w:sz w:val="24"/>
        </w:rPr>
        <w:t>42</w:t>
      </w:r>
      <w:r w:rsidRPr="00126A41">
        <w:rPr>
          <w:rFonts w:ascii="Calibri" w:hAnsi="Calibri" w:cs="Calibri"/>
          <w:sz w:val="24"/>
        </w:rPr>
        <w:t>, 100882. https://doi.org/10.1016/j.seta.2020.100882</w:t>
      </w:r>
    </w:p>
    <w:p w14:paraId="1F492855"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Hanifi, S., Cammarono, A., &amp; Zare-Behtash, H. (2024). Advanced hyperparameter optimization of deep learning models for wind power prediction.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221</w:t>
      </w:r>
      <w:r w:rsidRPr="00126A41">
        <w:rPr>
          <w:rFonts w:ascii="Calibri" w:hAnsi="Calibri" w:cs="Calibri"/>
          <w:sz w:val="24"/>
        </w:rPr>
        <w:t>, 119700. https://doi.org/10.1016/j.renene.2023.119700</w:t>
      </w:r>
    </w:p>
    <w:p w14:paraId="549D0B16"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Holttinen, H. (2005). Optimal electricity market for wind power. </w:t>
      </w:r>
      <w:r w:rsidRPr="00126A41">
        <w:rPr>
          <w:rFonts w:ascii="Calibri" w:hAnsi="Calibri" w:cs="Calibri"/>
          <w:i/>
          <w:iCs/>
          <w:sz w:val="24"/>
        </w:rPr>
        <w:t>Energy Policy</w:t>
      </w:r>
      <w:r w:rsidRPr="00126A41">
        <w:rPr>
          <w:rFonts w:ascii="Calibri" w:hAnsi="Calibri" w:cs="Calibri"/>
          <w:sz w:val="24"/>
        </w:rPr>
        <w:t xml:space="preserve">, </w:t>
      </w:r>
      <w:r w:rsidRPr="00126A41">
        <w:rPr>
          <w:rFonts w:ascii="Calibri" w:hAnsi="Calibri" w:cs="Calibri"/>
          <w:i/>
          <w:iCs/>
          <w:sz w:val="24"/>
        </w:rPr>
        <w:t>33</w:t>
      </w:r>
      <w:r w:rsidRPr="00126A41">
        <w:rPr>
          <w:rFonts w:ascii="Calibri" w:hAnsi="Calibri" w:cs="Calibri"/>
          <w:sz w:val="24"/>
        </w:rPr>
        <w:t>(16), 2052–2063. https://doi.org/10.1016/j.enpol.2004.04.001</w:t>
      </w:r>
    </w:p>
    <w:p w14:paraId="27BF2C67"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126A41">
        <w:rPr>
          <w:rFonts w:ascii="Calibri" w:hAnsi="Calibri" w:cs="Calibri"/>
          <w:i/>
          <w:iCs/>
          <w:sz w:val="24"/>
        </w:rPr>
        <w:t>Journal of Renewable and Sustainable Energy</w:t>
      </w:r>
      <w:r w:rsidRPr="00126A41">
        <w:rPr>
          <w:rFonts w:ascii="Calibri" w:hAnsi="Calibri" w:cs="Calibri"/>
          <w:sz w:val="24"/>
        </w:rPr>
        <w:t xml:space="preserve">, </w:t>
      </w:r>
      <w:r w:rsidRPr="00126A41">
        <w:rPr>
          <w:rFonts w:ascii="Calibri" w:hAnsi="Calibri" w:cs="Calibri"/>
          <w:i/>
          <w:iCs/>
          <w:sz w:val="24"/>
        </w:rPr>
        <w:t>15</w:t>
      </w:r>
      <w:r w:rsidRPr="00126A41">
        <w:rPr>
          <w:rFonts w:ascii="Calibri" w:hAnsi="Calibri" w:cs="Calibri"/>
          <w:sz w:val="24"/>
        </w:rPr>
        <w:t>(1), 013307. https://doi.org/10.1063/5.0127519</w:t>
      </w:r>
    </w:p>
    <w:p w14:paraId="6C1723F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Liu, H., &amp; Zhang, Z. (2024). Development and trending of deep learning methods for wind power predictions. </w:t>
      </w:r>
      <w:r w:rsidRPr="00126A41">
        <w:rPr>
          <w:rFonts w:ascii="Calibri" w:hAnsi="Calibri" w:cs="Calibri"/>
          <w:i/>
          <w:iCs/>
          <w:sz w:val="24"/>
        </w:rPr>
        <w:t>Artificial Intelligence Review</w:t>
      </w:r>
      <w:r w:rsidRPr="00126A41">
        <w:rPr>
          <w:rFonts w:ascii="Calibri" w:hAnsi="Calibri" w:cs="Calibri"/>
          <w:sz w:val="24"/>
        </w:rPr>
        <w:t xml:space="preserve">, </w:t>
      </w:r>
      <w:r w:rsidRPr="00126A41">
        <w:rPr>
          <w:rFonts w:ascii="Calibri" w:hAnsi="Calibri" w:cs="Calibri"/>
          <w:i/>
          <w:iCs/>
          <w:sz w:val="24"/>
        </w:rPr>
        <w:t>57</w:t>
      </w:r>
      <w:r w:rsidRPr="00126A41">
        <w:rPr>
          <w:rFonts w:ascii="Calibri" w:hAnsi="Calibri" w:cs="Calibri"/>
          <w:sz w:val="24"/>
        </w:rPr>
        <w:t xml:space="preserve">(5), 112. </w:t>
      </w:r>
      <w:r w:rsidRPr="00126A41">
        <w:rPr>
          <w:rFonts w:ascii="Calibri" w:hAnsi="Calibri" w:cs="Calibri"/>
          <w:sz w:val="24"/>
        </w:rPr>
        <w:lastRenderedPageBreak/>
        <w:t>https://doi.org/10.1007/s10462-024-10728-z</w:t>
      </w:r>
    </w:p>
    <w:p w14:paraId="4ECC8012"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Mahoney, W. P., Parks, K., Wiener, G., Liu, Y., Myers, W. L., Sun, J., et al. (2012). A Wind Power Forecasting System to Optimize Grid Integration. </w:t>
      </w:r>
      <w:r w:rsidRPr="00126A41">
        <w:rPr>
          <w:rFonts w:ascii="Calibri" w:hAnsi="Calibri" w:cs="Calibri"/>
          <w:i/>
          <w:iCs/>
          <w:sz w:val="24"/>
        </w:rPr>
        <w:t>IEEE Transactions on Sustainable Energy</w:t>
      </w:r>
      <w:r w:rsidRPr="00126A41">
        <w:rPr>
          <w:rFonts w:ascii="Calibri" w:hAnsi="Calibri" w:cs="Calibri"/>
          <w:sz w:val="24"/>
        </w:rPr>
        <w:t xml:space="preserve">, </w:t>
      </w:r>
      <w:r w:rsidRPr="00126A41">
        <w:rPr>
          <w:rFonts w:ascii="Calibri" w:hAnsi="Calibri" w:cs="Calibri"/>
          <w:i/>
          <w:iCs/>
          <w:sz w:val="24"/>
        </w:rPr>
        <w:t>3</w:t>
      </w:r>
      <w:r w:rsidRPr="00126A41">
        <w:rPr>
          <w:rFonts w:ascii="Calibri" w:hAnsi="Calibri" w:cs="Calibri"/>
          <w:sz w:val="24"/>
        </w:rPr>
        <w:t>(4), 670–682. https://doi.org/10.1109/TSTE.2012.2201758</w:t>
      </w:r>
    </w:p>
    <w:p w14:paraId="165A0064"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Optis, M., &amp; Perr-Sauer, J. (2019). The importance of atmospheric turbulence and stability in machine-learning models of wind farm power production. </w:t>
      </w:r>
      <w:r w:rsidRPr="00126A41">
        <w:rPr>
          <w:rFonts w:ascii="Calibri" w:hAnsi="Calibri" w:cs="Calibri"/>
          <w:i/>
          <w:iCs/>
          <w:sz w:val="24"/>
        </w:rPr>
        <w:t>Renewable and Sustainable Energy Reviews</w:t>
      </w:r>
      <w:r w:rsidRPr="00126A41">
        <w:rPr>
          <w:rFonts w:ascii="Calibri" w:hAnsi="Calibri" w:cs="Calibri"/>
          <w:sz w:val="24"/>
        </w:rPr>
        <w:t xml:space="preserve">, </w:t>
      </w:r>
      <w:r w:rsidRPr="00126A41">
        <w:rPr>
          <w:rFonts w:ascii="Calibri" w:hAnsi="Calibri" w:cs="Calibri"/>
          <w:i/>
          <w:iCs/>
          <w:sz w:val="24"/>
        </w:rPr>
        <w:t>112</w:t>
      </w:r>
      <w:r w:rsidRPr="00126A41">
        <w:rPr>
          <w:rFonts w:ascii="Calibri" w:hAnsi="Calibri" w:cs="Calibri"/>
          <w:sz w:val="24"/>
        </w:rPr>
        <w:t>, 27–41. https://doi.org/10.1016/j.rser.2019.05.031</w:t>
      </w:r>
    </w:p>
    <w:p w14:paraId="15CDCB9B"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Rubanenko, O., Miroshnyk, O., Shevchenko, S., Yanovych, V., Danylchenko, D., &amp; Rubanenko, O. (2020). Distribution of Wind Power Generation Dependently of Meteorological Factors. In </w:t>
      </w:r>
      <w:r w:rsidRPr="00126A41">
        <w:rPr>
          <w:rFonts w:ascii="Calibri" w:hAnsi="Calibri" w:cs="Calibri"/>
          <w:i/>
          <w:iCs/>
          <w:sz w:val="24"/>
        </w:rPr>
        <w:t>2020 IEEE KhPI Week on Advanced Technology (KhPIWeek)</w:t>
      </w:r>
      <w:r w:rsidRPr="00126A41">
        <w:rPr>
          <w:rFonts w:ascii="Calibri" w:hAnsi="Calibri" w:cs="Calibri"/>
          <w:sz w:val="24"/>
        </w:rPr>
        <w:t xml:space="preserve"> (pp. 472–477). Kharkiv, Ukraine: IEEE. https://doi.org/10.1109/KhPIWeek51551.2020.9250114</w:t>
      </w:r>
    </w:p>
    <w:p w14:paraId="1308B388"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Sasser, C., Yu, M., &amp; Delgado, R. (2022). Improvement of wind power prediction from meteorological characterization with machine learning models.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183</w:t>
      </w:r>
      <w:r w:rsidRPr="00126A41">
        <w:rPr>
          <w:rFonts w:ascii="Calibri" w:hAnsi="Calibri" w:cs="Calibri"/>
          <w:sz w:val="24"/>
        </w:rPr>
        <w:t>, 491–501. https://doi.org/10.1016/j.renene.2021.10.034</w:t>
      </w:r>
    </w:p>
    <w:p w14:paraId="4FDC210D"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Sun, H., &amp; Yang, H. (2023). Wind farm layout and hub height optimization with a novel wake model.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348</w:t>
      </w:r>
      <w:r w:rsidRPr="00126A41">
        <w:rPr>
          <w:rFonts w:ascii="Calibri" w:hAnsi="Calibri" w:cs="Calibri"/>
          <w:sz w:val="24"/>
        </w:rPr>
        <w:t>, 121554. https://doi.org/10.1016/j.apenergy.2023.121554</w:t>
      </w:r>
    </w:p>
    <w:p w14:paraId="4AECD5D9"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Turbines—Part, W. (2005). 12-1: Power Performance Measurements of Electricity Producing Wind Turbines. </w:t>
      </w:r>
      <w:r w:rsidRPr="00126A41">
        <w:rPr>
          <w:rFonts w:ascii="Calibri" w:hAnsi="Calibri" w:cs="Calibri"/>
          <w:i/>
          <w:iCs/>
          <w:sz w:val="24"/>
        </w:rPr>
        <w:t>British Standard, IEC</w:t>
      </w:r>
      <w:r w:rsidRPr="00126A41">
        <w:rPr>
          <w:rFonts w:ascii="Calibri" w:hAnsi="Calibri" w:cs="Calibri"/>
          <w:sz w:val="24"/>
        </w:rPr>
        <w:t>, 61400–12.</w:t>
      </w:r>
    </w:p>
    <w:p w14:paraId="7AD4D5C6" w14:textId="77777777" w:rsidR="00126A41" w:rsidRPr="00126A41" w:rsidRDefault="00126A41" w:rsidP="00126A41">
      <w:pPr>
        <w:pStyle w:val="af4"/>
        <w:rPr>
          <w:rFonts w:ascii="Calibri" w:hAnsi="Calibri" w:cs="Calibri"/>
          <w:sz w:val="24"/>
        </w:rPr>
      </w:pPr>
      <w:r w:rsidRPr="00126A41">
        <w:rPr>
          <w:rFonts w:ascii="Calibri" w:hAnsi="Calibri" w:cs="Calibri"/>
          <w:sz w:val="24"/>
        </w:rPr>
        <w:lastRenderedPageBreak/>
        <w:t xml:space="preserve">Wagner, R., Antoniou, I., Pedersen, S. M., Courtney, M. S., &amp; Jørgensen, H. E. (2009). The influence of the wind speed profile on wind turbine performance measurements. </w:t>
      </w:r>
      <w:r w:rsidRPr="00126A41">
        <w:rPr>
          <w:rFonts w:ascii="Calibri" w:hAnsi="Calibri" w:cs="Calibri"/>
          <w:i/>
          <w:iCs/>
          <w:sz w:val="24"/>
        </w:rPr>
        <w:t>Wind Energy</w:t>
      </w:r>
      <w:r w:rsidRPr="00126A41">
        <w:rPr>
          <w:rFonts w:ascii="Calibri" w:hAnsi="Calibri" w:cs="Calibri"/>
          <w:sz w:val="24"/>
        </w:rPr>
        <w:t xml:space="preserve">, </w:t>
      </w:r>
      <w:r w:rsidRPr="00126A41">
        <w:rPr>
          <w:rFonts w:ascii="Calibri" w:hAnsi="Calibri" w:cs="Calibri"/>
          <w:i/>
          <w:iCs/>
          <w:sz w:val="24"/>
        </w:rPr>
        <w:t>12</w:t>
      </w:r>
      <w:r w:rsidRPr="00126A41">
        <w:rPr>
          <w:rFonts w:ascii="Calibri" w:hAnsi="Calibri" w:cs="Calibri"/>
          <w:sz w:val="24"/>
        </w:rPr>
        <w:t>(4), 348–362. https://doi.org/10.1002/we.297</w:t>
      </w:r>
    </w:p>
    <w:p w14:paraId="5219F501"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Wharton, S., &amp; Lundquist, J. K. (2012). Atmospheric stability affects wind turbine power collection. </w:t>
      </w:r>
      <w:r w:rsidRPr="00126A41">
        <w:rPr>
          <w:rFonts w:ascii="Calibri" w:hAnsi="Calibri" w:cs="Calibri"/>
          <w:i/>
          <w:iCs/>
          <w:sz w:val="24"/>
        </w:rPr>
        <w:t>Environmental Research Letters</w:t>
      </w:r>
      <w:r w:rsidRPr="00126A41">
        <w:rPr>
          <w:rFonts w:ascii="Calibri" w:hAnsi="Calibri" w:cs="Calibri"/>
          <w:sz w:val="24"/>
        </w:rPr>
        <w:t xml:space="preserve">, </w:t>
      </w:r>
      <w:r w:rsidRPr="00126A41">
        <w:rPr>
          <w:rFonts w:ascii="Calibri" w:hAnsi="Calibri" w:cs="Calibri"/>
          <w:i/>
          <w:iCs/>
          <w:sz w:val="24"/>
        </w:rPr>
        <w:t>7</w:t>
      </w:r>
      <w:r w:rsidRPr="00126A41">
        <w:rPr>
          <w:rFonts w:ascii="Calibri" w:hAnsi="Calibri" w:cs="Calibri"/>
          <w:sz w:val="24"/>
        </w:rPr>
        <w:t>(1), 014005. https://doi.org/10.1088/1748-9326/7/1/014005</w:t>
      </w:r>
    </w:p>
    <w:p w14:paraId="48D90CBE"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Xia, X., Luo, Y., Li, P., Chang, R., Liao, Z., &amp; Huang, L. (2026). Systematic evaluation of transformer-based time series forecasting models for post-processing WRF-simulated wind speed and predicting short-term power output. </w:t>
      </w:r>
      <w:r w:rsidRPr="00126A41">
        <w:rPr>
          <w:rFonts w:ascii="Calibri" w:hAnsi="Calibri" w:cs="Calibri"/>
          <w:i/>
          <w:iCs/>
          <w:sz w:val="24"/>
        </w:rPr>
        <w:t>Applied Energy</w:t>
      </w:r>
      <w:r w:rsidRPr="00126A41">
        <w:rPr>
          <w:rFonts w:ascii="Calibri" w:hAnsi="Calibri" w:cs="Calibri"/>
          <w:sz w:val="24"/>
        </w:rPr>
        <w:t xml:space="preserve">, </w:t>
      </w:r>
      <w:r w:rsidRPr="00126A41">
        <w:rPr>
          <w:rFonts w:ascii="Calibri" w:hAnsi="Calibri" w:cs="Calibri"/>
          <w:i/>
          <w:iCs/>
          <w:sz w:val="24"/>
        </w:rPr>
        <w:t>403</w:t>
      </w:r>
      <w:r w:rsidRPr="00126A41">
        <w:rPr>
          <w:rFonts w:ascii="Calibri" w:hAnsi="Calibri" w:cs="Calibri"/>
          <w:sz w:val="24"/>
        </w:rPr>
        <w:t>, 127070. https://doi.org/10.1016/j.apenergy.2025.127070</w:t>
      </w:r>
    </w:p>
    <w:p w14:paraId="49CAA5A5" w14:textId="77777777" w:rsidR="00126A41" w:rsidRPr="00126A41" w:rsidRDefault="00126A41" w:rsidP="00126A41">
      <w:pPr>
        <w:pStyle w:val="af4"/>
        <w:rPr>
          <w:rFonts w:ascii="Calibri" w:hAnsi="Calibri" w:cs="Calibri"/>
          <w:sz w:val="24"/>
        </w:rPr>
      </w:pPr>
      <w:r w:rsidRPr="00126A41">
        <w:rPr>
          <w:rFonts w:ascii="Calibri" w:hAnsi="Calibri" w:cs="Calibri"/>
          <w:sz w:val="24"/>
        </w:rPr>
        <w:t xml:space="preserve">Ye, L., Zhao, Y., Zeng, C., &amp; Zhang, C. (2017). Short-term wind power prediction based on spatial model. </w:t>
      </w:r>
      <w:r w:rsidRPr="00126A41">
        <w:rPr>
          <w:rFonts w:ascii="Calibri" w:hAnsi="Calibri" w:cs="Calibri"/>
          <w:i/>
          <w:iCs/>
          <w:sz w:val="24"/>
        </w:rPr>
        <w:t>Renewable Energy</w:t>
      </w:r>
      <w:r w:rsidRPr="00126A41">
        <w:rPr>
          <w:rFonts w:ascii="Calibri" w:hAnsi="Calibri" w:cs="Calibri"/>
          <w:sz w:val="24"/>
        </w:rPr>
        <w:t xml:space="preserve">, </w:t>
      </w:r>
      <w:r w:rsidRPr="00126A41">
        <w:rPr>
          <w:rFonts w:ascii="Calibri" w:hAnsi="Calibri" w:cs="Calibri"/>
          <w:i/>
          <w:iCs/>
          <w:sz w:val="24"/>
        </w:rPr>
        <w:t>101</w:t>
      </w:r>
      <w:r w:rsidRPr="00126A41">
        <w:rPr>
          <w:rFonts w:ascii="Calibri" w:hAnsi="Calibri" w:cs="Calibri"/>
          <w:sz w:val="24"/>
        </w:rPr>
        <w:t>, 1067–1074. https://doi.org/10.1016/j.renene.2016.09.069</w:t>
      </w:r>
    </w:p>
    <w:p w14:paraId="448FF89C" w14:textId="3FC1A9DD" w:rsidR="00EC629C" w:rsidRDefault="00EC1864" w:rsidP="00713D8D">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629C" w:rsidSect="00DF62CA">
      <w:footerReference w:type="even" r:id="rId8"/>
      <w:footerReference w:type="default" r:id="rId9"/>
      <w:pgSz w:w="11906" w:h="16838"/>
      <w:pgMar w:top="1440" w:right="1800" w:bottom="1440" w:left="1800" w:header="851" w:footer="992" w:gutter="0"/>
      <w:lnNumType w:countBy="1" w:restart="continuous"/>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23480D" w16cex:dateUtc="2025-12-05T05:17:00Z"/>
  <w16cex:commentExtensible w16cex:durableId="02604B95" w16cex:dateUtc="2025-12-05T05:15:00Z"/>
  <w16cex:commentExtensible w16cex:durableId="4C7DBD5A" w16cex:dateUtc="2025-12-05T05:17:00Z"/>
  <w16cex:commentExtensible w16cex:durableId="3369A040" w16cex:dateUtc="2025-12-05T04:19:00Z"/>
  <w16cex:commentExtensible w16cex:durableId="0D3D5876" w16cex:dateUtc="2025-12-05T04:25:00Z"/>
  <w16cex:commentExtensible w16cex:durableId="0C1CE3A1" w16cex:dateUtc="2025-12-05T05:10:00Z"/>
  <w16cex:commentExtensible w16cex:durableId="6CD55FEE" w16cex:dateUtc="2025-12-05T0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58A87F" w16cid:durableId="7A23480D"/>
  <w16cid:commentId w16cid:paraId="024398F5" w16cid:durableId="02604B95"/>
  <w16cid:commentId w16cid:paraId="3CA9B0FA" w16cid:durableId="4C7DBD5A"/>
  <w16cid:commentId w16cid:paraId="1555E197" w16cid:durableId="3369A040"/>
  <w16cid:commentId w16cid:paraId="021D12FE" w16cid:durableId="0D3D5876"/>
  <w16cid:commentId w16cid:paraId="3EEDB866" w16cid:durableId="0C1CE3A1"/>
  <w16cid:commentId w16cid:paraId="792417C5" w16cid:durableId="6CD55FEE"/>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0F00A4" w14:textId="77777777" w:rsidR="005B3258" w:rsidRDefault="005B3258" w:rsidP="007144ED">
      <w:pPr>
        <w:spacing w:after="0" w:line="240" w:lineRule="auto"/>
      </w:pPr>
      <w:r>
        <w:separator/>
      </w:r>
    </w:p>
  </w:endnote>
  <w:endnote w:type="continuationSeparator" w:id="0">
    <w:p w14:paraId="6615A84E" w14:textId="77777777" w:rsidR="005B3258" w:rsidRDefault="005B3258"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579720682"/>
      <w:docPartObj>
        <w:docPartGallery w:val="Page Numbers (Bottom of Page)"/>
        <w:docPartUnique/>
      </w:docPartObj>
    </w:sdtPr>
    <w:sdtEndPr>
      <w:rPr>
        <w:rStyle w:val="af3"/>
      </w:rPr>
    </w:sdtEnd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687147574"/>
      <w:docPartObj>
        <w:docPartGallery w:val="Page Numbers (Bottom of Page)"/>
        <w:docPartUnique/>
      </w:docPartObj>
    </w:sdtPr>
    <w:sdtEndPr>
      <w:rPr>
        <w:rStyle w:val="af3"/>
      </w:rPr>
    </w:sdtEndPr>
    <w:sdtContent>
      <w:p w14:paraId="2E7C0B22" w14:textId="230472E8"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0A4D9D">
          <w:rPr>
            <w:rStyle w:val="af3"/>
            <w:noProof/>
          </w:rPr>
          <w:t>5</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EB5E45" w14:textId="77777777" w:rsidR="005B3258" w:rsidRDefault="005B3258" w:rsidP="007144ED">
      <w:pPr>
        <w:spacing w:after="0" w:line="240" w:lineRule="auto"/>
      </w:pPr>
      <w:r>
        <w:separator/>
      </w:r>
    </w:p>
  </w:footnote>
  <w:footnote w:type="continuationSeparator" w:id="0">
    <w:p w14:paraId="41DE99CA" w14:textId="77777777" w:rsidR="005B3258" w:rsidRDefault="005B3258"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bordersDoNotSurroundHeader/>
  <w:bordersDoNotSurroundFooter/>
  <w:hideSpellingErrors/>
  <w:hideGrammaticalErrors/>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64E"/>
    <w:rsid w:val="000109A5"/>
    <w:rsid w:val="00013028"/>
    <w:rsid w:val="000138EE"/>
    <w:rsid w:val="00015FCB"/>
    <w:rsid w:val="0002397E"/>
    <w:rsid w:val="00026ABF"/>
    <w:rsid w:val="000279BE"/>
    <w:rsid w:val="00027E3A"/>
    <w:rsid w:val="0003176D"/>
    <w:rsid w:val="00031C65"/>
    <w:rsid w:val="00040019"/>
    <w:rsid w:val="00041D05"/>
    <w:rsid w:val="00042E0B"/>
    <w:rsid w:val="000447EF"/>
    <w:rsid w:val="00057502"/>
    <w:rsid w:val="0006189D"/>
    <w:rsid w:val="00061A68"/>
    <w:rsid w:val="00061B9A"/>
    <w:rsid w:val="00062514"/>
    <w:rsid w:val="000640E6"/>
    <w:rsid w:val="00087706"/>
    <w:rsid w:val="00090987"/>
    <w:rsid w:val="00090ED0"/>
    <w:rsid w:val="00091910"/>
    <w:rsid w:val="00095099"/>
    <w:rsid w:val="000974AA"/>
    <w:rsid w:val="000A20A0"/>
    <w:rsid w:val="000A4D9D"/>
    <w:rsid w:val="000A7979"/>
    <w:rsid w:val="000B04C1"/>
    <w:rsid w:val="000B10CF"/>
    <w:rsid w:val="000B1D17"/>
    <w:rsid w:val="000B5C40"/>
    <w:rsid w:val="000B7C1B"/>
    <w:rsid w:val="000C0A66"/>
    <w:rsid w:val="000C14DC"/>
    <w:rsid w:val="000C2457"/>
    <w:rsid w:val="000C5AE7"/>
    <w:rsid w:val="000D04CD"/>
    <w:rsid w:val="000D75D3"/>
    <w:rsid w:val="000E1414"/>
    <w:rsid w:val="000F03A7"/>
    <w:rsid w:val="000F07F8"/>
    <w:rsid w:val="000F2721"/>
    <w:rsid w:val="000F282C"/>
    <w:rsid w:val="000F5579"/>
    <w:rsid w:val="001111BA"/>
    <w:rsid w:val="001112B8"/>
    <w:rsid w:val="00115AAE"/>
    <w:rsid w:val="00120D88"/>
    <w:rsid w:val="001228A6"/>
    <w:rsid w:val="00126A41"/>
    <w:rsid w:val="00131A13"/>
    <w:rsid w:val="001324EC"/>
    <w:rsid w:val="00136021"/>
    <w:rsid w:val="001369EF"/>
    <w:rsid w:val="00136B90"/>
    <w:rsid w:val="00137CC6"/>
    <w:rsid w:val="00141881"/>
    <w:rsid w:val="00144A1F"/>
    <w:rsid w:val="001466B0"/>
    <w:rsid w:val="00147D70"/>
    <w:rsid w:val="00161C2C"/>
    <w:rsid w:val="0016658F"/>
    <w:rsid w:val="00166F4B"/>
    <w:rsid w:val="0016774F"/>
    <w:rsid w:val="00167943"/>
    <w:rsid w:val="00167F30"/>
    <w:rsid w:val="00173643"/>
    <w:rsid w:val="00176C72"/>
    <w:rsid w:val="00180B5A"/>
    <w:rsid w:val="001812C5"/>
    <w:rsid w:val="0018194D"/>
    <w:rsid w:val="00185DFD"/>
    <w:rsid w:val="00191F33"/>
    <w:rsid w:val="001938B1"/>
    <w:rsid w:val="001948F6"/>
    <w:rsid w:val="00197B8F"/>
    <w:rsid w:val="001A160B"/>
    <w:rsid w:val="001A3EEA"/>
    <w:rsid w:val="001A4932"/>
    <w:rsid w:val="001A5216"/>
    <w:rsid w:val="001B1B35"/>
    <w:rsid w:val="001B2DB1"/>
    <w:rsid w:val="001B3F28"/>
    <w:rsid w:val="001B68F6"/>
    <w:rsid w:val="001B68FE"/>
    <w:rsid w:val="001C4D4C"/>
    <w:rsid w:val="001C77A7"/>
    <w:rsid w:val="001D103F"/>
    <w:rsid w:val="001D4C8D"/>
    <w:rsid w:val="001D53AA"/>
    <w:rsid w:val="001D61F8"/>
    <w:rsid w:val="001E0BFF"/>
    <w:rsid w:val="001E63C6"/>
    <w:rsid w:val="001E6530"/>
    <w:rsid w:val="001E697E"/>
    <w:rsid w:val="001F1B4A"/>
    <w:rsid w:val="001F1F53"/>
    <w:rsid w:val="001F3479"/>
    <w:rsid w:val="002013D5"/>
    <w:rsid w:val="00201916"/>
    <w:rsid w:val="00202400"/>
    <w:rsid w:val="00203829"/>
    <w:rsid w:val="00207993"/>
    <w:rsid w:val="00207C4C"/>
    <w:rsid w:val="0021007F"/>
    <w:rsid w:val="002102C4"/>
    <w:rsid w:val="00211AD7"/>
    <w:rsid w:val="00211D54"/>
    <w:rsid w:val="00216B7A"/>
    <w:rsid w:val="00217F0B"/>
    <w:rsid w:val="00225110"/>
    <w:rsid w:val="002267EB"/>
    <w:rsid w:val="00231F7C"/>
    <w:rsid w:val="00232A7B"/>
    <w:rsid w:val="00234729"/>
    <w:rsid w:val="00234767"/>
    <w:rsid w:val="002349D5"/>
    <w:rsid w:val="0023594F"/>
    <w:rsid w:val="00237E8A"/>
    <w:rsid w:val="0024501A"/>
    <w:rsid w:val="00254221"/>
    <w:rsid w:val="00256041"/>
    <w:rsid w:val="002633B3"/>
    <w:rsid w:val="0026407D"/>
    <w:rsid w:val="00267713"/>
    <w:rsid w:val="002704F0"/>
    <w:rsid w:val="00271C64"/>
    <w:rsid w:val="00274B63"/>
    <w:rsid w:val="00275119"/>
    <w:rsid w:val="0027516F"/>
    <w:rsid w:val="002759AA"/>
    <w:rsid w:val="00276643"/>
    <w:rsid w:val="00280274"/>
    <w:rsid w:val="00280414"/>
    <w:rsid w:val="00283E90"/>
    <w:rsid w:val="00291138"/>
    <w:rsid w:val="002925DE"/>
    <w:rsid w:val="00296C53"/>
    <w:rsid w:val="00296D3E"/>
    <w:rsid w:val="00297C17"/>
    <w:rsid w:val="002A0C91"/>
    <w:rsid w:val="002A3195"/>
    <w:rsid w:val="002A6D62"/>
    <w:rsid w:val="002B06B8"/>
    <w:rsid w:val="002B2C7F"/>
    <w:rsid w:val="002B2D9D"/>
    <w:rsid w:val="002B7705"/>
    <w:rsid w:val="002C2F0D"/>
    <w:rsid w:val="002C443F"/>
    <w:rsid w:val="002C4775"/>
    <w:rsid w:val="002C55BE"/>
    <w:rsid w:val="002D002E"/>
    <w:rsid w:val="002D356C"/>
    <w:rsid w:val="002D506B"/>
    <w:rsid w:val="002E4720"/>
    <w:rsid w:val="002E515C"/>
    <w:rsid w:val="002E60C0"/>
    <w:rsid w:val="002E7183"/>
    <w:rsid w:val="002F1FD0"/>
    <w:rsid w:val="002F46B3"/>
    <w:rsid w:val="002F721D"/>
    <w:rsid w:val="00300A44"/>
    <w:rsid w:val="00302F58"/>
    <w:rsid w:val="00305655"/>
    <w:rsid w:val="00311C0F"/>
    <w:rsid w:val="00311F01"/>
    <w:rsid w:val="00312D1E"/>
    <w:rsid w:val="00312DCB"/>
    <w:rsid w:val="00314C88"/>
    <w:rsid w:val="0031596C"/>
    <w:rsid w:val="003169B6"/>
    <w:rsid w:val="00316F83"/>
    <w:rsid w:val="00317EBF"/>
    <w:rsid w:val="00324F8B"/>
    <w:rsid w:val="00334699"/>
    <w:rsid w:val="00345315"/>
    <w:rsid w:val="00353B66"/>
    <w:rsid w:val="00357447"/>
    <w:rsid w:val="0036003E"/>
    <w:rsid w:val="0036049A"/>
    <w:rsid w:val="00360724"/>
    <w:rsid w:val="00360E8A"/>
    <w:rsid w:val="00373A14"/>
    <w:rsid w:val="00373E90"/>
    <w:rsid w:val="00380501"/>
    <w:rsid w:val="003827D9"/>
    <w:rsid w:val="00383A5B"/>
    <w:rsid w:val="0038458F"/>
    <w:rsid w:val="0038664E"/>
    <w:rsid w:val="00391FA4"/>
    <w:rsid w:val="00393710"/>
    <w:rsid w:val="00394449"/>
    <w:rsid w:val="00395545"/>
    <w:rsid w:val="00395FEF"/>
    <w:rsid w:val="003978C1"/>
    <w:rsid w:val="003A070C"/>
    <w:rsid w:val="003A112F"/>
    <w:rsid w:val="003A7895"/>
    <w:rsid w:val="003B2E39"/>
    <w:rsid w:val="003B6AB9"/>
    <w:rsid w:val="003B6D68"/>
    <w:rsid w:val="003C2BDA"/>
    <w:rsid w:val="003C3BBD"/>
    <w:rsid w:val="003C43B2"/>
    <w:rsid w:val="003C5D4A"/>
    <w:rsid w:val="003C6614"/>
    <w:rsid w:val="003C7458"/>
    <w:rsid w:val="003D25A2"/>
    <w:rsid w:val="003D5CAA"/>
    <w:rsid w:val="003E4261"/>
    <w:rsid w:val="003F5143"/>
    <w:rsid w:val="004005D9"/>
    <w:rsid w:val="00401647"/>
    <w:rsid w:val="004035D5"/>
    <w:rsid w:val="004053DC"/>
    <w:rsid w:val="004074DC"/>
    <w:rsid w:val="00410C7E"/>
    <w:rsid w:val="004128A5"/>
    <w:rsid w:val="00413D21"/>
    <w:rsid w:val="00414955"/>
    <w:rsid w:val="00414F1D"/>
    <w:rsid w:val="00423368"/>
    <w:rsid w:val="00425848"/>
    <w:rsid w:val="0044396F"/>
    <w:rsid w:val="004474AF"/>
    <w:rsid w:val="00451254"/>
    <w:rsid w:val="0045153D"/>
    <w:rsid w:val="0045486E"/>
    <w:rsid w:val="00455E8F"/>
    <w:rsid w:val="00456E4F"/>
    <w:rsid w:val="00457F12"/>
    <w:rsid w:val="00460D2C"/>
    <w:rsid w:val="0046259E"/>
    <w:rsid w:val="00464511"/>
    <w:rsid w:val="00465803"/>
    <w:rsid w:val="0047082B"/>
    <w:rsid w:val="00471CD0"/>
    <w:rsid w:val="0047478E"/>
    <w:rsid w:val="00481C42"/>
    <w:rsid w:val="00483A1D"/>
    <w:rsid w:val="00484DD5"/>
    <w:rsid w:val="00485DD1"/>
    <w:rsid w:val="004872BD"/>
    <w:rsid w:val="00487AC3"/>
    <w:rsid w:val="00490823"/>
    <w:rsid w:val="004928D3"/>
    <w:rsid w:val="00493231"/>
    <w:rsid w:val="00494807"/>
    <w:rsid w:val="00494AA6"/>
    <w:rsid w:val="00497CE5"/>
    <w:rsid w:val="004A3605"/>
    <w:rsid w:val="004B1E8D"/>
    <w:rsid w:val="004C0655"/>
    <w:rsid w:val="004C2EC3"/>
    <w:rsid w:val="004C727A"/>
    <w:rsid w:val="004D07ED"/>
    <w:rsid w:val="004D27B3"/>
    <w:rsid w:val="004D2C15"/>
    <w:rsid w:val="004D337F"/>
    <w:rsid w:val="004D4E85"/>
    <w:rsid w:val="004E2D6A"/>
    <w:rsid w:val="004E3E4F"/>
    <w:rsid w:val="004E3F04"/>
    <w:rsid w:val="004F237F"/>
    <w:rsid w:val="004F54CC"/>
    <w:rsid w:val="00504287"/>
    <w:rsid w:val="00505671"/>
    <w:rsid w:val="00506207"/>
    <w:rsid w:val="00506216"/>
    <w:rsid w:val="0050681B"/>
    <w:rsid w:val="00507354"/>
    <w:rsid w:val="0050744D"/>
    <w:rsid w:val="00507B7D"/>
    <w:rsid w:val="00511C12"/>
    <w:rsid w:val="00516804"/>
    <w:rsid w:val="0052107B"/>
    <w:rsid w:val="00523717"/>
    <w:rsid w:val="0052632F"/>
    <w:rsid w:val="00536862"/>
    <w:rsid w:val="00540BA9"/>
    <w:rsid w:val="005422DE"/>
    <w:rsid w:val="005519F8"/>
    <w:rsid w:val="00554596"/>
    <w:rsid w:val="005547DB"/>
    <w:rsid w:val="005556C2"/>
    <w:rsid w:val="00557AD4"/>
    <w:rsid w:val="005609DD"/>
    <w:rsid w:val="00561CD6"/>
    <w:rsid w:val="00564BEE"/>
    <w:rsid w:val="005675A6"/>
    <w:rsid w:val="00584A6C"/>
    <w:rsid w:val="00587EF3"/>
    <w:rsid w:val="00590D96"/>
    <w:rsid w:val="00592CF4"/>
    <w:rsid w:val="0059482B"/>
    <w:rsid w:val="005A0788"/>
    <w:rsid w:val="005A3A4C"/>
    <w:rsid w:val="005A414A"/>
    <w:rsid w:val="005A6592"/>
    <w:rsid w:val="005B0671"/>
    <w:rsid w:val="005B2CBC"/>
    <w:rsid w:val="005B3258"/>
    <w:rsid w:val="005B3925"/>
    <w:rsid w:val="005B3BF3"/>
    <w:rsid w:val="005B3F86"/>
    <w:rsid w:val="005B4472"/>
    <w:rsid w:val="005C0FDA"/>
    <w:rsid w:val="005C1D26"/>
    <w:rsid w:val="005C213E"/>
    <w:rsid w:val="005C27DB"/>
    <w:rsid w:val="005C4BE1"/>
    <w:rsid w:val="005C5FA4"/>
    <w:rsid w:val="005C6146"/>
    <w:rsid w:val="005C6676"/>
    <w:rsid w:val="005C71A3"/>
    <w:rsid w:val="005D1DE4"/>
    <w:rsid w:val="005D5E38"/>
    <w:rsid w:val="005D5FC8"/>
    <w:rsid w:val="005E1018"/>
    <w:rsid w:val="005E11AE"/>
    <w:rsid w:val="005E1590"/>
    <w:rsid w:val="005E7115"/>
    <w:rsid w:val="005F024E"/>
    <w:rsid w:val="005F0E7C"/>
    <w:rsid w:val="005F1559"/>
    <w:rsid w:val="005F1D4B"/>
    <w:rsid w:val="005F2311"/>
    <w:rsid w:val="005F29C8"/>
    <w:rsid w:val="005F38B1"/>
    <w:rsid w:val="006040E9"/>
    <w:rsid w:val="0060749E"/>
    <w:rsid w:val="00616BAB"/>
    <w:rsid w:val="006240F5"/>
    <w:rsid w:val="00624575"/>
    <w:rsid w:val="006259D4"/>
    <w:rsid w:val="00630154"/>
    <w:rsid w:val="00635F36"/>
    <w:rsid w:val="00637236"/>
    <w:rsid w:val="006377CC"/>
    <w:rsid w:val="00642AD8"/>
    <w:rsid w:val="00644F6A"/>
    <w:rsid w:val="00655F92"/>
    <w:rsid w:val="00661A31"/>
    <w:rsid w:val="00670753"/>
    <w:rsid w:val="00671094"/>
    <w:rsid w:val="0068000E"/>
    <w:rsid w:val="006801EE"/>
    <w:rsid w:val="006820AD"/>
    <w:rsid w:val="00684BAF"/>
    <w:rsid w:val="00690737"/>
    <w:rsid w:val="006923CE"/>
    <w:rsid w:val="006939CC"/>
    <w:rsid w:val="00693D07"/>
    <w:rsid w:val="00697F86"/>
    <w:rsid w:val="006A1ECD"/>
    <w:rsid w:val="006A1F5E"/>
    <w:rsid w:val="006A6089"/>
    <w:rsid w:val="006A7B7B"/>
    <w:rsid w:val="006B018D"/>
    <w:rsid w:val="006B3994"/>
    <w:rsid w:val="006B4576"/>
    <w:rsid w:val="006B506A"/>
    <w:rsid w:val="006B6612"/>
    <w:rsid w:val="006C05D9"/>
    <w:rsid w:val="006C3F60"/>
    <w:rsid w:val="006C77C9"/>
    <w:rsid w:val="006D7847"/>
    <w:rsid w:val="006E01E6"/>
    <w:rsid w:val="006E3570"/>
    <w:rsid w:val="006E5221"/>
    <w:rsid w:val="006E7CE8"/>
    <w:rsid w:val="006F4AA0"/>
    <w:rsid w:val="006F54C4"/>
    <w:rsid w:val="006F63BF"/>
    <w:rsid w:val="007039A8"/>
    <w:rsid w:val="007039EC"/>
    <w:rsid w:val="00704C9B"/>
    <w:rsid w:val="00710F66"/>
    <w:rsid w:val="00713D8D"/>
    <w:rsid w:val="007144ED"/>
    <w:rsid w:val="00715511"/>
    <w:rsid w:val="00720ACE"/>
    <w:rsid w:val="00725A54"/>
    <w:rsid w:val="00725EBE"/>
    <w:rsid w:val="007271F2"/>
    <w:rsid w:val="00731324"/>
    <w:rsid w:val="00731DBD"/>
    <w:rsid w:val="007375B1"/>
    <w:rsid w:val="00737D09"/>
    <w:rsid w:val="007411D8"/>
    <w:rsid w:val="00741D7E"/>
    <w:rsid w:val="007423BF"/>
    <w:rsid w:val="0074449D"/>
    <w:rsid w:val="00747307"/>
    <w:rsid w:val="00747630"/>
    <w:rsid w:val="00751EA8"/>
    <w:rsid w:val="00752CC5"/>
    <w:rsid w:val="00753F8E"/>
    <w:rsid w:val="0075458A"/>
    <w:rsid w:val="00754FC8"/>
    <w:rsid w:val="007571CF"/>
    <w:rsid w:val="007608F0"/>
    <w:rsid w:val="00764B9E"/>
    <w:rsid w:val="0076512E"/>
    <w:rsid w:val="00765FC6"/>
    <w:rsid w:val="00770DAF"/>
    <w:rsid w:val="0077162F"/>
    <w:rsid w:val="00772A2D"/>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462B"/>
    <w:rsid w:val="007B5479"/>
    <w:rsid w:val="007D1170"/>
    <w:rsid w:val="007D1A7B"/>
    <w:rsid w:val="007D53EA"/>
    <w:rsid w:val="007D77AD"/>
    <w:rsid w:val="007E1D6E"/>
    <w:rsid w:val="007E4906"/>
    <w:rsid w:val="007E6813"/>
    <w:rsid w:val="007E68DE"/>
    <w:rsid w:val="007E7590"/>
    <w:rsid w:val="007F2D94"/>
    <w:rsid w:val="007F3284"/>
    <w:rsid w:val="007F610F"/>
    <w:rsid w:val="007F7FDE"/>
    <w:rsid w:val="00804E7B"/>
    <w:rsid w:val="00805581"/>
    <w:rsid w:val="008123DA"/>
    <w:rsid w:val="0081686B"/>
    <w:rsid w:val="00817F97"/>
    <w:rsid w:val="00824E9F"/>
    <w:rsid w:val="00827936"/>
    <w:rsid w:val="00827F33"/>
    <w:rsid w:val="00831398"/>
    <w:rsid w:val="00835E9A"/>
    <w:rsid w:val="00837AA6"/>
    <w:rsid w:val="00837D1F"/>
    <w:rsid w:val="008408DA"/>
    <w:rsid w:val="00842736"/>
    <w:rsid w:val="008472B9"/>
    <w:rsid w:val="008529CC"/>
    <w:rsid w:val="00856693"/>
    <w:rsid w:val="0086102C"/>
    <w:rsid w:val="00862427"/>
    <w:rsid w:val="008625DB"/>
    <w:rsid w:val="00864713"/>
    <w:rsid w:val="00864987"/>
    <w:rsid w:val="0087183A"/>
    <w:rsid w:val="008725F4"/>
    <w:rsid w:val="00872B52"/>
    <w:rsid w:val="00872C24"/>
    <w:rsid w:val="00875072"/>
    <w:rsid w:val="00883857"/>
    <w:rsid w:val="008943F8"/>
    <w:rsid w:val="00894ABC"/>
    <w:rsid w:val="0089718A"/>
    <w:rsid w:val="008A0A30"/>
    <w:rsid w:val="008A2E82"/>
    <w:rsid w:val="008A6CCB"/>
    <w:rsid w:val="008A7294"/>
    <w:rsid w:val="008B1AE0"/>
    <w:rsid w:val="008B2C5D"/>
    <w:rsid w:val="008B53B2"/>
    <w:rsid w:val="008B5D46"/>
    <w:rsid w:val="008B7217"/>
    <w:rsid w:val="008C5B08"/>
    <w:rsid w:val="008C66C7"/>
    <w:rsid w:val="008C721C"/>
    <w:rsid w:val="008C7940"/>
    <w:rsid w:val="008D17BA"/>
    <w:rsid w:val="008D1C1D"/>
    <w:rsid w:val="008D5ABC"/>
    <w:rsid w:val="008D6FEC"/>
    <w:rsid w:val="008D7EB9"/>
    <w:rsid w:val="008E0ADE"/>
    <w:rsid w:val="008E3BEE"/>
    <w:rsid w:val="008E53F0"/>
    <w:rsid w:val="008E6C1E"/>
    <w:rsid w:val="008F078F"/>
    <w:rsid w:val="008F41D1"/>
    <w:rsid w:val="008F47A6"/>
    <w:rsid w:val="008F4840"/>
    <w:rsid w:val="00903CBD"/>
    <w:rsid w:val="00904287"/>
    <w:rsid w:val="0090450E"/>
    <w:rsid w:val="00904748"/>
    <w:rsid w:val="00906E50"/>
    <w:rsid w:val="009102BC"/>
    <w:rsid w:val="00911F0E"/>
    <w:rsid w:val="00920844"/>
    <w:rsid w:val="00924F47"/>
    <w:rsid w:val="0093199E"/>
    <w:rsid w:val="00933F93"/>
    <w:rsid w:val="009347C5"/>
    <w:rsid w:val="00944A8F"/>
    <w:rsid w:val="009474F5"/>
    <w:rsid w:val="00951A0C"/>
    <w:rsid w:val="00951AD4"/>
    <w:rsid w:val="00952E75"/>
    <w:rsid w:val="00953675"/>
    <w:rsid w:val="00953CAA"/>
    <w:rsid w:val="00956B05"/>
    <w:rsid w:val="00960A35"/>
    <w:rsid w:val="0096190C"/>
    <w:rsid w:val="00962508"/>
    <w:rsid w:val="00963061"/>
    <w:rsid w:val="009639FC"/>
    <w:rsid w:val="00964D19"/>
    <w:rsid w:val="00965EDD"/>
    <w:rsid w:val="00966ABF"/>
    <w:rsid w:val="009720F7"/>
    <w:rsid w:val="009721D6"/>
    <w:rsid w:val="00976362"/>
    <w:rsid w:val="009773D7"/>
    <w:rsid w:val="00983838"/>
    <w:rsid w:val="00985512"/>
    <w:rsid w:val="009A27C0"/>
    <w:rsid w:val="009A4D96"/>
    <w:rsid w:val="009B0331"/>
    <w:rsid w:val="009B05F1"/>
    <w:rsid w:val="009B1F11"/>
    <w:rsid w:val="009D0D98"/>
    <w:rsid w:val="009E0B63"/>
    <w:rsid w:val="009E16F1"/>
    <w:rsid w:val="009E1E35"/>
    <w:rsid w:val="009E24EB"/>
    <w:rsid w:val="009E2713"/>
    <w:rsid w:val="009E2FA0"/>
    <w:rsid w:val="009E302F"/>
    <w:rsid w:val="009F0C0F"/>
    <w:rsid w:val="009F3B97"/>
    <w:rsid w:val="009F68FE"/>
    <w:rsid w:val="00A00E1C"/>
    <w:rsid w:val="00A00ED9"/>
    <w:rsid w:val="00A0294D"/>
    <w:rsid w:val="00A03F0B"/>
    <w:rsid w:val="00A130D8"/>
    <w:rsid w:val="00A15D63"/>
    <w:rsid w:val="00A171E8"/>
    <w:rsid w:val="00A17AFC"/>
    <w:rsid w:val="00A2440F"/>
    <w:rsid w:val="00A27232"/>
    <w:rsid w:val="00A30197"/>
    <w:rsid w:val="00A3480A"/>
    <w:rsid w:val="00A34BC3"/>
    <w:rsid w:val="00A43927"/>
    <w:rsid w:val="00A44840"/>
    <w:rsid w:val="00A46AD2"/>
    <w:rsid w:val="00A51832"/>
    <w:rsid w:val="00A520C8"/>
    <w:rsid w:val="00A52725"/>
    <w:rsid w:val="00A64427"/>
    <w:rsid w:val="00A64544"/>
    <w:rsid w:val="00A66547"/>
    <w:rsid w:val="00A74154"/>
    <w:rsid w:val="00A743E1"/>
    <w:rsid w:val="00A74B95"/>
    <w:rsid w:val="00A76BD8"/>
    <w:rsid w:val="00A83D32"/>
    <w:rsid w:val="00A8675D"/>
    <w:rsid w:val="00A90D9F"/>
    <w:rsid w:val="00A91C96"/>
    <w:rsid w:val="00A91D9F"/>
    <w:rsid w:val="00A943FC"/>
    <w:rsid w:val="00A951CA"/>
    <w:rsid w:val="00A9775F"/>
    <w:rsid w:val="00AA17C8"/>
    <w:rsid w:val="00AA35E6"/>
    <w:rsid w:val="00AA3CB4"/>
    <w:rsid w:val="00AA7A6E"/>
    <w:rsid w:val="00AA7D73"/>
    <w:rsid w:val="00AB19D4"/>
    <w:rsid w:val="00AB2446"/>
    <w:rsid w:val="00AB5DCA"/>
    <w:rsid w:val="00AB6D95"/>
    <w:rsid w:val="00AC17FE"/>
    <w:rsid w:val="00AC5681"/>
    <w:rsid w:val="00AC577B"/>
    <w:rsid w:val="00AC6665"/>
    <w:rsid w:val="00AD026C"/>
    <w:rsid w:val="00AD1AC0"/>
    <w:rsid w:val="00AD2F25"/>
    <w:rsid w:val="00AD4A8B"/>
    <w:rsid w:val="00AE3516"/>
    <w:rsid w:val="00AE5D01"/>
    <w:rsid w:val="00AE71F3"/>
    <w:rsid w:val="00AE76E4"/>
    <w:rsid w:val="00AF218B"/>
    <w:rsid w:val="00AF453A"/>
    <w:rsid w:val="00B0142A"/>
    <w:rsid w:val="00B03D85"/>
    <w:rsid w:val="00B0575E"/>
    <w:rsid w:val="00B059E3"/>
    <w:rsid w:val="00B106FB"/>
    <w:rsid w:val="00B12EDB"/>
    <w:rsid w:val="00B16E71"/>
    <w:rsid w:val="00B20D46"/>
    <w:rsid w:val="00B20EFC"/>
    <w:rsid w:val="00B217EB"/>
    <w:rsid w:val="00B256EC"/>
    <w:rsid w:val="00B36011"/>
    <w:rsid w:val="00B37649"/>
    <w:rsid w:val="00B453D2"/>
    <w:rsid w:val="00B459CB"/>
    <w:rsid w:val="00B551A6"/>
    <w:rsid w:val="00B61E72"/>
    <w:rsid w:val="00B638D4"/>
    <w:rsid w:val="00B6558A"/>
    <w:rsid w:val="00B72269"/>
    <w:rsid w:val="00B80E73"/>
    <w:rsid w:val="00B8410F"/>
    <w:rsid w:val="00B85209"/>
    <w:rsid w:val="00B9423F"/>
    <w:rsid w:val="00B94970"/>
    <w:rsid w:val="00B95D71"/>
    <w:rsid w:val="00BA39E5"/>
    <w:rsid w:val="00BA5308"/>
    <w:rsid w:val="00BB314D"/>
    <w:rsid w:val="00BB3BB0"/>
    <w:rsid w:val="00BB6E84"/>
    <w:rsid w:val="00BC2CA3"/>
    <w:rsid w:val="00BC31D2"/>
    <w:rsid w:val="00BC3ED0"/>
    <w:rsid w:val="00BD4B65"/>
    <w:rsid w:val="00BE403F"/>
    <w:rsid w:val="00BE7EB7"/>
    <w:rsid w:val="00BF6057"/>
    <w:rsid w:val="00C1135D"/>
    <w:rsid w:val="00C116B2"/>
    <w:rsid w:val="00C20216"/>
    <w:rsid w:val="00C21253"/>
    <w:rsid w:val="00C214A3"/>
    <w:rsid w:val="00C21CAF"/>
    <w:rsid w:val="00C268CD"/>
    <w:rsid w:val="00C32A44"/>
    <w:rsid w:val="00C41424"/>
    <w:rsid w:val="00C426AF"/>
    <w:rsid w:val="00C44004"/>
    <w:rsid w:val="00C441B0"/>
    <w:rsid w:val="00C45AAE"/>
    <w:rsid w:val="00C47185"/>
    <w:rsid w:val="00C50FAC"/>
    <w:rsid w:val="00C6600E"/>
    <w:rsid w:val="00C6642B"/>
    <w:rsid w:val="00C67515"/>
    <w:rsid w:val="00C70DE0"/>
    <w:rsid w:val="00C71A92"/>
    <w:rsid w:val="00C73287"/>
    <w:rsid w:val="00C75448"/>
    <w:rsid w:val="00C76E79"/>
    <w:rsid w:val="00C770D8"/>
    <w:rsid w:val="00C81C28"/>
    <w:rsid w:val="00C86899"/>
    <w:rsid w:val="00C86AD1"/>
    <w:rsid w:val="00C92C0D"/>
    <w:rsid w:val="00C9510A"/>
    <w:rsid w:val="00C96992"/>
    <w:rsid w:val="00C971D4"/>
    <w:rsid w:val="00CA0126"/>
    <w:rsid w:val="00CA7275"/>
    <w:rsid w:val="00CB4D34"/>
    <w:rsid w:val="00CB6669"/>
    <w:rsid w:val="00CB7C9A"/>
    <w:rsid w:val="00CC3718"/>
    <w:rsid w:val="00CC3BED"/>
    <w:rsid w:val="00CC6223"/>
    <w:rsid w:val="00CC784E"/>
    <w:rsid w:val="00CD01C7"/>
    <w:rsid w:val="00CD0272"/>
    <w:rsid w:val="00CD2737"/>
    <w:rsid w:val="00CD31F2"/>
    <w:rsid w:val="00CD6F2D"/>
    <w:rsid w:val="00CE0F32"/>
    <w:rsid w:val="00CE1B65"/>
    <w:rsid w:val="00CF3433"/>
    <w:rsid w:val="00CF5AF3"/>
    <w:rsid w:val="00D01A98"/>
    <w:rsid w:val="00D020D6"/>
    <w:rsid w:val="00D02340"/>
    <w:rsid w:val="00D13487"/>
    <w:rsid w:val="00D145C7"/>
    <w:rsid w:val="00D200BF"/>
    <w:rsid w:val="00D20512"/>
    <w:rsid w:val="00D252DA"/>
    <w:rsid w:val="00D25A88"/>
    <w:rsid w:val="00D25CB0"/>
    <w:rsid w:val="00D26647"/>
    <w:rsid w:val="00D30FC9"/>
    <w:rsid w:val="00D36921"/>
    <w:rsid w:val="00D42F4A"/>
    <w:rsid w:val="00D45246"/>
    <w:rsid w:val="00D47F7E"/>
    <w:rsid w:val="00D54A86"/>
    <w:rsid w:val="00D558CB"/>
    <w:rsid w:val="00D568BA"/>
    <w:rsid w:val="00D64AEB"/>
    <w:rsid w:val="00D66B96"/>
    <w:rsid w:val="00D74CC5"/>
    <w:rsid w:val="00D750BB"/>
    <w:rsid w:val="00D81B43"/>
    <w:rsid w:val="00D8212B"/>
    <w:rsid w:val="00D82982"/>
    <w:rsid w:val="00D8544A"/>
    <w:rsid w:val="00D856BF"/>
    <w:rsid w:val="00D85996"/>
    <w:rsid w:val="00D85A80"/>
    <w:rsid w:val="00D91BCE"/>
    <w:rsid w:val="00D932D2"/>
    <w:rsid w:val="00D935F9"/>
    <w:rsid w:val="00D94764"/>
    <w:rsid w:val="00D97E1D"/>
    <w:rsid w:val="00DA7813"/>
    <w:rsid w:val="00DB0D6C"/>
    <w:rsid w:val="00DB509B"/>
    <w:rsid w:val="00DB5748"/>
    <w:rsid w:val="00DB60D3"/>
    <w:rsid w:val="00DB748A"/>
    <w:rsid w:val="00DC002A"/>
    <w:rsid w:val="00DC4E70"/>
    <w:rsid w:val="00DC7A4A"/>
    <w:rsid w:val="00DD0568"/>
    <w:rsid w:val="00DD2907"/>
    <w:rsid w:val="00DD5737"/>
    <w:rsid w:val="00DD5CAB"/>
    <w:rsid w:val="00DD7DB6"/>
    <w:rsid w:val="00DE1F37"/>
    <w:rsid w:val="00DE4053"/>
    <w:rsid w:val="00DE59B6"/>
    <w:rsid w:val="00DF1A3D"/>
    <w:rsid w:val="00DF2703"/>
    <w:rsid w:val="00DF27BD"/>
    <w:rsid w:val="00DF62CA"/>
    <w:rsid w:val="00E009D6"/>
    <w:rsid w:val="00E02581"/>
    <w:rsid w:val="00E0450D"/>
    <w:rsid w:val="00E070E5"/>
    <w:rsid w:val="00E1116D"/>
    <w:rsid w:val="00E179CE"/>
    <w:rsid w:val="00E25927"/>
    <w:rsid w:val="00E30FB8"/>
    <w:rsid w:val="00E3138E"/>
    <w:rsid w:val="00E32CCA"/>
    <w:rsid w:val="00E34C04"/>
    <w:rsid w:val="00E41FD3"/>
    <w:rsid w:val="00E4496B"/>
    <w:rsid w:val="00E47756"/>
    <w:rsid w:val="00E47A37"/>
    <w:rsid w:val="00E5258C"/>
    <w:rsid w:val="00E64915"/>
    <w:rsid w:val="00E658F8"/>
    <w:rsid w:val="00E716A5"/>
    <w:rsid w:val="00E72C43"/>
    <w:rsid w:val="00E733A4"/>
    <w:rsid w:val="00E7736F"/>
    <w:rsid w:val="00E77E1A"/>
    <w:rsid w:val="00E85F46"/>
    <w:rsid w:val="00E93639"/>
    <w:rsid w:val="00E93839"/>
    <w:rsid w:val="00E97781"/>
    <w:rsid w:val="00EA0A8F"/>
    <w:rsid w:val="00EA5ED1"/>
    <w:rsid w:val="00EB7FBA"/>
    <w:rsid w:val="00EC11A7"/>
    <w:rsid w:val="00EC1864"/>
    <w:rsid w:val="00EC533F"/>
    <w:rsid w:val="00EC629C"/>
    <w:rsid w:val="00EC6998"/>
    <w:rsid w:val="00ED3B25"/>
    <w:rsid w:val="00ED3DB5"/>
    <w:rsid w:val="00EE4338"/>
    <w:rsid w:val="00EF1991"/>
    <w:rsid w:val="00EF37DF"/>
    <w:rsid w:val="00EF537C"/>
    <w:rsid w:val="00F00107"/>
    <w:rsid w:val="00F00A61"/>
    <w:rsid w:val="00F0412D"/>
    <w:rsid w:val="00F07124"/>
    <w:rsid w:val="00F10C9B"/>
    <w:rsid w:val="00F122D8"/>
    <w:rsid w:val="00F143E0"/>
    <w:rsid w:val="00F165DA"/>
    <w:rsid w:val="00F21619"/>
    <w:rsid w:val="00F21E6D"/>
    <w:rsid w:val="00F22133"/>
    <w:rsid w:val="00F22794"/>
    <w:rsid w:val="00F228E1"/>
    <w:rsid w:val="00F24EC8"/>
    <w:rsid w:val="00F30429"/>
    <w:rsid w:val="00F30B53"/>
    <w:rsid w:val="00F31D5B"/>
    <w:rsid w:val="00F35783"/>
    <w:rsid w:val="00F37713"/>
    <w:rsid w:val="00F40ABE"/>
    <w:rsid w:val="00F425DD"/>
    <w:rsid w:val="00F4427A"/>
    <w:rsid w:val="00F4529E"/>
    <w:rsid w:val="00F529D3"/>
    <w:rsid w:val="00F535EC"/>
    <w:rsid w:val="00F53780"/>
    <w:rsid w:val="00F53A04"/>
    <w:rsid w:val="00F5556A"/>
    <w:rsid w:val="00F55A64"/>
    <w:rsid w:val="00F61B56"/>
    <w:rsid w:val="00F62294"/>
    <w:rsid w:val="00F6334D"/>
    <w:rsid w:val="00F63A5C"/>
    <w:rsid w:val="00F64CBE"/>
    <w:rsid w:val="00F6572B"/>
    <w:rsid w:val="00F67EA3"/>
    <w:rsid w:val="00F702EE"/>
    <w:rsid w:val="00F766B5"/>
    <w:rsid w:val="00F82213"/>
    <w:rsid w:val="00F82D77"/>
    <w:rsid w:val="00F836ED"/>
    <w:rsid w:val="00F844AA"/>
    <w:rsid w:val="00F8630C"/>
    <w:rsid w:val="00F8670C"/>
    <w:rsid w:val="00F904E2"/>
    <w:rsid w:val="00F92D95"/>
    <w:rsid w:val="00F95F0C"/>
    <w:rsid w:val="00FA1454"/>
    <w:rsid w:val="00FA25BE"/>
    <w:rsid w:val="00FA43BD"/>
    <w:rsid w:val="00FA4A9D"/>
    <w:rsid w:val="00FA74E8"/>
    <w:rsid w:val="00FB090F"/>
    <w:rsid w:val="00FB3995"/>
    <w:rsid w:val="00FB53FD"/>
    <w:rsid w:val="00FB6C5D"/>
    <w:rsid w:val="00FB7E68"/>
    <w:rsid w:val="00FC4CAC"/>
    <w:rsid w:val="00FC58BF"/>
    <w:rsid w:val="00FC7C87"/>
    <w:rsid w:val="00FD3316"/>
    <w:rsid w:val="00FD3B7A"/>
    <w:rsid w:val="00FD67A4"/>
    <w:rsid w:val="00FE22AA"/>
    <w:rsid w:val="00FE4E24"/>
    <w:rsid w:val="00FE5206"/>
    <w:rsid w:val="00FF4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04748"/>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 w:type="paragraph" w:styleId="afd">
    <w:name w:val="Balloon Text"/>
    <w:basedOn w:val="a"/>
    <w:link w:val="afe"/>
    <w:uiPriority w:val="99"/>
    <w:semiHidden/>
    <w:unhideWhenUsed/>
    <w:rsid w:val="00425848"/>
    <w:pPr>
      <w:spacing w:after="0" w:line="240" w:lineRule="auto"/>
    </w:pPr>
    <w:rPr>
      <w:rFonts w:ascii="Microsoft YaHei UI" w:eastAsia="Microsoft YaHei UI"/>
      <w:sz w:val="18"/>
      <w:szCs w:val="18"/>
    </w:rPr>
  </w:style>
  <w:style w:type="character" w:customStyle="1" w:styleId="afe">
    <w:name w:val="批注框文本 字符"/>
    <w:basedOn w:val="a0"/>
    <w:link w:val="afd"/>
    <w:uiPriority w:val="99"/>
    <w:semiHidden/>
    <w:rsid w:val="00425848"/>
    <w:rPr>
      <w:rFonts w:ascii="Microsoft YaHei UI" w:eastAsia="Microsoft YaHei UI"/>
      <w:sz w:val="18"/>
      <w:szCs w:val="18"/>
    </w:rPr>
  </w:style>
  <w:style w:type="paragraph" w:customStyle="1" w:styleId="ng-star-inserted">
    <w:name w:val="ng-star-inserted"/>
    <w:basedOn w:val="a"/>
    <w:rsid w:val="00425848"/>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ng-star-inserted1">
    <w:name w:val="ng-star-inserted1"/>
    <w:basedOn w:val="a0"/>
    <w:rsid w:val="0042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867788">
      <w:bodyDiv w:val="1"/>
      <w:marLeft w:val="0"/>
      <w:marRight w:val="0"/>
      <w:marTop w:val="0"/>
      <w:marBottom w:val="0"/>
      <w:divBdr>
        <w:top w:val="none" w:sz="0" w:space="0" w:color="auto"/>
        <w:left w:val="none" w:sz="0" w:space="0" w:color="auto"/>
        <w:bottom w:val="none" w:sz="0" w:space="0" w:color="auto"/>
        <w:right w:val="none" w:sz="0" w:space="0" w:color="auto"/>
      </w:divBdr>
    </w:div>
    <w:div w:id="772478498">
      <w:bodyDiv w:val="1"/>
      <w:marLeft w:val="0"/>
      <w:marRight w:val="0"/>
      <w:marTop w:val="0"/>
      <w:marBottom w:val="0"/>
      <w:divBdr>
        <w:top w:val="none" w:sz="0" w:space="0" w:color="auto"/>
        <w:left w:val="none" w:sz="0" w:space="0" w:color="auto"/>
        <w:bottom w:val="none" w:sz="0" w:space="0" w:color="auto"/>
        <w:right w:val="none" w:sz="0" w:space="0" w:color="auto"/>
      </w:divBdr>
    </w:div>
    <w:div w:id="1171143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5716E-0444-4014-9072-047FACCFF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8045</Words>
  <Characters>45863</Characters>
  <Application>Microsoft Office Word</Application>
  <DocSecurity>0</DocSecurity>
  <Lines>382</Lines>
  <Paragraphs>107</Paragraphs>
  <ScaleCrop>false</ScaleCrop>
  <Company/>
  <LinksUpToDate>false</LinksUpToDate>
  <CharactersWithSpaces>53801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win</cp:lastModifiedBy>
  <cp:revision>3</cp:revision>
  <dcterms:created xsi:type="dcterms:W3CDTF">2025-12-05T07:44:00Z</dcterms:created>
  <dcterms:modified xsi:type="dcterms:W3CDTF">2025-12-05T07:49:00Z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id="AqlBGJ7H"/&gt;&lt;style id="http://www.zotero.org/styles/american-geophysical-union" hasBibliography="1" bibliographyStyleHasBeenSet="1"/&gt;&lt;prefs&gt;&lt;pref name="fieldType" value="Field"/&gt;&lt;/prefs&gt;&lt;/data&gt;</vt:lpwstr>
  </property>
</Properties>
</file>