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51FA1D" w14:textId="5F8C4483" w:rsidR="00BD47BB" w:rsidRPr="00850691" w:rsidRDefault="00BD47BB" w:rsidP="00216625">
      <w:pPr>
        <w:pStyle w:val="a3"/>
        <w:rPr>
          <w:rFonts w:asciiTheme="minorHAnsi" w:hAnsiTheme="minorHAnsi" w:cstheme="minorHAnsi"/>
        </w:rPr>
        <w:sectPr w:rsidR="00BD47BB" w:rsidRPr="00850691" w:rsidSect="00E31404">
          <w:headerReference w:type="default" r:id="rId7"/>
          <w:footerReference w:type="default" r:id="rId8"/>
          <w:headerReference w:type="first" r:id="rId9"/>
          <w:pgSz w:w="12240" w:h="15840"/>
          <w:pgMar w:top="1440" w:right="1440" w:bottom="1440" w:left="1440" w:header="432" w:footer="720" w:gutter="0"/>
          <w:cols w:space="720"/>
          <w:docGrid w:linePitch="360"/>
        </w:sectPr>
      </w:pPr>
    </w:p>
    <w:p w14:paraId="6875C344" w14:textId="49990564" w:rsidR="00C94AA5" w:rsidRPr="00850691" w:rsidRDefault="00DC2C8C" w:rsidP="00216625">
      <w:pPr>
        <w:pStyle w:val="a3"/>
        <w:rPr>
          <w:rFonts w:asciiTheme="minorHAnsi" w:hAnsiTheme="minorHAnsi" w:cstheme="minorHAnsi"/>
        </w:rPr>
      </w:pPr>
      <w:r w:rsidRPr="00DC2C8C">
        <w:rPr>
          <w:rFonts w:asciiTheme="minorHAnsi" w:hAnsiTheme="minorHAnsi" w:cstheme="minorHAnsi"/>
        </w:rPr>
        <w:lastRenderedPageBreak/>
        <w:t>Multi-Height and Flow-Regime-Dependent Inputs Enhance Day-Ahead Wind Power Forecasting</w:t>
      </w:r>
    </w:p>
    <w:p w14:paraId="32E6B0CF" w14:textId="08B9A71E" w:rsidR="00C94AA5" w:rsidRPr="00850691" w:rsidRDefault="003A234C" w:rsidP="00EB7078">
      <w:pPr>
        <w:pStyle w:val="Authors"/>
        <w:rPr>
          <w:rFonts w:asciiTheme="minorHAnsi" w:hAnsiTheme="minorHAnsi" w:cstheme="minorHAnsi"/>
        </w:rPr>
      </w:pPr>
      <w:r>
        <w:rPr>
          <w:rFonts w:asciiTheme="minorHAnsi" w:hAnsiTheme="minorHAnsi" w:cstheme="minorHAnsi"/>
        </w:rPr>
        <w:t>Xin Xia</w:t>
      </w:r>
      <w:r w:rsidR="00545B6C" w:rsidRPr="00850691">
        <w:rPr>
          <w:rFonts w:asciiTheme="minorHAnsi" w:hAnsiTheme="minorHAnsi" w:cstheme="minorHAnsi"/>
          <w:vertAlign w:val="superscript"/>
        </w:rPr>
        <w:t>1</w:t>
      </w:r>
      <w:r w:rsidR="00C94AA5" w:rsidRPr="00850691">
        <w:rPr>
          <w:rFonts w:asciiTheme="minorHAnsi" w:hAnsiTheme="minorHAnsi" w:cstheme="minorHAnsi"/>
        </w:rPr>
        <w:t xml:space="preserve">, </w:t>
      </w:r>
      <w:proofErr w:type="spellStart"/>
      <w:r>
        <w:rPr>
          <w:rFonts w:asciiTheme="minorHAnsi" w:hAnsiTheme="minorHAnsi" w:cstheme="minorHAnsi"/>
        </w:rPr>
        <w:t>Rong</w:t>
      </w:r>
      <w:proofErr w:type="spellEnd"/>
      <w:r>
        <w:rPr>
          <w:rFonts w:asciiTheme="minorHAnsi" w:hAnsiTheme="minorHAnsi" w:cstheme="minorHAnsi"/>
        </w:rPr>
        <w:t xml:space="preserve"> Zhu</w:t>
      </w:r>
      <w:r w:rsidR="007B2B60">
        <w:rPr>
          <w:rFonts w:asciiTheme="minorHAnsi" w:hAnsiTheme="minorHAnsi" w:cstheme="minorHAnsi"/>
          <w:vertAlign w:val="superscript"/>
        </w:rPr>
        <w:t>1,2</w:t>
      </w:r>
      <w:r w:rsidRPr="00850691">
        <w:rPr>
          <w:rFonts w:asciiTheme="minorHAnsi" w:hAnsiTheme="minorHAnsi" w:cstheme="minorHAnsi"/>
        </w:rPr>
        <w:t xml:space="preserve">, </w:t>
      </w:r>
      <w:proofErr w:type="spellStart"/>
      <w:r>
        <w:rPr>
          <w:rFonts w:asciiTheme="minorHAnsi" w:hAnsiTheme="minorHAnsi" w:cstheme="minorHAnsi"/>
        </w:rPr>
        <w:t>Rui</w:t>
      </w:r>
      <w:proofErr w:type="spellEnd"/>
      <w:r>
        <w:rPr>
          <w:rFonts w:asciiTheme="minorHAnsi" w:hAnsiTheme="minorHAnsi" w:cstheme="minorHAnsi"/>
        </w:rPr>
        <w:t xml:space="preserve"> Chang</w:t>
      </w:r>
      <w:r w:rsidR="007B2B60">
        <w:rPr>
          <w:rFonts w:asciiTheme="minorHAnsi" w:hAnsiTheme="minorHAnsi" w:cstheme="minorHAnsi"/>
          <w:vertAlign w:val="superscript"/>
        </w:rPr>
        <w:t>2</w:t>
      </w:r>
      <w:r w:rsidR="00EB7078">
        <w:rPr>
          <w:rFonts w:asciiTheme="minorHAnsi" w:hAnsiTheme="minorHAnsi" w:cstheme="minorHAnsi"/>
        </w:rPr>
        <w:t>,</w:t>
      </w:r>
      <w:r w:rsidR="00C94AA5" w:rsidRPr="00850691">
        <w:rPr>
          <w:rFonts w:asciiTheme="minorHAnsi" w:hAnsiTheme="minorHAnsi" w:cstheme="minorHAnsi"/>
        </w:rPr>
        <w:t xml:space="preserve"> </w:t>
      </w:r>
      <w:r w:rsidR="00750CD0" w:rsidRPr="00750CD0">
        <w:rPr>
          <w:rFonts w:asciiTheme="minorHAnsi" w:hAnsiTheme="minorHAnsi" w:cstheme="minorHAnsi"/>
        </w:rPr>
        <w:t>Martin Dörenkämper</w:t>
      </w:r>
      <w:r w:rsidR="002629F2">
        <w:rPr>
          <w:rFonts w:asciiTheme="minorHAnsi" w:hAnsiTheme="minorHAnsi" w:cstheme="minorHAnsi"/>
          <w:vertAlign w:val="superscript"/>
        </w:rPr>
        <w:t>3</w:t>
      </w:r>
      <w:r w:rsidR="00EB7078">
        <w:rPr>
          <w:rFonts w:asciiTheme="minorHAnsi" w:hAnsiTheme="minorHAnsi" w:cstheme="minorHAnsi"/>
        </w:rPr>
        <w:t>,</w:t>
      </w:r>
      <w:r w:rsidR="00EB7078" w:rsidRPr="00EB7078">
        <w:rPr>
          <w:rFonts w:asciiTheme="minorHAnsi" w:hAnsiTheme="minorHAnsi" w:cstheme="minorHAnsi"/>
        </w:rPr>
        <w:t xml:space="preserve"> </w:t>
      </w:r>
      <w:proofErr w:type="spellStart"/>
      <w:r w:rsidR="00EB7078">
        <w:rPr>
          <w:rFonts w:asciiTheme="minorHAnsi" w:hAnsiTheme="minorHAnsi" w:cstheme="minorHAnsi"/>
        </w:rPr>
        <w:t>Peidu</w:t>
      </w:r>
      <w:proofErr w:type="spellEnd"/>
      <w:r w:rsidR="00EB7078">
        <w:rPr>
          <w:rFonts w:asciiTheme="minorHAnsi" w:hAnsiTheme="minorHAnsi" w:cstheme="minorHAnsi"/>
        </w:rPr>
        <w:t xml:space="preserve"> Li</w:t>
      </w:r>
      <w:r w:rsidR="002629F2">
        <w:rPr>
          <w:rFonts w:asciiTheme="minorHAnsi" w:hAnsiTheme="minorHAnsi" w:cstheme="minorHAnsi"/>
          <w:vertAlign w:val="superscript"/>
        </w:rPr>
        <w:t>4</w:t>
      </w:r>
      <w:r w:rsidR="00EB7078">
        <w:rPr>
          <w:rFonts w:asciiTheme="minorHAnsi" w:hAnsiTheme="minorHAnsi" w:cstheme="minorHAnsi"/>
        </w:rPr>
        <w:t>, and Yong Luo</w:t>
      </w:r>
      <w:r w:rsidR="00EB7078">
        <w:rPr>
          <w:rFonts w:asciiTheme="minorHAnsi" w:hAnsiTheme="minorHAnsi" w:cstheme="minorHAnsi"/>
          <w:vertAlign w:val="superscript"/>
        </w:rPr>
        <w:t>1</w:t>
      </w:r>
    </w:p>
    <w:p w14:paraId="73070F61" w14:textId="21025C59" w:rsidR="004B7F40" w:rsidRDefault="008A6077" w:rsidP="00B719C8">
      <w:pPr>
        <w:pStyle w:val="Affiliation"/>
        <w:rPr>
          <w:rFonts w:asciiTheme="minorHAnsi" w:hAnsiTheme="minorHAnsi" w:cstheme="minorHAnsi"/>
          <w:vertAlign w:val="superscript"/>
        </w:rPr>
      </w:pPr>
      <w:r w:rsidRPr="00850691">
        <w:rPr>
          <w:rFonts w:asciiTheme="minorHAnsi" w:hAnsiTheme="minorHAnsi" w:cstheme="minorHAnsi"/>
          <w:vertAlign w:val="superscript"/>
        </w:rPr>
        <w:t>1</w:t>
      </w:r>
      <w:r w:rsidR="004B7F40" w:rsidRPr="004B7F40">
        <w:rPr>
          <w:rFonts w:asciiTheme="minorHAnsi" w:hAnsiTheme="minorHAnsi" w:cstheme="minorHAnsi"/>
        </w:rPr>
        <w:t>Ministry of Education Key Laboratory for Earth System Modeling, Department of Earth System Science, Tsinghua University, Beijing 100084, China</w:t>
      </w:r>
    </w:p>
    <w:p w14:paraId="76A132C7" w14:textId="201E21A8" w:rsidR="004B7F40" w:rsidRDefault="00545B6C" w:rsidP="004B7F40">
      <w:pPr>
        <w:pStyle w:val="Affiliation"/>
        <w:rPr>
          <w:rFonts w:asciiTheme="minorHAnsi" w:hAnsiTheme="minorHAnsi" w:cstheme="minorHAnsi"/>
        </w:rPr>
      </w:pPr>
      <w:r w:rsidRPr="00850691">
        <w:rPr>
          <w:rFonts w:asciiTheme="minorHAnsi" w:hAnsiTheme="minorHAnsi" w:cstheme="minorHAnsi"/>
          <w:vertAlign w:val="superscript"/>
        </w:rPr>
        <w:t>2</w:t>
      </w:r>
      <w:r w:rsidR="004B7F40" w:rsidRPr="004B7F40">
        <w:rPr>
          <w:rFonts w:asciiTheme="minorHAnsi" w:hAnsiTheme="minorHAnsi" w:cstheme="minorHAnsi"/>
        </w:rPr>
        <w:t>National Climate Center of China Meteorological Administration (CMA), Beijing 100081, China</w:t>
      </w:r>
      <w:r w:rsidR="004B7F40" w:rsidRPr="00850691">
        <w:rPr>
          <w:rFonts w:asciiTheme="minorHAnsi" w:hAnsiTheme="minorHAnsi" w:cstheme="minorHAnsi"/>
          <w:vertAlign w:val="superscript"/>
        </w:rPr>
        <w:t xml:space="preserve"> </w:t>
      </w:r>
    </w:p>
    <w:p w14:paraId="59E35802" w14:textId="683462F0" w:rsidR="00FF70CB" w:rsidRDefault="00FF70CB" w:rsidP="00B719C8">
      <w:pPr>
        <w:pStyle w:val="Affiliation"/>
        <w:rPr>
          <w:rFonts w:asciiTheme="minorHAnsi" w:hAnsiTheme="minorHAnsi" w:cstheme="minorHAnsi"/>
        </w:rPr>
      </w:pPr>
      <w:r w:rsidRPr="00FF70CB">
        <w:rPr>
          <w:rFonts w:asciiTheme="minorHAnsi" w:hAnsiTheme="minorHAnsi" w:cstheme="minorHAnsi"/>
          <w:vertAlign w:val="superscript"/>
        </w:rPr>
        <w:t>3</w:t>
      </w:r>
      <w:r w:rsidRPr="00FF70CB">
        <w:rPr>
          <w:rFonts w:asciiTheme="minorHAnsi" w:hAnsiTheme="minorHAnsi" w:cstheme="minorHAnsi"/>
        </w:rPr>
        <w:t>Fraunhofer Institute for Wind Energy Systems, Bremerhaven, Germany</w:t>
      </w:r>
    </w:p>
    <w:p w14:paraId="2B6A347A" w14:textId="007256D8" w:rsidR="004B7F40" w:rsidRPr="004B7F40" w:rsidRDefault="004B7F40" w:rsidP="004B7F40">
      <w:pPr>
        <w:pStyle w:val="Affiliation"/>
        <w:rPr>
          <w:rFonts w:asciiTheme="minorHAnsi" w:hAnsiTheme="minorHAnsi" w:cstheme="minorHAnsi"/>
        </w:rPr>
      </w:pPr>
      <w:r w:rsidRPr="004B7F40">
        <w:rPr>
          <w:rFonts w:asciiTheme="minorHAnsi" w:hAnsiTheme="minorHAnsi" w:cstheme="minorHAnsi"/>
          <w:vertAlign w:val="superscript"/>
        </w:rPr>
        <w:t>4</w:t>
      </w:r>
      <w:r w:rsidRPr="004B7F40">
        <w:rPr>
          <w:rFonts w:asciiTheme="minorHAnsi" w:hAnsiTheme="minorHAnsi" w:cstheme="minorHAnsi"/>
        </w:rPr>
        <w:t>Plateau Atmosphere and Environment Key Laboratory of Sichuan Province, School of At-</w:t>
      </w:r>
      <w:proofErr w:type="spellStart"/>
      <w:r w:rsidRPr="004B7F40">
        <w:rPr>
          <w:rFonts w:asciiTheme="minorHAnsi" w:hAnsiTheme="minorHAnsi" w:cstheme="minorHAnsi"/>
        </w:rPr>
        <w:t>mospheric</w:t>
      </w:r>
      <w:proofErr w:type="spellEnd"/>
      <w:r w:rsidRPr="004B7F40">
        <w:rPr>
          <w:rFonts w:asciiTheme="minorHAnsi" w:hAnsiTheme="minorHAnsi" w:cstheme="minorHAnsi"/>
        </w:rPr>
        <w:t xml:space="preserve"> Sciences, Chengdu University of Information Technology, Chengdu 610225, China</w:t>
      </w:r>
    </w:p>
    <w:p w14:paraId="5614852F" w14:textId="2623AABB" w:rsidR="00DE3F91" w:rsidRPr="00850691" w:rsidRDefault="008A6077" w:rsidP="003137C3">
      <w:pPr>
        <w:pStyle w:val="Affiliation"/>
        <w:rPr>
          <w:rFonts w:asciiTheme="minorHAnsi" w:hAnsiTheme="minorHAnsi" w:cstheme="minorHAnsi"/>
        </w:rPr>
      </w:pPr>
      <w:r w:rsidRPr="00850691">
        <w:rPr>
          <w:rFonts w:asciiTheme="minorHAnsi" w:hAnsiTheme="minorHAnsi" w:cstheme="minorHAnsi"/>
        </w:rPr>
        <w:t>Correspond</w:t>
      </w:r>
      <w:r w:rsidR="00DE3F91" w:rsidRPr="00850691">
        <w:rPr>
          <w:rFonts w:asciiTheme="minorHAnsi" w:hAnsiTheme="minorHAnsi" w:cstheme="minorHAnsi"/>
        </w:rPr>
        <w:t>ing</w:t>
      </w:r>
      <w:r w:rsidRPr="00850691">
        <w:rPr>
          <w:rFonts w:asciiTheme="minorHAnsi" w:hAnsiTheme="minorHAnsi" w:cstheme="minorHAnsi"/>
        </w:rPr>
        <w:t xml:space="preserve"> </w:t>
      </w:r>
      <w:r w:rsidR="006F662E" w:rsidRPr="00850691">
        <w:rPr>
          <w:rFonts w:asciiTheme="minorHAnsi" w:hAnsiTheme="minorHAnsi" w:cstheme="minorHAnsi"/>
        </w:rPr>
        <w:t>author:</w:t>
      </w:r>
      <w:r w:rsidRPr="00850691">
        <w:rPr>
          <w:rFonts w:asciiTheme="minorHAnsi" w:hAnsiTheme="minorHAnsi" w:cstheme="minorHAnsi"/>
        </w:rPr>
        <w:t xml:space="preserve"> </w:t>
      </w:r>
      <w:r w:rsidR="001B1E3A">
        <w:rPr>
          <w:rFonts w:asciiTheme="minorHAnsi" w:hAnsiTheme="minorHAnsi" w:cstheme="minorHAnsi"/>
        </w:rPr>
        <w:t>Yong Luo</w:t>
      </w:r>
      <w:r w:rsidR="00DE3F91" w:rsidRPr="00850691">
        <w:rPr>
          <w:rFonts w:asciiTheme="minorHAnsi" w:hAnsiTheme="minorHAnsi" w:cstheme="minorHAnsi"/>
        </w:rPr>
        <w:t xml:space="preserve"> (</w:t>
      </w:r>
      <w:hyperlink r:id="rId10" w:history="1">
        <w:r w:rsidR="00A70D52" w:rsidRPr="00A70D52">
          <w:rPr>
            <w:rStyle w:val="a7"/>
            <w:rFonts w:asciiTheme="minorHAnsi" w:hAnsiTheme="minorHAnsi" w:cstheme="minorHAnsi"/>
          </w:rPr>
          <w:t>Yongluo@tsinghua.edu.cn</w:t>
        </w:r>
        <w:r w:rsidR="00DE3F91" w:rsidRPr="00850691">
          <w:rPr>
            <w:rStyle w:val="a7"/>
            <w:rFonts w:asciiTheme="minorHAnsi" w:hAnsiTheme="minorHAnsi" w:cstheme="minorHAnsi"/>
          </w:rPr>
          <w:t>)</w:t>
        </w:r>
      </w:hyperlink>
      <w:r w:rsidR="00DE3F91" w:rsidRPr="00850691">
        <w:rPr>
          <w:rFonts w:asciiTheme="minorHAnsi" w:hAnsiTheme="minorHAnsi" w:cstheme="minorHAnsi"/>
        </w:rPr>
        <w:t xml:space="preserve"> </w:t>
      </w:r>
    </w:p>
    <w:p w14:paraId="52EAA876" w14:textId="0F4D9CB3" w:rsidR="00C94AA5" w:rsidRPr="00850691" w:rsidRDefault="00C94AA5" w:rsidP="005358D5">
      <w:pPr>
        <w:pStyle w:val="Heading-Main"/>
        <w:rPr>
          <w:rFonts w:asciiTheme="minorHAnsi" w:hAnsiTheme="minorHAnsi" w:cstheme="minorHAnsi"/>
        </w:rPr>
      </w:pPr>
      <w:r w:rsidRPr="00850691">
        <w:rPr>
          <w:rFonts w:asciiTheme="minorHAnsi" w:hAnsiTheme="minorHAnsi" w:cstheme="minorHAnsi"/>
        </w:rPr>
        <w:t>Key Points:</w:t>
      </w:r>
    </w:p>
    <w:p w14:paraId="02BB4FFB" w14:textId="6DD78888" w:rsidR="00C94AA5" w:rsidRPr="00850691" w:rsidRDefault="00C94AA5" w:rsidP="00C81368">
      <w:pPr>
        <w:pStyle w:val="KeyPoints"/>
        <w:numPr>
          <w:ilvl w:val="0"/>
          <w:numId w:val="9"/>
        </w:numPr>
        <w:rPr>
          <w:rFonts w:asciiTheme="minorHAnsi" w:hAnsiTheme="minorHAnsi" w:cstheme="minorHAnsi"/>
        </w:rPr>
      </w:pPr>
      <w:r w:rsidRPr="00850691">
        <w:rPr>
          <w:rFonts w:asciiTheme="minorHAnsi" w:hAnsiTheme="minorHAnsi" w:cstheme="minorHAnsi"/>
        </w:rPr>
        <w:t>List up to three key points (at least one is required)</w:t>
      </w:r>
    </w:p>
    <w:p w14:paraId="405A84B1" w14:textId="403C38B3" w:rsidR="00C94AA5" w:rsidRPr="00850691" w:rsidRDefault="00C94AA5" w:rsidP="00C81368">
      <w:pPr>
        <w:pStyle w:val="KeyPoints"/>
        <w:numPr>
          <w:ilvl w:val="0"/>
          <w:numId w:val="9"/>
        </w:numPr>
        <w:rPr>
          <w:rFonts w:asciiTheme="minorHAnsi" w:hAnsiTheme="minorHAnsi" w:cstheme="minorHAnsi"/>
        </w:rPr>
      </w:pPr>
      <w:r w:rsidRPr="00850691">
        <w:rPr>
          <w:rFonts w:asciiTheme="minorHAnsi" w:hAnsiTheme="minorHAnsi" w:cstheme="minorHAnsi"/>
        </w:rPr>
        <w:t>Key Points summarize the main points and conclusions of the article</w:t>
      </w:r>
    </w:p>
    <w:p w14:paraId="6A9C6262" w14:textId="03F41290" w:rsidR="00C94AA5" w:rsidRPr="00850691" w:rsidRDefault="00C94AA5" w:rsidP="008A6077">
      <w:pPr>
        <w:pStyle w:val="KeyPoints"/>
        <w:numPr>
          <w:ilvl w:val="0"/>
          <w:numId w:val="9"/>
        </w:numPr>
        <w:rPr>
          <w:rFonts w:asciiTheme="minorHAnsi" w:hAnsiTheme="minorHAnsi" w:cstheme="minorHAnsi"/>
        </w:rPr>
      </w:pPr>
      <w:r w:rsidRPr="00850691">
        <w:rPr>
          <w:rFonts w:asciiTheme="minorHAnsi" w:hAnsiTheme="minorHAnsi" w:cstheme="minorHAnsi"/>
        </w:rPr>
        <w:t xml:space="preserve">Each must be </w:t>
      </w:r>
      <w:r w:rsidR="003E660A" w:rsidRPr="00850691">
        <w:rPr>
          <w:rFonts w:asciiTheme="minorHAnsi" w:hAnsiTheme="minorHAnsi" w:cstheme="minorHAnsi"/>
        </w:rPr>
        <w:t>14</w:t>
      </w:r>
      <w:r w:rsidR="00321596" w:rsidRPr="00850691">
        <w:rPr>
          <w:rFonts w:asciiTheme="minorHAnsi" w:hAnsiTheme="minorHAnsi" w:cstheme="minorHAnsi"/>
        </w:rPr>
        <w:t>0</w:t>
      </w:r>
      <w:r w:rsidRPr="00850691">
        <w:rPr>
          <w:rFonts w:asciiTheme="minorHAnsi" w:hAnsiTheme="minorHAnsi" w:cstheme="minorHAnsi"/>
        </w:rPr>
        <w:t xml:space="preserve"> characters or less with no </w:t>
      </w:r>
      <w:r w:rsidR="00975D9D" w:rsidRPr="00850691">
        <w:rPr>
          <w:rFonts w:asciiTheme="minorHAnsi" w:hAnsiTheme="minorHAnsi" w:cstheme="minorHAnsi"/>
        </w:rPr>
        <w:t xml:space="preserve">special characters or </w:t>
      </w:r>
      <w:r w:rsidR="00813315" w:rsidRPr="00850691">
        <w:rPr>
          <w:rFonts w:asciiTheme="minorHAnsi" w:hAnsiTheme="minorHAnsi" w:cstheme="minorHAnsi"/>
        </w:rPr>
        <w:t>acronyms</w:t>
      </w:r>
      <w:r w:rsidR="00975D9D" w:rsidRPr="00850691">
        <w:rPr>
          <w:rFonts w:asciiTheme="minorHAnsi" w:hAnsiTheme="minorHAnsi" w:cstheme="minorHAnsi"/>
        </w:rPr>
        <w:t>.</w:t>
      </w:r>
    </w:p>
    <w:p w14:paraId="25E726CC" w14:textId="25417A76" w:rsidR="00B719C8" w:rsidRPr="00850691" w:rsidRDefault="00DE3F91" w:rsidP="000379AB">
      <w:pPr>
        <w:pStyle w:val="Note"/>
        <w:rPr>
          <w:rFonts w:asciiTheme="minorHAnsi" w:hAnsiTheme="minorHAnsi" w:cstheme="minorHAnsi"/>
        </w:rPr>
      </w:pPr>
      <w:r w:rsidRPr="00850691">
        <w:rPr>
          <w:rFonts w:asciiTheme="minorHAnsi" w:hAnsiTheme="minorHAnsi" w:cstheme="minorHAnsi"/>
        </w:rPr>
        <w:t>(The above elements should be on a title page)</w:t>
      </w:r>
    </w:p>
    <w:p w14:paraId="5C03B4CB" w14:textId="77777777" w:rsidR="00B719C8" w:rsidRPr="00850691" w:rsidRDefault="00B719C8">
      <w:pPr>
        <w:rPr>
          <w:rFonts w:asciiTheme="minorHAnsi" w:hAnsiTheme="minorHAnsi" w:cstheme="minorHAnsi"/>
          <w:color w:val="00B0F0"/>
        </w:rPr>
      </w:pPr>
      <w:r w:rsidRPr="00850691">
        <w:rPr>
          <w:rFonts w:asciiTheme="minorHAnsi" w:hAnsiTheme="minorHAnsi" w:cstheme="minorHAnsi"/>
        </w:rPr>
        <w:br w:type="page"/>
      </w:r>
    </w:p>
    <w:p w14:paraId="2659CCE1" w14:textId="77777777" w:rsidR="002F3B11" w:rsidRPr="00850691" w:rsidRDefault="008A6077" w:rsidP="00C81368">
      <w:pPr>
        <w:pStyle w:val="Heading-Main"/>
        <w:rPr>
          <w:rFonts w:asciiTheme="minorHAnsi" w:hAnsiTheme="minorHAnsi" w:cstheme="minorHAnsi"/>
        </w:rPr>
      </w:pPr>
      <w:r w:rsidRPr="00850691">
        <w:rPr>
          <w:rFonts w:asciiTheme="minorHAnsi" w:hAnsiTheme="minorHAnsi" w:cstheme="minorHAnsi"/>
        </w:rPr>
        <w:lastRenderedPageBreak/>
        <w:t>Abstract</w:t>
      </w:r>
    </w:p>
    <w:p w14:paraId="51809AE4" w14:textId="39683AA0" w:rsidR="00DE3F91" w:rsidRPr="00850691" w:rsidRDefault="008A6077" w:rsidP="00DE3F91">
      <w:pPr>
        <w:pStyle w:val="Abstract"/>
        <w:rPr>
          <w:rFonts w:asciiTheme="minorHAnsi" w:hAnsiTheme="minorHAnsi" w:cstheme="minorHAnsi"/>
        </w:rPr>
      </w:pPr>
      <w:r w:rsidRPr="00850691">
        <w:rPr>
          <w:rFonts w:asciiTheme="minorHAnsi" w:hAnsiTheme="minorHAnsi" w:cstheme="minorHAnsi"/>
        </w:rPr>
        <w:t xml:space="preserve">The abstract should be </w:t>
      </w:r>
      <w:r w:rsidR="00DE3F91" w:rsidRPr="00850691">
        <w:rPr>
          <w:rFonts w:asciiTheme="minorHAnsi" w:hAnsiTheme="minorHAnsi" w:cstheme="minorHAnsi"/>
        </w:rPr>
        <w:t>a</w:t>
      </w:r>
      <w:r w:rsidR="00321596" w:rsidRPr="00850691">
        <w:rPr>
          <w:rFonts w:asciiTheme="minorHAnsi" w:hAnsiTheme="minorHAnsi" w:cstheme="minorHAnsi"/>
        </w:rPr>
        <w:t xml:space="preserve"> single-paragraph of </w:t>
      </w:r>
      <w:r w:rsidR="00B828C4" w:rsidRPr="00850691">
        <w:rPr>
          <w:rFonts w:asciiTheme="minorHAnsi" w:hAnsiTheme="minorHAnsi" w:cstheme="minorHAnsi"/>
        </w:rPr>
        <w:t>fewer</w:t>
      </w:r>
      <w:r w:rsidR="00321596" w:rsidRPr="00850691">
        <w:rPr>
          <w:rFonts w:asciiTheme="minorHAnsi" w:hAnsiTheme="minorHAnsi" w:cstheme="minorHAnsi"/>
        </w:rPr>
        <w:t xml:space="preserve"> than 2</w:t>
      </w:r>
      <w:r w:rsidR="00DE3F91" w:rsidRPr="00850691">
        <w:rPr>
          <w:rFonts w:asciiTheme="minorHAnsi" w:hAnsiTheme="minorHAnsi" w:cstheme="minorHAnsi"/>
        </w:rPr>
        <w:t>50</w:t>
      </w:r>
      <w:r w:rsidRPr="00850691">
        <w:rPr>
          <w:rFonts w:asciiTheme="minorHAnsi" w:hAnsiTheme="minorHAnsi" w:cstheme="minorHAnsi"/>
        </w:rPr>
        <w:t xml:space="preserve"> words</w:t>
      </w:r>
      <w:r w:rsidR="00321596" w:rsidRPr="00850691">
        <w:rPr>
          <w:rFonts w:asciiTheme="minorHAnsi" w:hAnsiTheme="minorHAnsi" w:cstheme="minorHAnsi"/>
        </w:rPr>
        <w:t xml:space="preserve">, or for </w:t>
      </w:r>
      <w:r w:rsidR="00321596" w:rsidRPr="00850691">
        <w:rPr>
          <w:rFonts w:asciiTheme="minorHAnsi" w:hAnsiTheme="minorHAnsi" w:cstheme="minorHAnsi"/>
          <w:i/>
        </w:rPr>
        <w:t>Geophysical Research Letters</w:t>
      </w:r>
      <w:r w:rsidR="00321596" w:rsidRPr="00850691">
        <w:rPr>
          <w:rFonts w:asciiTheme="minorHAnsi" w:hAnsiTheme="minorHAnsi" w:cstheme="minorHAnsi"/>
        </w:rPr>
        <w:t>, less than 150 words</w:t>
      </w:r>
      <w:r w:rsidR="00DE3F91" w:rsidRPr="00850691">
        <w:rPr>
          <w:rFonts w:asciiTheme="minorHAnsi" w:hAnsiTheme="minorHAnsi" w:cstheme="minorHAnsi"/>
        </w:rPr>
        <w:t xml:space="preserve">.  A good abstract </w:t>
      </w:r>
      <w:r w:rsidRPr="00850691">
        <w:rPr>
          <w:rFonts w:asciiTheme="minorHAnsi" w:hAnsiTheme="minorHAnsi" w:cstheme="minorHAnsi"/>
        </w:rPr>
        <w:t xml:space="preserve">sets the </w:t>
      </w:r>
      <w:r w:rsidR="00DE3F91" w:rsidRPr="00850691">
        <w:rPr>
          <w:rFonts w:asciiTheme="minorHAnsi" w:hAnsiTheme="minorHAnsi" w:cstheme="minorHAnsi"/>
        </w:rPr>
        <w:t xml:space="preserve">general </w:t>
      </w:r>
      <w:r w:rsidRPr="00850691">
        <w:rPr>
          <w:rFonts w:asciiTheme="minorHAnsi" w:hAnsiTheme="minorHAnsi" w:cstheme="minorHAnsi"/>
        </w:rPr>
        <w:t xml:space="preserve">question </w:t>
      </w:r>
      <w:r w:rsidR="00DE3F91" w:rsidRPr="00850691">
        <w:rPr>
          <w:rFonts w:asciiTheme="minorHAnsi" w:hAnsiTheme="minorHAnsi" w:cstheme="minorHAnsi"/>
        </w:rPr>
        <w:t xml:space="preserve">or topic </w:t>
      </w:r>
      <w:r w:rsidRPr="00850691">
        <w:rPr>
          <w:rFonts w:asciiTheme="minorHAnsi" w:hAnsiTheme="minorHAnsi" w:cstheme="minorHAnsi"/>
        </w:rPr>
        <w:t xml:space="preserve">that you </w:t>
      </w:r>
      <w:r w:rsidR="00DE3F91" w:rsidRPr="00850691">
        <w:rPr>
          <w:rFonts w:asciiTheme="minorHAnsi" w:hAnsiTheme="minorHAnsi" w:cstheme="minorHAnsi"/>
        </w:rPr>
        <w:t xml:space="preserve">are studying for </w:t>
      </w:r>
      <w:r w:rsidRPr="00850691">
        <w:rPr>
          <w:rFonts w:asciiTheme="minorHAnsi" w:hAnsiTheme="minorHAnsi" w:cstheme="minorHAnsi"/>
        </w:rPr>
        <w:t xml:space="preserve">the general reader, </w:t>
      </w:r>
      <w:r w:rsidR="00DE3F91" w:rsidRPr="00850691">
        <w:rPr>
          <w:rFonts w:asciiTheme="minorHAnsi" w:hAnsiTheme="minorHAnsi" w:cstheme="minorHAnsi"/>
        </w:rPr>
        <w:t xml:space="preserve">provides </w:t>
      </w:r>
      <w:r w:rsidRPr="00850691">
        <w:rPr>
          <w:rFonts w:asciiTheme="minorHAnsi" w:hAnsiTheme="minorHAnsi" w:cstheme="minorHAnsi"/>
        </w:rPr>
        <w:t xml:space="preserve">background </w:t>
      </w:r>
      <w:r w:rsidR="00DE3F91" w:rsidRPr="00850691">
        <w:rPr>
          <w:rFonts w:asciiTheme="minorHAnsi" w:hAnsiTheme="minorHAnsi" w:cstheme="minorHAnsi"/>
        </w:rPr>
        <w:t>on the specific question or problem, briefly describes key data or analyses, and describes the key results and uncertainties</w:t>
      </w:r>
      <w:r w:rsidRPr="00850691">
        <w:rPr>
          <w:rFonts w:asciiTheme="minorHAnsi" w:hAnsiTheme="minorHAnsi" w:cstheme="minorHAnsi"/>
        </w:rPr>
        <w:t>.</w:t>
      </w:r>
      <w:r w:rsidR="00975D9D" w:rsidRPr="00850691">
        <w:rPr>
          <w:rFonts w:asciiTheme="minorHAnsi" w:hAnsiTheme="minorHAnsi" w:cstheme="minorHAnsi"/>
        </w:rPr>
        <w:t xml:space="preserve">  Please avoid acronyms or if used, define them.</w:t>
      </w:r>
    </w:p>
    <w:p w14:paraId="69A5DBFD" w14:textId="5331CD54" w:rsidR="00FC3EAC" w:rsidRPr="00850691" w:rsidRDefault="00FC3EAC" w:rsidP="00DE3F91">
      <w:pPr>
        <w:pStyle w:val="Abstract"/>
        <w:rPr>
          <w:rFonts w:asciiTheme="minorHAnsi" w:hAnsiTheme="minorHAnsi" w:cstheme="minorHAnsi"/>
          <w:b/>
        </w:rPr>
      </w:pPr>
      <w:r w:rsidRPr="00850691">
        <w:rPr>
          <w:rFonts w:asciiTheme="minorHAnsi" w:hAnsiTheme="minorHAnsi" w:cstheme="minorHAnsi"/>
          <w:b/>
        </w:rPr>
        <w:t>Plain Language Summary</w:t>
      </w:r>
    </w:p>
    <w:p w14:paraId="1AF56509" w14:textId="4FFF6C62" w:rsidR="00AB59A9" w:rsidRDefault="00FC3EAC" w:rsidP="00DE3F91">
      <w:pPr>
        <w:pStyle w:val="Abstract"/>
        <w:rPr>
          <w:rFonts w:asciiTheme="minorHAnsi" w:hAnsiTheme="minorHAnsi" w:cstheme="minorHAnsi"/>
        </w:rPr>
      </w:pPr>
      <w:r w:rsidRPr="00850691">
        <w:rPr>
          <w:rFonts w:asciiTheme="minorHAnsi" w:hAnsiTheme="minorHAnsi" w:cstheme="minorHAnsi"/>
        </w:rPr>
        <w:t xml:space="preserve">This is optional but will help expand the reach of your paper. Information on writing a good plain language summary is available </w:t>
      </w:r>
      <w:hyperlink r:id="rId11" w:history="1">
        <w:r w:rsidRPr="00850691">
          <w:rPr>
            <w:rStyle w:val="a7"/>
            <w:rFonts w:asciiTheme="minorHAnsi" w:hAnsiTheme="minorHAnsi" w:cstheme="minorHAnsi"/>
          </w:rPr>
          <w:t>here</w:t>
        </w:r>
      </w:hyperlink>
      <w:r w:rsidRPr="00850691">
        <w:rPr>
          <w:rFonts w:asciiTheme="minorHAnsi" w:hAnsiTheme="minorHAnsi" w:cstheme="minorHAnsi"/>
        </w:rPr>
        <w:t>.</w:t>
      </w:r>
    </w:p>
    <w:p w14:paraId="3E1F40A2" w14:textId="6EE663FE" w:rsidR="00FC3EAC" w:rsidRPr="00AB59A9" w:rsidRDefault="00AB59A9" w:rsidP="00AB59A9">
      <w:pPr>
        <w:rPr>
          <w:rFonts w:asciiTheme="minorHAnsi" w:eastAsia="Times New Roman" w:hAnsiTheme="minorHAnsi" w:cstheme="minorHAnsi"/>
          <w:sz w:val="24"/>
          <w:szCs w:val="24"/>
        </w:rPr>
      </w:pPr>
      <w:r>
        <w:rPr>
          <w:rFonts w:asciiTheme="minorHAnsi" w:hAnsiTheme="minorHAnsi" w:cstheme="minorHAnsi"/>
        </w:rPr>
        <w:br w:type="page"/>
      </w:r>
    </w:p>
    <w:p w14:paraId="16752E20" w14:textId="77777777"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lastRenderedPageBreak/>
        <w:t>1 Introduction</w:t>
      </w:r>
    </w:p>
    <w:p w14:paraId="62A89A53" w14:textId="1D59DDBE" w:rsidR="002F3B11" w:rsidRDefault="007D1384" w:rsidP="002F3B11">
      <w:pPr>
        <w:pStyle w:val="Text"/>
        <w:rPr>
          <w:rFonts w:ascii="宋体" w:eastAsia="宋体" w:hAnsi="宋体" w:cstheme="minorHAnsi"/>
          <w:lang w:eastAsia="zh-CN"/>
        </w:rPr>
      </w:pPr>
      <w:r w:rsidRPr="007D1384">
        <w:rPr>
          <w:rFonts w:asciiTheme="minorHAnsi" w:hAnsiTheme="minorHAnsi" w:cstheme="minorHAnsi"/>
        </w:rPr>
        <w:t xml:space="preserve">Accurate day-ahead wind power forecasting is essential for power-system operation, electricity market, and the large-scale integration of variable renewable energy </w:t>
      </w:r>
      <w:r w:rsidR="00F620F9">
        <w:rPr>
          <w:rFonts w:asciiTheme="minorHAnsi" w:hAnsiTheme="minorHAnsi" w:cstheme="minorHAnsi"/>
        </w:rPr>
        <w:fldChar w:fldCharType="begin"/>
      </w:r>
      <w:r w:rsidR="00F620F9">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F620F9">
        <w:rPr>
          <w:rFonts w:asciiTheme="minorHAnsi" w:hAnsiTheme="minorHAnsi" w:cstheme="minorHAnsi"/>
        </w:rPr>
        <w:fldChar w:fldCharType="separate"/>
      </w:r>
      <w:r w:rsidR="00F620F9" w:rsidRPr="00F620F9">
        <w:rPr>
          <w:rFonts w:ascii="Calibri" w:hAnsi="Calibri" w:cs="Calibri"/>
        </w:rPr>
        <w:t>(</w:t>
      </w:r>
      <w:proofErr w:type="spellStart"/>
      <w:r w:rsidR="00F620F9" w:rsidRPr="00F620F9">
        <w:rPr>
          <w:rFonts w:ascii="Calibri" w:hAnsi="Calibri" w:cs="Calibri"/>
        </w:rPr>
        <w:t>Holttinen</w:t>
      </w:r>
      <w:proofErr w:type="spellEnd"/>
      <w:r w:rsidR="00F620F9" w:rsidRPr="00F620F9">
        <w:rPr>
          <w:rFonts w:ascii="Calibri" w:hAnsi="Calibri" w:cs="Calibri"/>
        </w:rPr>
        <w:t>, 2005; Mahoney et al., 2012)</w:t>
      </w:r>
      <w:r w:rsidR="00F620F9">
        <w:rPr>
          <w:rFonts w:asciiTheme="minorHAnsi" w:hAnsiTheme="minorHAnsi" w:cstheme="minorHAnsi"/>
        </w:rPr>
        <w:fldChar w:fldCharType="end"/>
      </w:r>
      <w:r w:rsidRPr="007D1384">
        <w:rPr>
          <w:rFonts w:asciiTheme="minorHAnsi" w:hAnsiTheme="minorHAnsi" w:cstheme="minorHAnsi"/>
        </w:rPr>
        <w:t xml:space="preserve">. The forecasting has been substantially advanced by the development of deep learning models </w:t>
      </w:r>
      <w:r w:rsidR="00D81797">
        <w:rPr>
          <w:rFonts w:asciiTheme="minorHAnsi" w:hAnsiTheme="minorHAnsi" w:cstheme="minorHAnsi"/>
        </w:rPr>
        <w:fldChar w:fldCharType="begin"/>
      </w:r>
      <w:r w:rsidR="00D81797">
        <w:rPr>
          <w:rFonts w:asciiTheme="minorHAnsi" w:hAnsiTheme="minorHAnsi" w:cstheme="minorHAnsi"/>
        </w:rPr>
        <w:instrText xml:space="preserve"> ADDIN ZOTERO_ITEM CSL_CITATION {"citationID":"LyguxqQn","properties":{"formattedCitation":"(Liu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(Liu &amp; Zhang, 2024)</w:t>
      </w:r>
      <w:r w:rsidR="00D81797">
        <w:rPr>
          <w:rFonts w:asciiTheme="minorHAnsi" w:hAnsiTheme="minorHAnsi" w:cstheme="minorHAnsi"/>
        </w:rPr>
        <w:fldChar w:fldCharType="end"/>
      </w:r>
      <w:r w:rsidRPr="007D1384">
        <w:rPr>
          <w:rFonts w:asciiTheme="minorHAnsi" w:hAnsiTheme="minorHAnsi" w:cstheme="minorHAnsi"/>
        </w:rPr>
        <w:t xml:space="preserve">, and depends not only on models but fundamentally on the physical relevance of meteorological inputs </w:t>
      </w:r>
      <w:r w:rsidR="00D81797">
        <w:rPr>
          <w:rFonts w:asciiTheme="minorHAnsi" w:hAnsiTheme="minorHAnsi" w:cstheme="minorHAnsi"/>
        </w:rPr>
        <w:fldChar w:fldCharType="begin"/>
      </w:r>
      <w:r w:rsidR="00D81797">
        <w:rPr>
          <w:rFonts w:asciiTheme="minorHAnsi" w:hAnsiTheme="minorHAnsi" w:cstheme="minorHAnsi"/>
        </w:rPr>
        <w:instrText xml:space="preserve"> ADDIN ZOTERO_ITEM CSL_CITATION {"citationID":"FWtGnh6f","properties":{"formattedCitation":"(Optis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w:t>
      </w:r>
      <w:proofErr w:type="spellStart"/>
      <w:r w:rsidR="00D81797" w:rsidRPr="00D81797">
        <w:rPr>
          <w:rFonts w:ascii="Calibri" w:hAnsi="Calibri" w:cs="Calibri"/>
        </w:rPr>
        <w:t>Optis</w:t>
      </w:r>
      <w:proofErr w:type="spellEnd"/>
      <w:r w:rsidR="00D81797" w:rsidRPr="00D81797">
        <w:rPr>
          <w:rFonts w:ascii="Calibri" w:hAnsi="Calibri" w:cs="Calibri"/>
        </w:rPr>
        <w:t xml:space="preserve"> &amp; </w:t>
      </w:r>
      <w:proofErr w:type="spellStart"/>
      <w:r w:rsidR="00D81797" w:rsidRPr="00D81797">
        <w:rPr>
          <w:rFonts w:ascii="Calibri" w:hAnsi="Calibri" w:cs="Calibri"/>
        </w:rPr>
        <w:t>Perr</w:t>
      </w:r>
      <w:proofErr w:type="spellEnd"/>
      <w:r w:rsidR="00D81797" w:rsidRPr="00D81797">
        <w:rPr>
          <w:rFonts w:ascii="Calibri" w:hAnsi="Calibri" w:cs="Calibri"/>
        </w:rPr>
        <w:t>-Sauer, 2019)</w:t>
      </w:r>
      <w:r w:rsidR="00D81797">
        <w:rPr>
          <w:rFonts w:asciiTheme="minorHAnsi" w:hAnsiTheme="minorHAnsi" w:cstheme="minorHAnsi"/>
        </w:rPr>
        <w:fldChar w:fldCharType="end"/>
      </w:r>
      <w:r w:rsidRPr="007D1384">
        <w:rPr>
          <w:rFonts w:asciiTheme="minorHAnsi" w:hAnsiTheme="minorHAnsi" w:cstheme="minorHAnsi"/>
        </w:rPr>
        <w:t xml:space="preserve">. Previous research has paid disproportionate attention to the models, including architecture innovation </w:t>
      </w:r>
      <w:r w:rsidR="00D81797">
        <w:rPr>
          <w:rFonts w:asciiTheme="minorHAnsi" w:hAnsiTheme="minorHAnsi" w:cstheme="minorHAnsi"/>
        </w:rPr>
        <w:fldChar w:fldCharType="begin"/>
      </w:r>
      <w:r w:rsidR="00D81797">
        <w:rPr>
          <w:rFonts w:asciiTheme="minorHAnsi" w:hAnsiTheme="minorHAnsi" w:cstheme="minorHAnsi"/>
        </w:rPr>
        <w:instrText xml:space="preserve"> ADDIN ZOTERO_ITEM CSL_CITATION {"citationID":"ZfOgO1EM","properties":{"formattedCitation":"(Bentsen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(Bentsen et al., 2023)</w:t>
      </w:r>
      <w:r w:rsidR="00D81797">
        <w:rPr>
          <w:rFonts w:asciiTheme="minorHAnsi" w:hAnsiTheme="minorHAnsi" w:cstheme="minorHAnsi"/>
        </w:rPr>
        <w:fldChar w:fldCharType="end"/>
      </w:r>
      <w:r w:rsidRPr="007D1384">
        <w:rPr>
          <w:rFonts w:asciiTheme="minorHAnsi" w:hAnsiTheme="minorHAnsi" w:cstheme="minorHAnsi"/>
        </w:rPr>
        <w:t xml:space="preserve">, </w:t>
      </w:r>
      <w:proofErr w:type="spellStart"/>
      <w:r w:rsidRPr="007D1384">
        <w:rPr>
          <w:rFonts w:asciiTheme="minorHAnsi" w:hAnsiTheme="minorHAnsi" w:cstheme="minorHAnsi"/>
        </w:rPr>
        <w:t>hyperparameter</w:t>
      </w:r>
      <w:proofErr w:type="spellEnd"/>
      <w:r w:rsidRPr="007D1384">
        <w:rPr>
          <w:rFonts w:asciiTheme="minorHAnsi" w:hAnsiTheme="minorHAnsi" w:cstheme="minorHAnsi"/>
        </w:rPr>
        <w:t xml:space="preserve"> optimization</w:t>
      </w:r>
      <w:r w:rsidR="00D81797">
        <w:rPr>
          <w:rFonts w:asciiTheme="minorHAnsi" w:hAnsiTheme="minorHAnsi" w:cstheme="minorHAnsi"/>
        </w:rPr>
        <w:fldChar w:fldCharType="begin"/>
      </w:r>
      <w:r w:rsidR="00D81797">
        <w:rPr>
          <w:rFonts w:asciiTheme="minorHAnsi" w:hAnsiTheme="minorHAnsi" w:cstheme="minorHAnsi"/>
        </w:rPr>
        <w:instrText xml:space="preserve"> ADDIN ZOTERO_ITEM CSL_CITATION {"citationID":"OXzNNS3P","properties":{"formattedCitation":"(Hanifi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w:t>
      </w:r>
      <w:proofErr w:type="spellStart"/>
      <w:r w:rsidR="00D81797" w:rsidRPr="00D81797">
        <w:rPr>
          <w:rFonts w:ascii="Calibri" w:hAnsi="Calibri" w:cs="Calibri"/>
        </w:rPr>
        <w:t>Hanifi</w:t>
      </w:r>
      <w:proofErr w:type="spellEnd"/>
      <w:r w:rsidR="00D81797" w:rsidRPr="00D81797">
        <w:rPr>
          <w:rFonts w:ascii="Calibri" w:hAnsi="Calibri" w:cs="Calibri"/>
        </w:rPr>
        <w:t xml:space="preserve"> et al., 2024)</w:t>
      </w:r>
      <w:r w:rsidR="00D81797">
        <w:rPr>
          <w:rFonts w:asciiTheme="minorHAnsi" w:hAnsiTheme="minorHAnsi" w:cstheme="minorHAnsi"/>
        </w:rPr>
        <w:fldChar w:fldCharType="end"/>
      </w:r>
      <w:r w:rsidRPr="007D1384">
        <w:rPr>
          <w:rFonts w:asciiTheme="minorHAnsi" w:hAnsiTheme="minorHAnsi" w:cstheme="minorHAnsi"/>
        </w:rPr>
        <w:t>, and po</w:t>
      </w:r>
      <w:r w:rsidR="00D81797">
        <w:rPr>
          <w:rFonts w:asciiTheme="minorHAnsi" w:hAnsiTheme="minorHAnsi" w:cstheme="minorHAnsi"/>
        </w:rPr>
        <w:t xml:space="preserve">st-processing </w:t>
      </w:r>
      <w:r w:rsidR="00D81797">
        <w:rPr>
          <w:rFonts w:asciiTheme="minorHAnsi" w:hAnsiTheme="minorHAnsi" w:cstheme="minorHAnsi"/>
        </w:rPr>
        <w:fldChar w:fldCharType="begin"/>
      </w:r>
      <w:r w:rsidR="00D81797">
        <w:rPr>
          <w:rFonts w:asciiTheme="minorHAnsi" w:hAnsiTheme="minorHAnsi" w:cstheme="minorHAnsi"/>
        </w:rPr>
        <w:instrText xml:space="preserve"> ADDIN ZOTERO_ITEM CSL_CITATION {"citationID":"vqYnnUPQ","properties":{"formattedCitation":"(Xia et al., 2026)","plainCitation":"(Xia et al., 2026)","noteIndex":0},"citationItems":[{"id":1769,"uris":["http://zotero.org/users/14274501/items/C2QH392X"],"itemData":{"id":1769,"type":"article-journal","abstract":"Accurate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(Xia et al., 2026)</w:t>
      </w:r>
      <w:r w:rsidR="00D81797">
        <w:rPr>
          <w:rFonts w:asciiTheme="minorHAnsi" w:hAnsiTheme="minorHAnsi" w:cstheme="minorHAnsi"/>
        </w:rPr>
        <w:fldChar w:fldCharType="end"/>
      </w:r>
      <w:r w:rsidRPr="007D1384">
        <w:rPr>
          <w:rFonts w:asciiTheme="minorHAnsi" w:hAnsiTheme="minorHAnsi" w:cstheme="minorHAnsi"/>
        </w:rPr>
        <w:t>. In comparison, input feature selection lacks a mechanistically optimization. Consequently, the atmospheric physics governing wind farm power production remain underrepresented in forecasting.</w:t>
      </w:r>
    </w:p>
    <w:p w14:paraId="3E6464BB" w14:textId="73E2E484" w:rsidR="007D1384" w:rsidRDefault="007D1384" w:rsidP="002F3B11">
      <w:pPr>
        <w:pStyle w:val="Text"/>
        <w:rPr>
          <w:rFonts w:ascii="Calibri" w:eastAsia="宋体" w:hAnsi="Calibri" w:cs="Calibri"/>
          <w:color w:val="000000"/>
        </w:rPr>
      </w:pPr>
      <w:r>
        <w:rPr>
          <w:rFonts w:ascii="Calibri" w:eastAsia="宋体" w:hAnsi="Calibri" w:cs="Calibri" w:hint="eastAsia"/>
          <w:color w:val="000000"/>
        </w:rPr>
        <w:t>Traditionally</w:t>
      </w:r>
      <w:r w:rsidRPr="00EC629C">
        <w:rPr>
          <w:rFonts w:ascii="Calibri" w:eastAsia="宋体" w:hAnsi="Calibri" w:cs="Calibri"/>
          <w:color w:val="000000"/>
        </w:rPr>
        <w:t xml:space="preserve">, wind speed at hub height has been the primary feature input </w:t>
      </w:r>
      <w:r>
        <w:rPr>
          <w:rFonts w:ascii="Calibri" w:eastAsia="宋体" w:hAnsi="Calibri" w:cs="Calibri" w:hint="eastAsia"/>
          <w:color w:val="000000"/>
        </w:rPr>
        <w:t>into the</w:t>
      </w:r>
      <w:r w:rsidRPr="00EC629C">
        <w:rPr>
          <w:rFonts w:ascii="Calibri" w:eastAsia="宋体" w:hAnsi="Calibri" w:cs="Calibri"/>
          <w:color w:val="000000"/>
        </w:rPr>
        <w:t xml:space="preserve"> forecasting models </w:t>
      </w:r>
      <w:r w:rsidRPr="00FD3B7A">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Pr="00FD3B7A">
        <w:rPr>
          <w:rFonts w:ascii="Calibri" w:eastAsia="宋体" w:hAnsi="Calibri" w:cs="Calibri"/>
          <w:color w:val="000000"/>
        </w:rPr>
        <w:fldChar w:fldCharType="separate"/>
      </w:r>
      <w:r w:rsidRPr="007F3284">
        <w:rPr>
          <w:rFonts w:ascii="Calibri" w:hAnsi="Calibri" w:cs="Calibri"/>
        </w:rPr>
        <w:t>(Mahoney et al., 2012; Ye et al., 2017; Che et al., 2022; Sun &amp; Yang, 2023)</w:t>
      </w:r>
      <w:r w:rsidRPr="00FD3B7A">
        <w:rPr>
          <w:rFonts w:ascii="Calibri" w:eastAsia="宋体" w:hAnsi="Calibri" w:cs="Calibri"/>
          <w:color w:val="000000"/>
        </w:rPr>
        <w:fldChar w:fldCharType="end"/>
      </w:r>
      <w:r w:rsidRPr="00EC629C">
        <w:rPr>
          <w:rFonts w:ascii="Calibri" w:eastAsia="宋体" w:hAnsi="Calibri" w:cs="Calibri"/>
          <w:color w:val="000000"/>
        </w:rPr>
        <w:t xml:space="preserve">. This practice originates from the single-turbine power curve, </w:t>
      </w:r>
      <w:r w:rsidRPr="00F425DD">
        <w:rPr>
          <w:rFonts w:ascii="Calibri" w:eastAsia="宋体" w:hAnsi="Calibri" w:cs="Calibri"/>
          <w:color w:val="000000"/>
        </w:rPr>
        <w:t xml:space="preserve">where </w:t>
      </w:r>
      <w:r>
        <w:rPr>
          <w:rFonts w:ascii="Calibri" w:eastAsia="宋体" w:hAnsi="Calibri" w:cs="Calibri" w:hint="eastAsia"/>
          <w:color w:val="000000"/>
        </w:rPr>
        <w:t>power</w:t>
      </w:r>
      <w:r w:rsidRPr="00F425DD">
        <w:rPr>
          <w:rFonts w:ascii="Calibri" w:eastAsia="宋体" w:hAnsi="Calibri" w:cs="Calibri"/>
          <w:color w:val="000000"/>
        </w:rPr>
        <w:t xml:space="preserve"> can be characterized by a single </w:t>
      </w:r>
      <w:r>
        <w:rPr>
          <w:rFonts w:ascii="Calibri" w:eastAsia="宋体" w:hAnsi="Calibri" w:cs="Calibri"/>
          <w:color w:val="000000"/>
        </w:rPr>
        <w:t>hub</w:t>
      </w:r>
      <w:r>
        <w:rPr>
          <w:rFonts w:ascii="Calibri" w:eastAsia="宋体" w:hAnsi="Calibri" w:cs="Calibri" w:hint="eastAsia"/>
          <w:color w:val="000000"/>
        </w:rPr>
        <w:t>-</w:t>
      </w:r>
      <w:r w:rsidRPr="00F425DD">
        <w:rPr>
          <w:rFonts w:ascii="Calibri" w:eastAsia="宋体" w:hAnsi="Calibri" w:cs="Calibri"/>
          <w:color w:val="000000"/>
        </w:rPr>
        <w:t>height</w:t>
      </w:r>
      <w:r>
        <w:rPr>
          <w:rFonts w:ascii="Calibri" w:eastAsia="宋体" w:hAnsi="Calibri" w:cs="Calibri" w:hint="eastAsia"/>
          <w:color w:val="000000"/>
        </w:rPr>
        <w:t xml:space="preserve"> wind speed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{"citationID":"QuzhfntJ","properties":{"formattedCitation":"(Turbines\\uc0\\u8212{}Part, 2005)","plainCitation":"(Turbines—Part, 2005)","noteIndex":0},"citationItems":[{"id":1760,"uris":["http://zotero.org/users/14274501/items/3X2LALHE"],"itemData":{"id":1760,"type":"article-journal","container-title":"British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rPr>
        <w:fldChar w:fldCharType="separate"/>
      </w:r>
      <w:r w:rsidRPr="00401647">
        <w:rPr>
          <w:rFonts w:ascii="Calibri" w:hAnsi="Calibri" w:cs="Calibri"/>
          <w:color w:val="000000"/>
        </w:rPr>
        <w:t>(Turbines—Part, 2005)</w:t>
      </w:r>
      <w:r>
        <w:rPr>
          <w:rFonts w:ascii="Calibri" w:eastAsia="宋体" w:hAnsi="Calibri" w:cs="Calibri"/>
          <w:color w:val="000000"/>
        </w:rPr>
        <w:fldChar w:fldCharType="end"/>
      </w:r>
      <w:r>
        <w:rPr>
          <w:rFonts w:ascii="Calibri" w:eastAsia="宋体" w:hAnsi="Calibri" w:cs="Calibri" w:hint="eastAsia"/>
          <w:color w:val="000000"/>
        </w:rPr>
        <w:t xml:space="preserve">, and could be supported by the </w:t>
      </w:r>
      <w:r w:rsidRPr="00F425DD">
        <w:rPr>
          <w:rFonts w:ascii="Calibri" w:eastAsia="宋体" w:hAnsi="Calibri" w:cs="Calibri"/>
          <w:color w:val="000000"/>
        </w:rPr>
        <w:t xml:space="preserve">strong correlation </w:t>
      </w:r>
      <w:r>
        <w:rPr>
          <w:rFonts w:ascii="Calibri" w:eastAsia="宋体" w:hAnsi="Calibri" w:cs="Calibri" w:hint="eastAsia"/>
          <w:color w:val="000000"/>
        </w:rPr>
        <w:t>between the hub-height speed and</w:t>
      </w:r>
      <w:r w:rsidRPr="00F425DD">
        <w:rPr>
          <w:rFonts w:ascii="Calibri" w:eastAsia="宋体" w:hAnsi="Calibri" w:cs="Calibri"/>
          <w:color w:val="000000"/>
        </w:rPr>
        <w:t xml:space="preserve"> </w:t>
      </w:r>
      <w:r>
        <w:rPr>
          <w:rFonts w:ascii="Calibri" w:eastAsia="宋体" w:hAnsi="Calibri" w:cs="Calibri" w:hint="eastAsia"/>
          <w:color w:val="000000"/>
        </w:rPr>
        <w:t xml:space="preserve">single turbine </w:t>
      </w:r>
      <w:r w:rsidRPr="00F425DD">
        <w:rPr>
          <w:rFonts w:ascii="Calibri" w:eastAsia="宋体" w:hAnsi="Calibri" w:cs="Calibri"/>
          <w:color w:val="000000"/>
        </w:rPr>
        <w:t>power</w:t>
      </w:r>
      <w:r>
        <w:rPr>
          <w:rFonts w:ascii="Calibri" w:eastAsia="宋体" w:hAnsi="Calibri" w:cs="Calibri" w:hint="eastAsia"/>
          <w:color w:val="000000"/>
        </w:rPr>
        <w:t xml:space="preserve">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noProof/>
          <w:color w:val="000000"/>
        </w:rPr>
        <w:t>(Clifton et al., 2013)</w:t>
      </w:r>
      <w:r>
        <w:rPr>
          <w:rFonts w:ascii="Calibri" w:eastAsia="宋体" w:hAnsi="Calibri" w:cs="Calibri"/>
          <w:color w:val="000000"/>
        </w:rPr>
        <w:fldChar w:fldCharType="end"/>
      </w:r>
      <w:r w:rsidRPr="00EC629C">
        <w:rPr>
          <w:rFonts w:ascii="Calibri" w:eastAsia="宋体" w:hAnsi="Calibri" w:cs="Calibri"/>
          <w:color w:val="000000"/>
        </w:rPr>
        <w:t>. However, this simplification is increasingly challenged by the complex wind farm environments. Since wind farms operate in a boundary layer marked by significant spatial heterogeneity</w:t>
      </w:r>
      <w:r>
        <w:rPr>
          <w:rFonts w:ascii="Calibri" w:eastAsia="宋体" w:hAnsi="Calibri" w:cs="Calibri" w:hint="eastAsia"/>
          <w:color w:val="000000"/>
        </w:rPr>
        <w:t xml:space="preserve"> of </w:t>
      </w:r>
      <w:proofErr w:type="spellStart"/>
      <w:r>
        <w:rPr>
          <w:rFonts w:ascii="Calibri" w:eastAsia="宋体" w:hAnsi="Calibri" w:cs="Calibri" w:hint="eastAsia"/>
          <w:color w:val="000000"/>
        </w:rPr>
        <w:t>meterological</w:t>
      </w:r>
      <w:proofErr w:type="spellEnd"/>
      <w:r>
        <w:rPr>
          <w:rFonts w:ascii="Calibri" w:eastAsia="宋体" w:hAnsi="Calibri" w:cs="Calibri" w:hint="eastAsia"/>
          <w:color w:val="000000"/>
        </w:rPr>
        <w:t xml:space="preserve"> physics</w:t>
      </w:r>
      <w:r w:rsidRPr="00EC629C">
        <w:rPr>
          <w:rFonts w:ascii="Calibri" w:eastAsia="宋体" w:hAnsi="Calibri" w:cs="Calibri"/>
          <w:color w:val="000000"/>
        </w:rPr>
        <w:t xml:space="preserve">, power forecasting based solely on hub-height </w:t>
      </w:r>
      <w:r>
        <w:rPr>
          <w:rFonts w:ascii="Calibri" w:eastAsia="宋体" w:hAnsi="Calibri" w:cs="Calibri" w:hint="eastAsia"/>
          <w:color w:val="000000"/>
        </w:rPr>
        <w:t xml:space="preserve">wind speed </w:t>
      </w:r>
      <w:proofErr w:type="spellStart"/>
      <w:r w:rsidRPr="00EC629C">
        <w:rPr>
          <w:rFonts w:ascii="Calibri" w:eastAsia="宋体" w:hAnsi="Calibri" w:cs="Calibri"/>
          <w:color w:val="000000"/>
        </w:rPr>
        <w:t>speed</w:t>
      </w:r>
      <w:proofErr w:type="spellEnd"/>
      <w:r w:rsidRPr="00EC629C">
        <w:rPr>
          <w:rFonts w:ascii="Calibri" w:eastAsia="宋体" w:hAnsi="Calibri" w:cs="Calibri"/>
          <w:color w:val="000000"/>
        </w:rPr>
        <w:t xml:space="preserve"> lacks reliability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{"citationID":"iBoz99op","properties":{"formattedCitation":"(Buhan et al., 2016)","plainCitation":"(Buhan et al., 2016)","noteIndex":0},"citationItems":[{"id":1746,"uris":["http://zotero.org/users/14274501/items/ECRFFUKQ"],"itemData":{"id":1746,"type":"article-journal","abstract":"A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ﬁrst, NWP data are combined using adaptive boosting (AdaBoost) machine-learning algorithm to provide a proper combination of meteorological grid data from a set of grids around each WPP. Then, combined grid data are clustered, and for each cluster, an artiﬁcial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ﬁnal 48-h-ahead wind-electric power forecasts. The proposed model has been successfully applied to seven WPPs with installed capacities in the range from 10 to </w:instrText>
      </w:r>
      <w:r>
        <w:rPr>
          <w:rFonts w:ascii="Cambria Math" w:eastAsia="宋体" w:hAnsi="Cambria Math" w:cs="Cambria Math"/>
          <w:color w:val="000000"/>
        </w:rPr>
        <w:instrText>∼</w:instrText>
      </w:r>
      <w:r>
        <w:rPr>
          <w:rFonts w:ascii="Calibri" w:eastAsia="宋体" w:hAnsi="Calibri" w:cs="Calibri"/>
          <w:color w:val="000000"/>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noProof/>
          <w:color w:val="000000"/>
        </w:rPr>
        <w:t>(Buhan et al., 2016)</w:t>
      </w:r>
      <w:r>
        <w:rPr>
          <w:rFonts w:ascii="Calibri" w:eastAsia="宋体" w:hAnsi="Calibri" w:cs="Calibri"/>
          <w:color w:val="000000"/>
        </w:rPr>
        <w:fldChar w:fldCharType="end"/>
      </w:r>
      <w:r w:rsidRPr="00EC629C">
        <w:rPr>
          <w:rFonts w:ascii="Calibri" w:eastAsia="宋体" w:hAnsi="Calibri" w:cs="Calibri"/>
          <w:color w:val="000000"/>
        </w:rPr>
        <w:t xml:space="preserve">. </w:t>
      </w:r>
      <w:r w:rsidRPr="003B2E39">
        <w:rPr>
          <w:rFonts w:ascii="Calibri" w:eastAsia="宋体" w:hAnsi="Calibri" w:cs="Calibri"/>
          <w:color w:val="000000"/>
        </w:rPr>
        <w:t xml:space="preserve">Physical studies have demonstrated that the rotor-equivalent wind speed (REWS) </w:t>
      </w:r>
      <w:r w:rsidRPr="003B2E39">
        <w:rPr>
          <w:rFonts w:ascii="Calibri" w:eastAsia="宋体" w:hAnsi="Calibri" w:cs="Calibri"/>
          <w:color w:val="000000"/>
        </w:rPr>
        <w:fldChar w:fldCharType="begin"/>
      </w:r>
      <w:r w:rsidRPr="003B2E39">
        <w:rPr>
          <w:rFonts w:ascii="Calibri" w:eastAsia="宋体" w:hAnsi="Calibri" w:cs="Calibri"/>
          <w:color w:val="000000"/>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Pr="003B2E39">
        <w:rPr>
          <w:rFonts w:ascii="Calibri" w:eastAsia="宋体" w:hAnsi="Calibri" w:cs="Calibri" w:hint="eastAsia"/>
          <w:color w:val="000000"/>
        </w:rPr>
        <w:instrText>‐</w:instrText>
      </w:r>
      <w:r w:rsidRPr="003B2E39">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sidRPr="003B2E39">
        <w:rPr>
          <w:rFonts w:ascii="Calibri" w:eastAsia="宋体" w:hAnsi="Calibri" w:cs="Calibri" w:hint="eastAsia"/>
          <w:color w:val="000000"/>
        </w:rPr>
        <w:instrText>‐</w:instrText>
      </w:r>
      <w:r w:rsidRPr="003B2E39">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Pr="003B2E39">
        <w:rPr>
          <w:rFonts w:ascii="Calibri" w:eastAsia="宋体" w:hAnsi="Calibri" w:cs="Calibri" w:hint="eastAsia"/>
          <w:color w:val="000000"/>
        </w:rPr>
        <w:instrText>ount. Electrical power is found to correlate significantly better to the equivalent wind speed than to the single point hub</w:instrText>
      </w:r>
      <w:r w:rsidRPr="003B2E39">
        <w:rPr>
          <w:rFonts w:ascii="Calibri" w:eastAsia="宋体" w:hAnsi="Calibri" w:cs="Calibri" w:hint="eastAsia"/>
          <w:color w:val="000000"/>
        </w:rPr>
        <w:instrText>‐</w:instrText>
      </w:r>
      <w:r w:rsidRPr="003B2E39">
        <w:rPr>
          <w:rFonts w:ascii="Calibri" w:eastAsia="宋体" w:hAnsi="Calibri" w:cs="Calibri" w:hint="eastAsia"/>
          <w:color w:val="000000"/>
        </w:rPr>
        <w:instrText>height wind speed. Copyright © 2008 John Wiley &amp; Sons, Ltd.","container-title":"Wind Energy","DOI":"10.1002/we.297","ISSN":"1095-42</w:instrText>
      </w:r>
      <w:r w:rsidRPr="003B2E39">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Pr="003B2E39">
        <w:rPr>
          <w:rFonts w:ascii="Calibri" w:eastAsia="宋体" w:hAnsi="Calibri" w:cs="Calibri"/>
          <w:color w:val="000000"/>
        </w:rPr>
        <w:fldChar w:fldCharType="separate"/>
      </w:r>
      <w:r w:rsidRPr="003B2E39">
        <w:rPr>
          <w:rFonts w:ascii="Calibri" w:hAnsi="Calibri" w:cs="Calibri"/>
        </w:rPr>
        <w:t>(Wagner et al., 2009)</w:t>
      </w:r>
      <w:r w:rsidRPr="003B2E39">
        <w:rPr>
          <w:rFonts w:ascii="Calibri" w:eastAsia="宋体" w:hAnsi="Calibri" w:cs="Calibri"/>
          <w:color w:val="000000"/>
        </w:rPr>
        <w:fldChar w:fldCharType="end"/>
      </w:r>
      <w:r w:rsidRPr="003B2E39">
        <w:rPr>
          <w:rFonts w:ascii="Calibri" w:eastAsia="宋体" w:hAnsi="Calibri" w:cs="Calibri" w:hint="eastAsia"/>
          <w:color w:val="000000"/>
        </w:rPr>
        <w:t xml:space="preserve">, which integrates wind profile across the swept area of </w:t>
      </w:r>
      <w:r w:rsidRPr="003B2E39">
        <w:rPr>
          <w:rFonts w:ascii="Calibri" w:eastAsia="宋体" w:hAnsi="Calibri" w:cs="Calibri"/>
          <w:color w:val="000000"/>
        </w:rPr>
        <w:t>blades</w:t>
      </w:r>
      <w:r w:rsidRPr="003B2E39">
        <w:rPr>
          <w:rFonts w:ascii="Calibri" w:eastAsia="宋体" w:hAnsi="Calibri" w:cs="Calibri" w:hint="eastAsia"/>
          <w:color w:val="000000"/>
        </w:rPr>
        <w:t xml:space="preserve">, </w:t>
      </w:r>
      <w:r w:rsidRPr="003B2E39">
        <w:rPr>
          <w:rFonts w:ascii="Calibri" w:eastAsia="宋体" w:hAnsi="Calibri" w:cs="Calibri"/>
          <w:color w:val="000000"/>
        </w:rPr>
        <w:t>outperforms single-</w:t>
      </w:r>
      <w:r w:rsidRPr="003B2E39">
        <w:rPr>
          <w:rFonts w:ascii="Calibri" w:eastAsia="宋体" w:hAnsi="Calibri" w:cs="Calibri" w:hint="eastAsia"/>
          <w:color w:val="000000"/>
        </w:rPr>
        <w:t>height</w:t>
      </w:r>
      <w:r w:rsidRPr="003B2E39">
        <w:rPr>
          <w:rFonts w:ascii="Calibri" w:eastAsia="宋体" w:hAnsi="Calibri" w:cs="Calibri"/>
          <w:color w:val="000000"/>
        </w:rPr>
        <w:t xml:space="preserve"> measurements</w:t>
      </w:r>
      <w:r w:rsidRPr="003B2E39">
        <w:rPr>
          <w:rFonts w:ascii="Calibri" w:eastAsia="宋体" w:hAnsi="Calibri" w:cs="Calibri" w:hint="eastAsia"/>
          <w:color w:val="000000"/>
        </w:rPr>
        <w:t xml:space="preserve"> in forecasting farm-scale power</w:t>
      </w:r>
      <w:r w:rsidRPr="003B2E39">
        <w:rPr>
          <w:rFonts w:ascii="Calibri" w:eastAsia="宋体" w:hAnsi="Calibri" w:cs="Calibri"/>
          <w:color w:val="000000"/>
        </w:rPr>
        <w:t xml:space="preserve"> </w:t>
      </w:r>
      <w:r w:rsidRPr="003B2E39">
        <w:rPr>
          <w:rFonts w:ascii="Calibri" w:eastAsia="宋体" w:hAnsi="Calibri" w:cs="Calibri"/>
          <w:color w:val="000000"/>
        </w:rPr>
        <w:fldChar w:fldCharType="begin"/>
      </w:r>
      <w:r w:rsidRPr="003B2E39">
        <w:rPr>
          <w:rFonts w:ascii="Calibri" w:eastAsia="宋体" w:hAnsi="Calibri" w:cs="Calibri"/>
          <w:color w:val="000000"/>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Pr="003B2E39">
        <w:rPr>
          <w:rFonts w:ascii="Calibri" w:eastAsia="宋体" w:hAnsi="Calibri" w:cs="Calibri"/>
          <w:color w:val="000000"/>
        </w:rPr>
        <w:fldChar w:fldCharType="separate"/>
      </w:r>
      <w:r w:rsidRPr="003B2E39">
        <w:rPr>
          <w:rFonts w:ascii="Calibri" w:eastAsia="宋体" w:hAnsi="Calibri" w:cs="Calibri"/>
          <w:noProof/>
          <w:color w:val="000000"/>
        </w:rPr>
        <w:t>(Sasser et al., 2022)</w:t>
      </w:r>
      <w:r w:rsidRPr="003B2E39">
        <w:rPr>
          <w:rFonts w:ascii="Calibri" w:eastAsia="宋体" w:hAnsi="Calibri" w:cs="Calibri"/>
          <w:color w:val="000000"/>
        </w:rPr>
        <w:fldChar w:fldCharType="end"/>
      </w:r>
      <w:r w:rsidRPr="003B2E39">
        <w:rPr>
          <w:rFonts w:ascii="Calibri" w:eastAsia="宋体" w:hAnsi="Calibri" w:cs="Calibri"/>
          <w:color w:val="000000"/>
        </w:rPr>
        <w:t>.</w:t>
      </w:r>
      <w:r w:rsidRPr="00EC629C">
        <w:rPr>
          <w:rFonts w:ascii="Calibri" w:eastAsia="宋体" w:hAnsi="Calibri" w:cs="Calibri"/>
          <w:color w:val="000000"/>
        </w:rPr>
        <w:t xml:space="preserve"> </w:t>
      </w:r>
      <w:r>
        <w:rPr>
          <w:rFonts w:ascii="Calibri" w:eastAsia="宋体" w:hAnsi="Calibri" w:cs="Calibri" w:hint="eastAsia"/>
          <w:color w:val="000000"/>
        </w:rPr>
        <w:t>Moreover</w:t>
      </w:r>
      <w:r w:rsidRPr="00EC629C">
        <w:rPr>
          <w:rFonts w:ascii="Calibri" w:eastAsia="宋体" w:hAnsi="Calibri" w:cs="Calibri"/>
          <w:color w:val="000000"/>
        </w:rPr>
        <w:t xml:space="preserve">, atmospheric stability can induce 15–20% power variation at the same wind speed, with turbulent kinetic energy identified as a dominant modulation factor </w:t>
      </w:r>
      <w:r w:rsidRPr="00FD3B7A">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{"citationID":"9cdtqIlW","properties":{"formattedCitation":"(Wharton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Pr="00FD3B7A">
        <w:rPr>
          <w:rFonts w:ascii="Calibri" w:eastAsia="宋体" w:hAnsi="Calibri" w:cs="Calibri"/>
          <w:color w:val="000000"/>
        </w:rPr>
        <w:fldChar w:fldCharType="separate"/>
      </w:r>
      <w:r w:rsidRPr="00FD3B7A">
        <w:rPr>
          <w:rFonts w:ascii="Calibri" w:eastAsia="宋体" w:hAnsi="Calibri" w:cs="Calibri"/>
          <w:noProof/>
          <w:color w:val="000000"/>
        </w:rPr>
        <w:t>(Wharton &amp; Lundquist, 2012)</w:t>
      </w:r>
      <w:r w:rsidRPr="00FD3B7A">
        <w:rPr>
          <w:rFonts w:ascii="Calibri" w:eastAsia="宋体" w:hAnsi="Calibri" w:cs="Calibri"/>
          <w:color w:val="000000"/>
        </w:rPr>
        <w:fldChar w:fldCharType="end"/>
      </w:r>
      <w:r w:rsidRPr="00EC629C">
        <w:rPr>
          <w:rFonts w:ascii="Calibri" w:eastAsia="宋体" w:hAnsi="Calibri" w:cs="Calibri"/>
          <w:color w:val="000000"/>
        </w:rPr>
        <w:t>.</w:t>
      </w:r>
    </w:p>
    <w:p w14:paraId="626597CF" w14:textId="0270DFF6" w:rsidR="007D1384" w:rsidRDefault="007D1384" w:rsidP="002F3B11">
      <w:pPr>
        <w:pStyle w:val="Text"/>
        <w:rPr>
          <w:rFonts w:ascii="Calibri" w:eastAsia="宋体" w:hAnsi="Calibri" w:cs="Calibri"/>
          <w:color w:val="000000"/>
        </w:rPr>
      </w:pPr>
      <w:r w:rsidRPr="00EC629C">
        <w:rPr>
          <w:rFonts w:ascii="Calibri" w:eastAsia="宋体" w:hAnsi="Calibri" w:cs="Calibri"/>
          <w:color w:val="000000"/>
        </w:rPr>
        <w:t xml:space="preserve">The complexity is further amplified by flow regimes. Wind farms </w:t>
      </w:r>
      <w:r>
        <w:rPr>
          <w:rFonts w:ascii="Calibri" w:eastAsia="宋体" w:hAnsi="Calibri" w:cs="Calibri" w:hint="eastAsia"/>
          <w:color w:val="000000"/>
        </w:rPr>
        <w:t xml:space="preserve">run in the regions </w:t>
      </w:r>
      <w:r w:rsidRPr="00EC629C">
        <w:rPr>
          <w:rFonts w:ascii="Calibri" w:eastAsia="宋体" w:hAnsi="Calibri" w:cs="Calibri"/>
          <w:color w:val="000000"/>
        </w:rPr>
        <w:t xml:space="preserve">encompass both free-stream </w:t>
      </w:r>
      <w:r>
        <w:rPr>
          <w:rFonts w:ascii="Calibri" w:eastAsia="宋体" w:hAnsi="Calibri" w:cs="Calibri" w:hint="eastAsia"/>
          <w:color w:val="000000"/>
        </w:rPr>
        <w:t>wake-</w:t>
      </w:r>
      <w:proofErr w:type="spellStart"/>
      <w:r>
        <w:rPr>
          <w:rFonts w:ascii="Calibri" w:eastAsia="宋体" w:hAnsi="Calibri" w:cs="Calibri" w:hint="eastAsia"/>
          <w:color w:val="000000"/>
        </w:rPr>
        <w:t>influeced</w:t>
      </w:r>
      <w:proofErr w:type="spellEnd"/>
      <w:r>
        <w:rPr>
          <w:rFonts w:ascii="Calibri" w:eastAsia="宋体" w:hAnsi="Calibri" w:cs="Calibri" w:hint="eastAsia"/>
          <w:color w:val="000000"/>
        </w:rPr>
        <w:t xml:space="preserve"> </w:t>
      </w:r>
      <w:r w:rsidRPr="00EC629C">
        <w:rPr>
          <w:rFonts w:ascii="Calibri" w:eastAsia="宋体" w:hAnsi="Calibri" w:cs="Calibri"/>
          <w:color w:val="000000"/>
        </w:rPr>
        <w:t>flow</w:t>
      </w:r>
      <w:r>
        <w:rPr>
          <w:rFonts w:ascii="Calibri" w:eastAsia="宋体" w:hAnsi="Calibri" w:cs="Calibri" w:hint="eastAsia"/>
          <w:color w:val="000000"/>
        </w:rPr>
        <w:t>s</w:t>
      </w:r>
      <w:r w:rsidRPr="00EC629C">
        <w:rPr>
          <w:rFonts w:ascii="Calibri" w:eastAsia="宋体" w:hAnsi="Calibri" w:cs="Calibri"/>
          <w:color w:val="000000"/>
        </w:rPr>
        <w:t>. Turbine wake interactions can cause 10–20% power losses and induce elevated turbulence intensity</w:t>
      </w:r>
      <w:r>
        <w:rPr>
          <w:rFonts w:ascii="Calibri" w:eastAsia="宋体" w:hAnsi="Calibri" w:cs="Calibri" w:hint="eastAsia"/>
          <w:color w:val="000000"/>
        </w:rPr>
        <w:t xml:space="preserve"> </w:t>
      </w:r>
      <w:r w:rsidRPr="00FD3B7A">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Pr>
          <w:rFonts w:ascii="Calibri" w:eastAsia="宋体" w:hAnsi="Calibri" w:cs="Calibri" w:hint="eastAsia"/>
          <w:color w:val="000000"/>
        </w:rPr>
        <w:instrText>‐</w:instrText>
      </w:r>
      <w:r>
        <w:rPr>
          <w:rFonts w:ascii="Calibri" w:eastAsia="宋体" w:hAnsi="Calibri" w:cs="Calibri" w:hint="eastAsia"/>
          <w:color w:val="000000"/>
        </w:rPr>
        <w:instrText>of</w:instrText>
      </w:r>
      <w:r>
        <w:rPr>
          <w:rFonts w:ascii="Calibri" w:eastAsia="宋体" w:hAnsi="Calibri" w:cs="Calibri" w:hint="eastAsia"/>
          <w:color w:val="000000"/>
        </w:rPr>
        <w:instrText>‐</w:instrText>
      </w:r>
      <w:r>
        <w:rPr>
          <w:rFonts w:ascii="Calibri" w:eastAsia="宋体" w:hAnsi="Calibri" w:cs="Calibri" w:hint="eastAsia"/>
          <w:color w:val="000000"/>
        </w:rPr>
        <w:instrText>the</w:instrText>
      </w:r>
      <w:r>
        <w:rPr>
          <w:rFonts w:ascii="Calibri" w:eastAsia="宋体" w:hAnsi="Calibri" w:cs="Calibri" w:hint="eastAsia"/>
          <w:color w:val="000000"/>
        </w:rPr>
        <w:instrText>‐</w:instrText>
      </w:r>
      <w:r>
        <w:rPr>
          <w:rFonts w:ascii="Calibri" w:eastAsia="宋体" w:hAnsi="Calibri" w:cs="Calibri" w:hint="eastAsia"/>
          <w:color w:val="000000"/>
        </w:rPr>
        <w:instrText>art models. Observed power losses due solely to wakes are approximately 10% on average. Thes</w:instrText>
      </w:r>
      <w:r>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Pr>
          <w:rFonts w:ascii="Calibri" w:eastAsia="宋体" w:hAnsi="Calibri" w:cs="Calibri" w:hint="eastAsia"/>
          <w:color w:val="000000"/>
        </w:rPr>
        <w:instrText>:"M. N."},{"family":"Pryor","given":"S. C."},{"family":"Rethore","given":"P.</w:instrText>
      </w:r>
      <w:r>
        <w:rPr>
          <w:rFonts w:ascii="Calibri" w:eastAsia="宋体" w:hAnsi="Calibri" w:cs="Calibri" w:hint="eastAsia"/>
          <w:color w:val="000000"/>
        </w:rPr>
        <w:instrText>‐</w:instrText>
      </w:r>
      <w:r>
        <w:rPr>
          <w:rFonts w:ascii="Calibri" w:eastAsia="宋体" w:hAnsi="Calibri" w:cs="Calibri" w:hint="eastAsia"/>
          <w:color w:val="000000"/>
        </w:rPr>
        <w:instrText>E."},{"family":"Jørgensen","given":"H. E."}],"issued":{"date-parts":[["2007",11]]}}},{"id":1748,"uris":["http://zotero.org/users/14274501/items/IK6DQM6L"],"itemData":{"id":1748,"</w:instrText>
      </w:r>
      <w:r>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Pr="00FD3B7A">
        <w:rPr>
          <w:rFonts w:ascii="Calibri" w:eastAsia="宋体" w:hAnsi="Calibri" w:cs="Calibri"/>
          <w:color w:val="000000"/>
        </w:rPr>
        <w:fldChar w:fldCharType="separate"/>
      </w:r>
      <w:r w:rsidRPr="00FD3B7A">
        <w:rPr>
          <w:rFonts w:ascii="Calibri" w:eastAsia="宋体" w:hAnsi="Calibri" w:cs="Calibri"/>
          <w:noProof/>
          <w:color w:val="000000"/>
        </w:rPr>
        <w:t>(Barthelmie et al., 2007; Feroz et al., 2020)</w:t>
      </w:r>
      <w:r w:rsidRPr="00FD3B7A">
        <w:rPr>
          <w:rFonts w:ascii="Calibri" w:eastAsia="宋体" w:hAnsi="Calibri" w:cs="Calibri"/>
          <w:color w:val="000000"/>
        </w:rPr>
        <w:fldChar w:fldCharType="end"/>
      </w:r>
      <w:r w:rsidRPr="00EC629C">
        <w:rPr>
          <w:rFonts w:ascii="Calibri" w:eastAsia="宋体" w:hAnsi="Calibri" w:cs="Calibri"/>
          <w:color w:val="000000"/>
        </w:rPr>
        <w:t xml:space="preserve">, meaning that the physical drivers of power production fluctuate dynamically with </w:t>
      </w:r>
      <w:r>
        <w:rPr>
          <w:rFonts w:ascii="Calibri" w:eastAsia="宋体" w:hAnsi="Calibri" w:cs="Calibri"/>
          <w:color w:val="000000"/>
        </w:rPr>
        <w:t>flow regime</w:t>
      </w:r>
      <w:r w:rsidRPr="00EC629C">
        <w:rPr>
          <w:rFonts w:ascii="Calibri" w:eastAsia="宋体" w:hAnsi="Calibri" w:cs="Calibri"/>
          <w:color w:val="000000"/>
        </w:rPr>
        <w:t xml:space="preserve"> and atmospheric stability. </w:t>
      </w:r>
      <w:r>
        <w:rPr>
          <w:rFonts w:ascii="Calibri" w:eastAsia="宋体" w:hAnsi="Calibri" w:cs="Calibri" w:hint="eastAsia"/>
          <w:color w:val="000000"/>
        </w:rPr>
        <w:t>More</w:t>
      </w:r>
      <w:r w:rsidRPr="002F721D">
        <w:rPr>
          <w:rFonts w:ascii="Calibri" w:eastAsia="宋体" w:hAnsi="Calibri" w:cs="Calibri"/>
          <w:color w:val="000000"/>
        </w:rPr>
        <w:t xml:space="preserve"> recent</w:t>
      </w:r>
      <w:r>
        <w:rPr>
          <w:rFonts w:ascii="Calibri" w:eastAsia="宋体" w:hAnsi="Calibri" w:cs="Calibri" w:hint="eastAsia"/>
          <w:color w:val="000000"/>
        </w:rPr>
        <w:t>ly,</w:t>
      </w:r>
      <w:r w:rsidRPr="002F721D">
        <w:rPr>
          <w:rFonts w:ascii="Calibri" w:eastAsia="宋体" w:hAnsi="Calibri" w:cs="Calibri"/>
          <w:color w:val="000000"/>
        </w:rPr>
        <w:t xml:space="preserve"> explainable</w:t>
      </w:r>
      <w:r>
        <w:rPr>
          <w:rFonts w:ascii="Calibri" w:eastAsia="宋体" w:hAnsi="Calibri" w:cs="Calibri" w:hint="eastAsia"/>
          <w:color w:val="000000"/>
        </w:rPr>
        <w:t xml:space="preserve"> </w:t>
      </w:r>
      <w:r w:rsidRPr="002F721D">
        <w:rPr>
          <w:rFonts w:ascii="Calibri" w:eastAsia="宋体" w:hAnsi="Calibri" w:cs="Calibri"/>
          <w:color w:val="000000"/>
        </w:rPr>
        <w:t>AI studies</w:t>
      </w:r>
      <w:r>
        <w:rPr>
          <w:rFonts w:ascii="Calibri" w:eastAsia="宋体" w:hAnsi="Calibri" w:cs="Calibri" w:hint="eastAsia"/>
          <w:color w:val="000000"/>
        </w:rPr>
        <w:t xml:space="preserve"> ranked </w:t>
      </w:r>
      <w:r w:rsidRPr="002F721D">
        <w:rPr>
          <w:rFonts w:ascii="Calibri" w:eastAsia="宋体" w:hAnsi="Calibri" w:cs="Calibri"/>
          <w:color w:val="000000"/>
        </w:rPr>
        <w:t>turbulent variables (</w:t>
      </w:r>
      <w:r>
        <w:rPr>
          <w:rFonts w:ascii="Calibri" w:eastAsia="宋体" w:hAnsi="Calibri" w:cs="Calibri" w:hint="eastAsia"/>
          <w:color w:val="000000"/>
        </w:rPr>
        <w:t xml:space="preserve">i.e., </w:t>
      </w:r>
      <w:r w:rsidRPr="002F721D">
        <w:rPr>
          <w:rFonts w:ascii="Calibri" w:eastAsia="宋体" w:hAnsi="Calibri" w:cs="Calibri"/>
          <w:color w:val="000000"/>
        </w:rPr>
        <w:t>turbulent kinetic energy and turbulence intensity)</w:t>
      </w:r>
      <w:r>
        <w:rPr>
          <w:rFonts w:ascii="Calibri" w:eastAsia="宋体" w:hAnsi="Calibri" w:cs="Calibri" w:hint="eastAsia"/>
          <w:color w:val="000000"/>
        </w:rPr>
        <w:t xml:space="preserve"> just behind wind speed in predicting farm-scale power </w:t>
      </w:r>
      <w:r>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rPr>
        <w:fldChar w:fldCharType="separate"/>
      </w:r>
      <w:r>
        <w:rPr>
          <w:rFonts w:ascii="Calibri" w:eastAsia="宋体" w:hAnsi="Calibri" w:cs="Calibri"/>
          <w:noProof/>
          <w:color w:val="000000"/>
        </w:rPr>
        <w:t>(Optis &amp; Perr-Sauer, 2019; Kim &amp; Kim, 2023)</w:t>
      </w:r>
      <w:r>
        <w:rPr>
          <w:rFonts w:ascii="Calibri" w:eastAsia="宋体" w:hAnsi="Calibri" w:cs="Calibri"/>
          <w:color w:val="000000"/>
        </w:rPr>
        <w:fldChar w:fldCharType="end"/>
      </w:r>
      <w:r>
        <w:rPr>
          <w:rFonts w:ascii="Calibri" w:eastAsia="宋体" w:hAnsi="Calibri" w:cs="Calibri" w:hint="eastAsia"/>
          <w:color w:val="000000"/>
        </w:rPr>
        <w:t xml:space="preserve">. </w:t>
      </w:r>
      <w:r w:rsidRPr="00EC629C">
        <w:rPr>
          <w:rFonts w:ascii="Calibri" w:eastAsia="宋体" w:hAnsi="Calibri" w:cs="Calibri"/>
          <w:color w:val="000000"/>
        </w:rPr>
        <w:t xml:space="preserve">Despite these insights, a gap remains in translating physical knowledge into data-driven forecasting. Most deep learning studies </w:t>
      </w:r>
      <w:r>
        <w:rPr>
          <w:rFonts w:ascii="Calibri" w:eastAsia="宋体" w:hAnsi="Calibri" w:cs="Calibri" w:hint="eastAsia"/>
          <w:color w:val="000000"/>
        </w:rPr>
        <w:t>using</w:t>
      </w:r>
      <w:r w:rsidRPr="00EC629C">
        <w:rPr>
          <w:rFonts w:ascii="Calibri" w:eastAsia="宋体" w:hAnsi="Calibri" w:cs="Calibri"/>
          <w:color w:val="000000"/>
        </w:rPr>
        <w:t xml:space="preserve"> multi-height data</w:t>
      </w:r>
      <w:r>
        <w:rPr>
          <w:rFonts w:ascii="Calibri" w:eastAsia="宋体" w:hAnsi="Calibri" w:cs="Calibri" w:hint="eastAsia"/>
          <w:color w:val="000000"/>
        </w:rPr>
        <w:t xml:space="preserve"> to forecast</w:t>
      </w:r>
      <w:r w:rsidRPr="00EC629C">
        <w:rPr>
          <w:rFonts w:ascii="Calibri" w:eastAsia="宋体" w:hAnsi="Calibri" w:cs="Calibri"/>
          <w:color w:val="000000"/>
        </w:rPr>
        <w:t xml:space="preserve"> </w:t>
      </w:r>
      <w:r>
        <w:rPr>
          <w:rFonts w:ascii="Calibri" w:eastAsia="宋体" w:hAnsi="Calibri" w:cs="Calibri" w:hint="eastAsia"/>
          <w:color w:val="000000"/>
        </w:rPr>
        <w:t>did not</w:t>
      </w:r>
      <w:r w:rsidRPr="00EC629C">
        <w:rPr>
          <w:rFonts w:ascii="Calibri" w:eastAsia="宋体" w:hAnsi="Calibri" w:cs="Calibri"/>
          <w:color w:val="000000"/>
        </w:rPr>
        <w:t xml:space="preserve"> distinguish between flow regimes. This lack of mechanistic differentiation fails to explain persistent anomalies, such as the unexplained high correlation between near-surface winds (e.g., </w:t>
      </w:r>
      <w:r>
        <w:rPr>
          <w:rFonts w:ascii="Calibri" w:eastAsia="宋体" w:hAnsi="Calibri" w:cs="Calibri" w:hint="eastAsia"/>
          <w:color w:val="000000"/>
        </w:rPr>
        <w:t>10-m-height wind speed</w:t>
      </w:r>
      <w:r>
        <w:rPr>
          <w:rFonts w:ascii="Calibri" w:eastAsia="宋体" w:hAnsi="Calibri" w:cs="Calibri"/>
          <w:color w:val="000000"/>
        </w:rPr>
        <w:t xml:space="preserve">) and total power output </w:t>
      </w:r>
      <w:r w:rsidRPr="00FD3B7A">
        <w:rPr>
          <w:rFonts w:ascii="Calibri" w:eastAsia="宋体" w:hAnsi="Calibri" w:cs="Calibri"/>
          <w:color w:val="000000"/>
        </w:rPr>
        <w:fldChar w:fldCharType="begin"/>
      </w:r>
      <w:r>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Pr="00FD3B7A">
        <w:rPr>
          <w:rFonts w:ascii="Calibri" w:eastAsia="宋体" w:hAnsi="Calibri" w:cs="Calibri"/>
          <w:color w:val="000000"/>
        </w:rPr>
        <w:fldChar w:fldCharType="separate"/>
      </w:r>
      <w:r w:rsidRPr="00FD3B7A">
        <w:rPr>
          <w:rFonts w:ascii="Calibri" w:eastAsia="宋体" w:hAnsi="Calibri" w:cs="Calibri"/>
          <w:noProof/>
          <w:color w:val="000000"/>
        </w:rPr>
        <w:t>(Rubanenko et al., 2020; Chen &amp; Xu, 2022)</w:t>
      </w:r>
      <w:r w:rsidRPr="00FD3B7A">
        <w:rPr>
          <w:rFonts w:ascii="Calibri" w:eastAsia="宋体" w:hAnsi="Calibri" w:cs="Calibri"/>
          <w:color w:val="000000"/>
        </w:rPr>
        <w:fldChar w:fldCharType="end"/>
      </w:r>
      <w:r w:rsidRPr="00EC629C">
        <w:rPr>
          <w:rFonts w:ascii="Calibri" w:eastAsia="宋体" w:hAnsi="Calibri" w:cs="Calibri"/>
          <w:color w:val="000000"/>
        </w:rPr>
        <w:t>.</w:t>
      </w:r>
    </w:p>
    <w:p w14:paraId="3F4C890E" w14:textId="5275ADBE" w:rsidR="007D1384" w:rsidRPr="00850691" w:rsidRDefault="007D1384" w:rsidP="002F3B11">
      <w:pPr>
        <w:pStyle w:val="Text"/>
        <w:rPr>
          <w:rFonts w:asciiTheme="minorHAnsi" w:hAnsiTheme="minorHAnsi" w:cstheme="minorHAnsi"/>
        </w:rPr>
      </w:pPr>
      <w:r>
        <w:rPr>
          <w:rFonts w:ascii="Calibri" w:eastAsia="宋体" w:hAnsi="Calibri" w:cs="Calibri" w:hint="eastAsia"/>
          <w:color w:val="000000"/>
        </w:rPr>
        <w:t xml:space="preserve">In this study, for </w:t>
      </w:r>
      <w:r w:rsidRPr="00EC629C">
        <w:rPr>
          <w:rFonts w:ascii="Calibri" w:eastAsia="宋体" w:hAnsi="Calibri" w:cs="Calibri"/>
          <w:color w:val="000000"/>
        </w:rPr>
        <w:t>bridg</w:t>
      </w:r>
      <w:r>
        <w:rPr>
          <w:rFonts w:ascii="Calibri" w:eastAsia="宋体" w:hAnsi="Calibri" w:cs="Calibri" w:hint="eastAsia"/>
          <w:color w:val="000000"/>
        </w:rPr>
        <w:t>ing</w:t>
      </w:r>
      <w:r w:rsidRPr="00EC629C">
        <w:rPr>
          <w:rFonts w:ascii="Calibri" w:eastAsia="宋体" w:hAnsi="Calibri" w:cs="Calibri"/>
          <w:color w:val="000000"/>
        </w:rPr>
        <w:t xml:space="preserve"> the gap between atmospheric flow physics and </w:t>
      </w:r>
      <w:r>
        <w:rPr>
          <w:rFonts w:ascii="Calibri" w:eastAsia="宋体" w:hAnsi="Calibri" w:cs="Calibri" w:hint="eastAsia"/>
          <w:color w:val="000000"/>
        </w:rPr>
        <w:t xml:space="preserve">farm-scale power forecasting, we developed a deep learning-based </w:t>
      </w:r>
      <w:r w:rsidRPr="00EC629C">
        <w:rPr>
          <w:rFonts w:ascii="Calibri" w:eastAsia="宋体" w:hAnsi="Calibri" w:cs="Calibri"/>
          <w:color w:val="000000"/>
        </w:rPr>
        <w:t>quantitative framework</w:t>
      </w:r>
      <w:r>
        <w:rPr>
          <w:rFonts w:ascii="Calibri" w:eastAsia="宋体" w:hAnsi="Calibri" w:cs="Calibri" w:hint="eastAsia"/>
          <w:color w:val="000000"/>
        </w:rPr>
        <w:t xml:space="preserve"> </w:t>
      </w:r>
      <w:r w:rsidRPr="00EC629C">
        <w:rPr>
          <w:rFonts w:ascii="Calibri" w:eastAsia="宋体" w:hAnsi="Calibri" w:cs="Calibri"/>
          <w:color w:val="000000"/>
        </w:rPr>
        <w:t>using wind observations</w:t>
      </w:r>
      <w:r>
        <w:rPr>
          <w:rFonts w:ascii="Calibri" w:eastAsia="宋体" w:hAnsi="Calibri" w:cs="Calibri" w:hint="eastAsia"/>
          <w:color w:val="000000"/>
        </w:rPr>
        <w:t xml:space="preserve"> at multi heights</w:t>
      </w:r>
      <w:r w:rsidRPr="00EC629C">
        <w:rPr>
          <w:rFonts w:ascii="Calibri" w:eastAsia="宋体" w:hAnsi="Calibri" w:cs="Calibri"/>
          <w:color w:val="000000"/>
        </w:rPr>
        <w:t xml:space="preserve"> (</w:t>
      </w:r>
      <w:r>
        <w:rPr>
          <w:rFonts w:ascii="Calibri" w:eastAsia="宋体" w:hAnsi="Calibri" w:cs="Calibri" w:hint="eastAsia"/>
          <w:color w:val="000000"/>
        </w:rPr>
        <w:t xml:space="preserve">i.e., </w:t>
      </w:r>
      <w:r w:rsidRPr="00EC629C">
        <w:rPr>
          <w:rFonts w:ascii="Calibri" w:eastAsia="宋体" w:hAnsi="Calibri" w:cs="Calibri"/>
          <w:color w:val="000000"/>
        </w:rPr>
        <w:t>10, 30, 50</w:t>
      </w:r>
      <w:r>
        <w:rPr>
          <w:rFonts w:ascii="Calibri" w:eastAsia="宋体" w:hAnsi="Calibri" w:cs="Calibri" w:hint="eastAsia"/>
          <w:color w:val="000000"/>
        </w:rPr>
        <w:t>, and</w:t>
      </w:r>
      <w:r w:rsidRPr="00EC629C">
        <w:rPr>
          <w:rFonts w:ascii="Calibri" w:eastAsia="宋体" w:hAnsi="Calibri" w:cs="Calibri"/>
          <w:color w:val="000000"/>
        </w:rPr>
        <w:t xml:space="preserve"> 70 m) </w:t>
      </w:r>
      <w:r>
        <w:rPr>
          <w:rFonts w:ascii="Calibri" w:eastAsia="宋体" w:hAnsi="Calibri" w:cs="Calibri" w:hint="eastAsia"/>
          <w:color w:val="000000"/>
        </w:rPr>
        <w:t>to forecast the</w:t>
      </w:r>
      <w:r w:rsidRPr="00EC629C">
        <w:rPr>
          <w:rFonts w:ascii="Calibri" w:eastAsia="宋体" w:hAnsi="Calibri" w:cs="Calibri"/>
          <w:color w:val="000000"/>
        </w:rPr>
        <w:t xml:space="preserve"> power at a representative wind farm</w:t>
      </w:r>
      <w:r>
        <w:rPr>
          <w:rFonts w:ascii="Calibri" w:eastAsia="宋体" w:hAnsi="Calibri" w:cs="Calibri" w:hint="eastAsia"/>
          <w:color w:val="000000"/>
        </w:rPr>
        <w:t xml:space="preserve">. Our results </w:t>
      </w:r>
      <w:r w:rsidRPr="00EC629C">
        <w:rPr>
          <w:rFonts w:ascii="Calibri" w:eastAsia="宋体" w:hAnsi="Calibri" w:cs="Calibri"/>
          <w:color w:val="000000"/>
        </w:rPr>
        <w:t>demonstrate that incorporating multi-height wind profiles and flow-regime-dependent inputs</w:t>
      </w:r>
      <w:r>
        <w:rPr>
          <w:rFonts w:ascii="Calibri" w:eastAsia="宋体" w:hAnsi="Calibri" w:cs="Calibri" w:hint="eastAsia"/>
          <w:color w:val="000000"/>
        </w:rPr>
        <w:t xml:space="preserve"> </w:t>
      </w:r>
      <w:r w:rsidRPr="00EC629C">
        <w:rPr>
          <w:rFonts w:ascii="Calibri" w:eastAsia="宋体" w:hAnsi="Calibri" w:cs="Calibri"/>
          <w:color w:val="000000"/>
        </w:rPr>
        <w:t xml:space="preserve">specifically differentiating between free-stream and </w:t>
      </w:r>
      <w:r w:rsidRPr="00EC629C">
        <w:rPr>
          <w:rFonts w:ascii="Calibri" w:eastAsia="宋体" w:hAnsi="Calibri" w:cs="Calibri"/>
          <w:color w:val="000000"/>
        </w:rPr>
        <w:lastRenderedPageBreak/>
        <w:t>wake dynamics</w:t>
      </w:r>
      <w:r>
        <w:rPr>
          <w:rFonts w:ascii="Calibri" w:eastAsia="宋体" w:hAnsi="Calibri" w:cs="Calibri" w:hint="eastAsia"/>
          <w:color w:val="000000"/>
        </w:rPr>
        <w:t xml:space="preserve"> could </w:t>
      </w:r>
      <w:r w:rsidRPr="00EC629C">
        <w:rPr>
          <w:rFonts w:ascii="Calibri" w:eastAsia="宋体" w:hAnsi="Calibri" w:cs="Calibri"/>
          <w:color w:val="000000"/>
        </w:rPr>
        <w:t>significantly promote day-ahead forecasting accuracy.</w:t>
      </w:r>
      <w:r>
        <w:rPr>
          <w:rFonts w:ascii="Calibri" w:eastAsia="宋体" w:hAnsi="Calibri" w:cs="Calibri" w:hint="eastAsia"/>
          <w:color w:val="000000"/>
        </w:rPr>
        <w:t xml:space="preserve"> This indicates that </w:t>
      </w:r>
      <w:r w:rsidRPr="00EC629C">
        <w:rPr>
          <w:rFonts w:ascii="Calibri" w:eastAsia="宋体" w:hAnsi="Calibri" w:cs="Calibri"/>
          <w:color w:val="000000"/>
        </w:rPr>
        <w:t xml:space="preserve">the governing atmospheric timescales and vertical structures </w:t>
      </w:r>
      <w:r>
        <w:rPr>
          <w:rFonts w:ascii="Calibri" w:eastAsia="宋体" w:hAnsi="Calibri" w:cs="Calibri" w:hint="eastAsia"/>
          <w:color w:val="000000"/>
        </w:rPr>
        <w:t>are necessary to</w:t>
      </w:r>
      <w:r w:rsidRPr="00EC629C">
        <w:rPr>
          <w:rFonts w:ascii="Calibri" w:eastAsia="宋体" w:hAnsi="Calibri" w:cs="Calibri"/>
          <w:color w:val="000000"/>
        </w:rPr>
        <w:t xml:space="preserve"> be </w:t>
      </w:r>
      <w:r>
        <w:rPr>
          <w:rFonts w:ascii="Calibri" w:eastAsia="宋体" w:hAnsi="Calibri" w:cs="Calibri" w:hint="eastAsia"/>
          <w:color w:val="000000"/>
        </w:rPr>
        <w:t>considered in</w:t>
      </w:r>
      <w:r w:rsidRPr="00EC629C">
        <w:rPr>
          <w:rFonts w:ascii="Calibri" w:eastAsia="宋体" w:hAnsi="Calibri" w:cs="Calibri"/>
          <w:color w:val="000000"/>
        </w:rPr>
        <w:t xml:space="preserve"> feature selection </w:t>
      </w:r>
      <w:r>
        <w:rPr>
          <w:rFonts w:ascii="Calibri" w:eastAsia="宋体" w:hAnsi="Calibri" w:cs="Calibri" w:hint="eastAsia"/>
          <w:color w:val="000000"/>
        </w:rPr>
        <w:t>for deep learning models</w:t>
      </w:r>
      <w:r w:rsidRPr="00EC629C">
        <w:rPr>
          <w:rFonts w:ascii="Calibri" w:eastAsia="宋体" w:hAnsi="Calibri" w:cs="Calibri"/>
          <w:color w:val="000000"/>
        </w:rPr>
        <w:t>.</w:t>
      </w:r>
      <w:r>
        <w:rPr>
          <w:rFonts w:ascii="Calibri" w:eastAsia="宋体" w:hAnsi="Calibri" w:cs="Calibri" w:hint="eastAsia"/>
          <w:color w:val="000000"/>
        </w:rPr>
        <w:t xml:space="preserve"> These findings </w:t>
      </w:r>
      <w:r w:rsidRPr="00EC629C">
        <w:rPr>
          <w:rFonts w:ascii="Calibri" w:eastAsia="宋体" w:hAnsi="Calibri" w:cs="Calibri"/>
          <w:color w:val="000000"/>
        </w:rPr>
        <w:t xml:space="preserve">provide a mechanistic explanation for the relevance of non-hub-height winds and offer practical guidance for improving power forecasting </w:t>
      </w:r>
      <w:r>
        <w:rPr>
          <w:rFonts w:ascii="Calibri" w:eastAsia="宋体" w:hAnsi="Calibri" w:cs="Calibri" w:hint="eastAsia"/>
          <w:color w:val="000000"/>
        </w:rPr>
        <w:t xml:space="preserve">driven by </w:t>
      </w:r>
      <w:r w:rsidRPr="00EC629C">
        <w:rPr>
          <w:rFonts w:ascii="Calibri" w:eastAsia="宋体" w:hAnsi="Calibri" w:cs="Calibri"/>
          <w:color w:val="000000"/>
        </w:rPr>
        <w:t>Numerical Weather Predictio</w:t>
      </w:r>
      <w:r>
        <w:rPr>
          <w:rFonts w:ascii="Calibri" w:eastAsia="宋体" w:hAnsi="Calibri" w:cs="Calibri" w:hint="eastAsia"/>
          <w:color w:val="000000"/>
        </w:rPr>
        <w:t>n</w:t>
      </w:r>
      <w:r>
        <w:rPr>
          <w:rFonts w:ascii="Calibri" w:eastAsia="宋体" w:hAnsi="Calibri" w:cs="Calibri"/>
          <w:color w:val="000000"/>
        </w:rPr>
        <w:t xml:space="preserve"> (NWP)</w:t>
      </w:r>
      <w:r w:rsidRPr="00EC629C">
        <w:rPr>
          <w:rFonts w:ascii="Calibri" w:eastAsia="宋体" w:hAnsi="Calibri" w:cs="Calibri"/>
          <w:color w:val="000000"/>
        </w:rPr>
        <w:t>.</w:t>
      </w:r>
    </w:p>
    <w:p w14:paraId="7A8760A4" w14:textId="6719CD5D"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2 Materials and Methods</w:t>
      </w:r>
    </w:p>
    <w:p w14:paraId="5A16F0D8" w14:textId="537849DE" w:rsidR="002F3B11" w:rsidRPr="00850691" w:rsidRDefault="002F3B11" w:rsidP="00C81368">
      <w:pPr>
        <w:pStyle w:val="Heading-Secondary"/>
        <w:rPr>
          <w:rFonts w:asciiTheme="minorHAnsi" w:hAnsiTheme="minorHAnsi" w:cstheme="minorHAnsi"/>
        </w:rPr>
      </w:pPr>
      <w:r w:rsidRPr="00850691">
        <w:rPr>
          <w:rFonts w:asciiTheme="minorHAnsi" w:hAnsiTheme="minorHAnsi" w:cstheme="minorHAnsi"/>
        </w:rPr>
        <w:t>2.1 A descriptive heading about methods</w:t>
      </w:r>
    </w:p>
    <w:p w14:paraId="6888E72E" w14:textId="4B63B115"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3 Data</w:t>
      </w:r>
      <w:r w:rsidR="00321596" w:rsidRPr="00850691">
        <w:rPr>
          <w:rFonts w:asciiTheme="minorHAnsi" w:hAnsiTheme="minorHAnsi" w:cstheme="minorHAnsi"/>
        </w:rPr>
        <w:t>, or a descriptive heading about data</w:t>
      </w:r>
    </w:p>
    <w:p w14:paraId="6EB77176" w14:textId="29C6E8C0"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4 Results</w:t>
      </w:r>
      <w:r w:rsidR="00321596" w:rsidRPr="00850691">
        <w:rPr>
          <w:rFonts w:asciiTheme="minorHAnsi" w:hAnsiTheme="minorHAnsi" w:cstheme="minorHAnsi"/>
        </w:rPr>
        <w:t>, or a descriptive heading about the results</w:t>
      </w:r>
    </w:p>
    <w:p w14:paraId="69D87446" w14:textId="626865D1"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5 Conclusions</w:t>
      </w:r>
    </w:p>
    <w:p w14:paraId="10A4C485" w14:textId="2DFB6F82" w:rsidR="008A6077" w:rsidRPr="00850691" w:rsidRDefault="007778ED" w:rsidP="00321596">
      <w:pPr>
        <w:pStyle w:val="Note"/>
        <w:rPr>
          <w:rFonts w:asciiTheme="minorHAnsi" w:hAnsiTheme="minorHAnsi" w:cstheme="minorHAnsi"/>
        </w:rPr>
      </w:pPr>
      <w:r w:rsidRPr="00850691">
        <w:rPr>
          <w:rFonts w:asciiTheme="minorHAnsi" w:hAnsiTheme="minorHAnsi" w:cstheme="minorHAnsi"/>
        </w:rPr>
        <w:t>(</w:t>
      </w:r>
      <w:r w:rsidR="002F3B11" w:rsidRPr="00850691">
        <w:rPr>
          <w:rFonts w:asciiTheme="minorHAnsi" w:hAnsiTheme="minorHAnsi" w:cstheme="minorHAnsi"/>
        </w:rPr>
        <w:t>All figures and t</w:t>
      </w:r>
      <w:r w:rsidR="008A6077" w:rsidRPr="00850691">
        <w:rPr>
          <w:rFonts w:asciiTheme="minorHAnsi" w:hAnsiTheme="minorHAnsi" w:cstheme="minorHAnsi"/>
        </w:rPr>
        <w:t xml:space="preserve">ables should be cited in order.  </w:t>
      </w:r>
      <w:r w:rsidR="002F3B11" w:rsidRPr="00850691">
        <w:rPr>
          <w:rFonts w:asciiTheme="minorHAnsi" w:hAnsiTheme="minorHAnsi" w:cstheme="minorHAnsi"/>
        </w:rPr>
        <w:t xml:space="preserve">For initial submission, </w:t>
      </w:r>
      <w:r w:rsidR="00855B07" w:rsidRPr="00850691">
        <w:rPr>
          <w:rFonts w:asciiTheme="minorHAnsi" w:hAnsiTheme="minorHAnsi" w:cstheme="minorHAnsi"/>
        </w:rPr>
        <w:t>please</w:t>
      </w:r>
      <w:r w:rsidR="002F3B11" w:rsidRPr="00850691">
        <w:rPr>
          <w:rFonts w:asciiTheme="minorHAnsi" w:hAnsiTheme="minorHAnsi" w:cstheme="minorHAnsi"/>
        </w:rPr>
        <w:t xml:space="preserve"> embed figures, tables, and </w:t>
      </w:r>
      <w:r w:rsidR="00975D9D" w:rsidRPr="00850691">
        <w:rPr>
          <w:rFonts w:asciiTheme="minorHAnsi" w:hAnsiTheme="minorHAnsi" w:cstheme="minorHAnsi"/>
        </w:rPr>
        <w:t xml:space="preserve">their </w:t>
      </w:r>
      <w:r w:rsidR="002F3B11" w:rsidRPr="00850691">
        <w:rPr>
          <w:rFonts w:asciiTheme="minorHAnsi" w:hAnsiTheme="minorHAnsi" w:cstheme="minorHAnsi"/>
        </w:rPr>
        <w:t>captions within the main text</w:t>
      </w:r>
      <w:r w:rsidR="00855B07" w:rsidRPr="00850691">
        <w:rPr>
          <w:rFonts w:asciiTheme="minorHAnsi" w:hAnsiTheme="minorHAnsi" w:cstheme="minorHAnsi"/>
        </w:rPr>
        <w:t xml:space="preserve"> near where they are cited</w:t>
      </w:r>
      <w:r w:rsidR="002F3B11" w:rsidRPr="00850691">
        <w:rPr>
          <w:rFonts w:asciiTheme="minorHAnsi" w:hAnsiTheme="minorHAnsi" w:cstheme="minorHAnsi"/>
        </w:rPr>
        <w:t xml:space="preserve">.  At revision, figures </w:t>
      </w:r>
      <w:r w:rsidR="00321596" w:rsidRPr="00850691">
        <w:rPr>
          <w:rFonts w:asciiTheme="minorHAnsi" w:hAnsiTheme="minorHAnsi" w:cstheme="minorHAnsi"/>
        </w:rPr>
        <w:t>should be</w:t>
      </w:r>
      <w:r w:rsidR="00855B07" w:rsidRPr="00850691">
        <w:rPr>
          <w:rFonts w:asciiTheme="minorHAnsi" w:hAnsiTheme="minorHAnsi" w:cstheme="minorHAnsi"/>
        </w:rPr>
        <w:t xml:space="preserve"> uploaded separately, as we need separate files for production. T</w:t>
      </w:r>
      <w:r w:rsidR="002F3B11" w:rsidRPr="00850691">
        <w:rPr>
          <w:rFonts w:asciiTheme="minorHAnsi" w:hAnsiTheme="minorHAnsi" w:cstheme="minorHAnsi"/>
        </w:rPr>
        <w:t>ables and all captions should be</w:t>
      </w:r>
      <w:r w:rsidRPr="00850691">
        <w:rPr>
          <w:rFonts w:asciiTheme="minorHAnsi" w:hAnsiTheme="minorHAnsi" w:cstheme="minorHAnsi"/>
        </w:rPr>
        <w:t xml:space="preserve"> moved to the end of the file.)</w:t>
      </w:r>
    </w:p>
    <w:p w14:paraId="04B3AE70" w14:textId="7A1825C7" w:rsidR="00B120F3" w:rsidRDefault="008A6077" w:rsidP="00321596">
      <w:pPr>
        <w:pStyle w:val="Note"/>
        <w:rPr>
          <w:rFonts w:asciiTheme="minorHAnsi" w:hAnsiTheme="minorHAnsi" w:cstheme="minorHAnsi"/>
        </w:rPr>
      </w:pPr>
      <w:r w:rsidRPr="00850691">
        <w:rPr>
          <w:rFonts w:asciiTheme="minorHAnsi" w:hAnsiTheme="minorHAnsi" w:cstheme="minorHAnsi"/>
        </w:rPr>
        <w:t xml:space="preserve">References </w:t>
      </w:r>
      <w:r w:rsidR="00B120F3" w:rsidRPr="00850691">
        <w:rPr>
          <w:rFonts w:asciiTheme="minorHAnsi" w:hAnsiTheme="minorHAnsi" w:cstheme="minorHAnsi"/>
        </w:rPr>
        <w:t>should use a name-date format, not numbers</w:t>
      </w:r>
      <w:r w:rsidR="00855B07" w:rsidRPr="00850691">
        <w:rPr>
          <w:rFonts w:asciiTheme="minorHAnsi" w:hAnsiTheme="minorHAnsi" w:cstheme="minorHAnsi"/>
        </w:rPr>
        <w:t>. E</w:t>
      </w:r>
      <w:r w:rsidR="00B120F3" w:rsidRPr="00850691">
        <w:rPr>
          <w:rFonts w:asciiTheme="minorHAnsi" w:hAnsiTheme="minorHAnsi" w:cstheme="minorHAnsi"/>
        </w:rPr>
        <w:t xml:space="preserve">nclose citations in </w:t>
      </w:r>
      <w:r w:rsidR="00B81C79" w:rsidRPr="00850691">
        <w:rPr>
          <w:rFonts w:asciiTheme="minorHAnsi" w:hAnsiTheme="minorHAnsi" w:cstheme="minorHAnsi"/>
        </w:rPr>
        <w:t>parentheses</w:t>
      </w:r>
      <w:r w:rsidR="00B120F3" w:rsidRPr="00850691">
        <w:rPr>
          <w:rFonts w:asciiTheme="minorHAnsi" w:hAnsiTheme="minorHAnsi" w:cstheme="minorHAnsi"/>
        </w:rPr>
        <w:t xml:space="preserve"> with authors in </w:t>
      </w:r>
      <w:r w:rsidR="00B81C79" w:rsidRPr="00850691">
        <w:rPr>
          <w:rFonts w:asciiTheme="minorHAnsi" w:hAnsiTheme="minorHAnsi" w:cstheme="minorHAnsi"/>
        </w:rPr>
        <w:t>upright text (</w:t>
      </w:r>
      <w:proofErr w:type="spellStart"/>
      <w:r w:rsidR="00B81C79" w:rsidRPr="00850691">
        <w:rPr>
          <w:rFonts w:asciiTheme="minorHAnsi" w:hAnsiTheme="minorHAnsi" w:cstheme="minorHAnsi"/>
        </w:rPr>
        <w:t>non italics</w:t>
      </w:r>
      <w:proofErr w:type="spellEnd"/>
      <w:r w:rsidR="00B81C79" w:rsidRPr="00850691">
        <w:rPr>
          <w:rFonts w:asciiTheme="minorHAnsi" w:hAnsiTheme="minorHAnsi" w:cstheme="minorHAnsi"/>
        </w:rPr>
        <w:t>)</w:t>
      </w:r>
      <w:r w:rsidR="00B120F3" w:rsidRPr="00850691">
        <w:rPr>
          <w:rFonts w:asciiTheme="minorHAnsi" w:hAnsiTheme="minorHAnsi" w:cstheme="minorHAnsi"/>
        </w:rPr>
        <w:t xml:space="preserve"> as in: </w:t>
      </w:r>
      <w:r w:rsidR="00B81C79" w:rsidRPr="00850691">
        <w:rPr>
          <w:rFonts w:asciiTheme="minorHAnsi" w:hAnsiTheme="minorHAnsi" w:cstheme="minorHAnsi"/>
        </w:rPr>
        <w:t>(</w:t>
      </w:r>
      <w:r w:rsidR="00B120F3" w:rsidRPr="00850691">
        <w:rPr>
          <w:rFonts w:asciiTheme="minorHAnsi" w:hAnsiTheme="minorHAnsi" w:cstheme="minorHAnsi"/>
        </w:rPr>
        <w:t>Smith et al</w:t>
      </w:r>
      <w:r w:rsidR="00B120F3" w:rsidRPr="00850691">
        <w:rPr>
          <w:rFonts w:asciiTheme="minorHAnsi" w:hAnsiTheme="minorHAnsi" w:cstheme="minorHAnsi"/>
          <w:i/>
        </w:rPr>
        <w:t>.,</w:t>
      </w:r>
      <w:r w:rsidR="00B81C79" w:rsidRPr="00850691">
        <w:rPr>
          <w:rFonts w:asciiTheme="minorHAnsi" w:hAnsiTheme="minorHAnsi" w:cstheme="minorHAnsi"/>
        </w:rPr>
        <w:t xml:space="preserve"> 2009)</w:t>
      </w:r>
      <w:r w:rsidR="00B120F3" w:rsidRPr="00850691">
        <w:rPr>
          <w:rFonts w:asciiTheme="minorHAnsi" w:hAnsiTheme="minorHAnsi" w:cstheme="minorHAnsi"/>
        </w:rPr>
        <w:t xml:space="preserve"> or Smith et al. </w:t>
      </w:r>
      <w:r w:rsidR="00B81C79" w:rsidRPr="00850691">
        <w:rPr>
          <w:rFonts w:asciiTheme="minorHAnsi" w:hAnsiTheme="minorHAnsi" w:cstheme="minorHAnsi"/>
        </w:rPr>
        <w:t xml:space="preserve">(2009). More information on in-text citations can be found in our </w:t>
      </w:r>
      <w:hyperlink r:id="rId12" w:anchor="reference" w:history="1">
        <w:r w:rsidR="00B81C79" w:rsidRPr="00850691">
          <w:rPr>
            <w:rStyle w:val="a7"/>
            <w:rFonts w:asciiTheme="minorHAnsi" w:hAnsiTheme="minorHAnsi" w:cstheme="minorHAnsi"/>
          </w:rPr>
          <w:t xml:space="preserve">Brief Style </w:t>
        </w:r>
        <w:proofErr w:type="spellStart"/>
        <w:r w:rsidR="00B81C79" w:rsidRPr="00850691">
          <w:rPr>
            <w:rStyle w:val="a7"/>
            <w:rFonts w:asciiTheme="minorHAnsi" w:hAnsiTheme="minorHAnsi" w:cstheme="minorHAnsi"/>
          </w:rPr>
          <w:t>Guide</w:t>
        </w:r>
      </w:hyperlink>
      <w:r w:rsidR="00F45E57" w:rsidRPr="00850691">
        <w:rPr>
          <w:rFonts w:asciiTheme="minorHAnsi" w:hAnsiTheme="minorHAnsi" w:cstheme="minorHAnsi"/>
        </w:rPr>
        <w:t>,</w:t>
      </w:r>
      <w:r w:rsidR="00B81C79" w:rsidRPr="00850691">
        <w:rPr>
          <w:rFonts w:asciiTheme="minorHAnsi" w:hAnsiTheme="minorHAnsi" w:cstheme="minorHAnsi"/>
        </w:rPr>
        <w:t>“Reference</w:t>
      </w:r>
      <w:proofErr w:type="spellEnd"/>
      <w:r w:rsidR="00B81C79" w:rsidRPr="00850691">
        <w:rPr>
          <w:rFonts w:asciiTheme="minorHAnsi" w:hAnsiTheme="minorHAnsi" w:cstheme="minorHAnsi"/>
        </w:rPr>
        <w:t xml:space="preserve"> Formatting.”</w:t>
      </w:r>
    </w:p>
    <w:p w14:paraId="1E352C02" w14:textId="77777777" w:rsidR="00850691" w:rsidRPr="00850691" w:rsidRDefault="00850691" w:rsidP="00321596">
      <w:pPr>
        <w:pStyle w:val="Note"/>
        <w:rPr>
          <w:rFonts w:asciiTheme="minorHAnsi" w:hAnsiTheme="minorHAnsi" w:cstheme="minorHAnsi"/>
        </w:rPr>
      </w:pPr>
    </w:p>
    <w:p w14:paraId="0196D794" w14:textId="77777777" w:rsidR="00850691" w:rsidRPr="00850691" w:rsidRDefault="00850691" w:rsidP="00850691">
      <w:pPr>
        <w:shd w:val="clear" w:color="auto" w:fill="FFFFFF"/>
        <w:spacing w:line="480" w:lineRule="auto"/>
        <w:rPr>
          <w:rFonts w:asciiTheme="minorHAnsi" w:eastAsia="Times New Roman" w:hAnsiTheme="minorHAnsi" w:cstheme="minorHAnsi"/>
          <w:b/>
          <w:bCs/>
          <w:color w:val="262626"/>
          <w:sz w:val="24"/>
          <w:szCs w:val="24"/>
        </w:rPr>
      </w:pPr>
      <w:r w:rsidRPr="00850691">
        <w:rPr>
          <w:rFonts w:asciiTheme="minorHAnsi" w:eastAsia="Times New Roman" w:hAnsiTheme="minorHAnsi" w:cstheme="minorHAnsi"/>
          <w:b/>
          <w:bCs/>
          <w:color w:val="262626"/>
          <w:sz w:val="24"/>
          <w:szCs w:val="24"/>
        </w:rPr>
        <w:t>As Applicable – Inclusion in Global Research Statement</w:t>
      </w:r>
    </w:p>
    <w:p w14:paraId="396D54D2" w14:textId="77777777" w:rsidR="00850691" w:rsidRPr="00850691" w:rsidRDefault="00850691" w:rsidP="00850691">
      <w:pPr>
        <w:shd w:val="clear" w:color="auto" w:fill="FEFEFE"/>
        <w:rPr>
          <w:rFonts w:asciiTheme="minorHAnsi" w:eastAsia="Aptos" w:hAnsiTheme="minorHAnsi" w:cstheme="minorHAnsi"/>
          <w:color w:val="262626"/>
          <w:sz w:val="22"/>
          <w:szCs w:val="22"/>
          <w14:ligatures w14:val="standardContextual"/>
        </w:rPr>
      </w:pPr>
      <w:r w:rsidRPr="00850691">
        <w:rPr>
          <w:rFonts w:asciiTheme="minorHAnsi" w:eastAsia="Aptos" w:hAnsiTheme="minorHAnsi" w:cstheme="minorHAnsi"/>
          <w:color w:val="262626"/>
          <w:sz w:val="22"/>
          <w:szCs w:val="22"/>
          <w14:ligatures w14:val="standardContextual"/>
        </w:rPr>
        <w:t>The Authorship: Inclusion in Global Research policy aims to promote greater equity and transparency in research collaborations. AGU Publications encourage research collaborations between regions, countries, and communities and expect authors to include their local collaborators as co-authors when they meet the AGU Publications </w:t>
      </w:r>
      <w:hyperlink r:id="rId13" w:anchor="authorship" w:history="1">
        <w:r w:rsidRPr="00850691">
          <w:rPr>
            <w:rFonts w:asciiTheme="minorHAnsi" w:eastAsia="Aptos" w:hAnsiTheme="minorHAnsi" w:cstheme="minorHAnsi"/>
            <w:color w:val="262626"/>
            <w:sz w:val="22"/>
            <w:szCs w:val="22"/>
            <w:u w:val="single"/>
            <w14:ligatures w14:val="standardContextual"/>
          </w:rPr>
          <w:t>authorship criteria</w:t>
        </w:r>
      </w:hyperlink>
      <w:r w:rsidRPr="00850691">
        <w:rPr>
          <w:rFonts w:asciiTheme="minorHAnsi" w:eastAsia="Aptos" w:hAnsiTheme="minorHAnsi" w:cstheme="minorHAnsi"/>
          <w:color w:val="262626"/>
          <w:sz w:val="22"/>
          <w:szCs w:val="22"/>
          <w14:ligatures w14:val="standardContextual"/>
        </w:rPr>
        <w:t>. Those who do not meet the criteria should be included in the Acknowledgement section. We encourage researchers to consider recommendations from </w:t>
      </w:r>
      <w:hyperlink r:id="rId14" w:tgtFrame="_blank" w:history="1">
        <w:r w:rsidRPr="00850691">
          <w:rPr>
            <w:rFonts w:asciiTheme="minorHAnsi" w:eastAsia="Aptos" w:hAnsiTheme="minorHAnsi" w:cstheme="minorHAnsi"/>
            <w:color w:val="262626"/>
            <w:sz w:val="22"/>
            <w:szCs w:val="22"/>
            <w:u w:val="single"/>
            <w14:ligatures w14:val="standardContextual"/>
          </w:rPr>
          <w:t>The TRUST CODE - A Global Code of Conduct for Equitable Research Partnerships</w:t>
        </w:r>
      </w:hyperlink>
      <w:r w:rsidRPr="00850691">
        <w:rPr>
          <w:rFonts w:asciiTheme="minorHAnsi" w:eastAsia="Aptos" w:hAnsiTheme="minorHAnsi" w:cstheme="minorHAnsi"/>
          <w:color w:val="262626"/>
          <w:sz w:val="22"/>
          <w:szCs w:val="22"/>
          <w14:ligatures w14:val="standardContextual"/>
        </w:rPr>
        <w:t> when conducting and reporting their research, as applicable, and encourage authors to include a disclosure statement pertaining to the ethical and scientific considerations of their research collaborations in an “</w:t>
      </w:r>
      <w:r w:rsidRPr="00850691">
        <w:rPr>
          <w:rFonts w:asciiTheme="minorHAnsi" w:eastAsia="Aptos" w:hAnsiTheme="minorHAnsi" w:cstheme="minorHAnsi"/>
          <w:b/>
          <w:bCs/>
          <w:color w:val="262626"/>
          <w:sz w:val="22"/>
          <w:szCs w:val="22"/>
          <w14:ligatures w14:val="standardContextual"/>
        </w:rPr>
        <w:t>Inclusion in Global Research</w:t>
      </w:r>
      <w:r w:rsidRPr="00850691">
        <w:rPr>
          <w:rFonts w:asciiTheme="minorHAnsi" w:eastAsia="Aptos" w:hAnsiTheme="minorHAnsi" w:cstheme="minorHAnsi"/>
          <w:color w:val="262626"/>
          <w:sz w:val="22"/>
          <w:szCs w:val="22"/>
          <w14:ligatures w14:val="standardContextual"/>
        </w:rPr>
        <w:t xml:space="preserve"> </w:t>
      </w:r>
      <w:r w:rsidRPr="00850691">
        <w:rPr>
          <w:rFonts w:asciiTheme="minorHAnsi" w:eastAsia="Aptos" w:hAnsiTheme="minorHAnsi" w:cstheme="minorHAnsi"/>
          <w:b/>
          <w:bCs/>
          <w:color w:val="262626"/>
          <w:sz w:val="22"/>
          <w:szCs w:val="22"/>
          <w14:ligatures w14:val="standardContextual"/>
        </w:rPr>
        <w:t>Statement’</w:t>
      </w:r>
      <w:r w:rsidRPr="00850691">
        <w:rPr>
          <w:rFonts w:asciiTheme="minorHAnsi" w:eastAsia="Aptos" w:hAnsiTheme="minorHAnsi" w:cstheme="minorHAnsi"/>
          <w:color w:val="262626"/>
          <w:sz w:val="22"/>
          <w:szCs w:val="22"/>
          <w14:ligatures w14:val="standardContextual"/>
        </w:rPr>
        <w:t xml:space="preserve"> as a standalone section in the manuscript following the Conclusions section. This can include disclosure of permits, authorizations, permissions and/or any formal agreements with local communities or other authorities, additional acknowledgements of local help received, and/or description of end-users of the research. You can learn more about the policy in this </w:t>
      </w:r>
      <w:hyperlink r:id="rId15" w:history="1">
        <w:r w:rsidRPr="00850691">
          <w:rPr>
            <w:rFonts w:asciiTheme="minorHAnsi" w:eastAsia="Aptos" w:hAnsiTheme="minorHAnsi" w:cstheme="minorHAnsi"/>
            <w:color w:val="467886"/>
            <w:sz w:val="22"/>
            <w:szCs w:val="22"/>
            <w:u w:val="single"/>
            <w14:ligatures w14:val="standardContextual"/>
          </w:rPr>
          <w:t>editorial</w:t>
        </w:r>
      </w:hyperlink>
      <w:r w:rsidRPr="00850691">
        <w:rPr>
          <w:rFonts w:asciiTheme="minorHAnsi" w:eastAsia="Aptos" w:hAnsiTheme="minorHAnsi" w:cstheme="minorHAnsi"/>
          <w:color w:val="262626"/>
          <w:sz w:val="22"/>
          <w:szCs w:val="22"/>
          <w14:ligatures w14:val="standardContextual"/>
        </w:rPr>
        <w:t xml:space="preserve">. Example statements can be found in the following published papers: </w:t>
      </w:r>
      <w:hyperlink r:id="rId16" w:tgtFrame="_new" w:history="1">
        <w:r w:rsidRPr="00850691">
          <w:rPr>
            <w:rFonts w:asciiTheme="minorHAnsi" w:eastAsia="Aptos" w:hAnsiTheme="minorHAnsi" w:cstheme="minorHAnsi"/>
            <w:color w:val="262626"/>
            <w:sz w:val="22"/>
            <w:szCs w:val="22"/>
            <w:u w:val="single"/>
            <w14:ligatures w14:val="standardContextual"/>
          </w:rPr>
          <w:t>Holt et al.</w:t>
        </w:r>
      </w:hyperlink>
      <w:r w:rsidRPr="00850691">
        <w:rPr>
          <w:rFonts w:asciiTheme="minorHAnsi" w:eastAsia="Aptos" w:hAnsiTheme="minorHAnsi" w:cstheme="minorHAnsi"/>
          <w:color w:val="262626"/>
          <w:sz w:val="22"/>
          <w:szCs w:val="22"/>
          <w14:ligatures w14:val="standardContextual"/>
        </w:rPr>
        <w:t xml:space="preserve">, </w:t>
      </w:r>
      <w:hyperlink r:id="rId17" w:tgtFrame="_new" w:history="1">
        <w:r w:rsidRPr="00850691">
          <w:rPr>
            <w:rFonts w:asciiTheme="minorHAnsi" w:eastAsia="Aptos" w:hAnsiTheme="minorHAnsi" w:cstheme="minorHAnsi"/>
            <w:color w:val="262626"/>
            <w:sz w:val="22"/>
            <w:szCs w:val="22"/>
            <w:u w:val="single"/>
            <w14:ligatures w14:val="standardContextual"/>
          </w:rPr>
          <w:t>Sánchez-Gutiérrez et al.</w:t>
        </w:r>
      </w:hyperlink>
      <w:r w:rsidRPr="00850691">
        <w:rPr>
          <w:rFonts w:asciiTheme="minorHAnsi" w:eastAsia="Aptos" w:hAnsiTheme="minorHAnsi" w:cstheme="minorHAnsi"/>
          <w:color w:val="262626"/>
          <w:sz w:val="22"/>
          <w:szCs w:val="22"/>
          <w14:ligatures w14:val="standardContextual"/>
        </w:rPr>
        <w:t xml:space="preserve">, </w:t>
      </w:r>
      <w:hyperlink r:id="rId18" w:tgtFrame="_new" w:history="1">
        <w:r w:rsidRPr="00850691">
          <w:rPr>
            <w:rFonts w:asciiTheme="minorHAnsi" w:eastAsia="Aptos" w:hAnsiTheme="minorHAnsi" w:cstheme="minorHAnsi"/>
            <w:color w:val="262626"/>
            <w:sz w:val="22"/>
            <w:szCs w:val="22"/>
            <w:u w:val="single"/>
            <w14:ligatures w14:val="standardContextual"/>
          </w:rPr>
          <w:t>Tully et al.</w:t>
        </w:r>
      </w:hyperlink>
      <w:r w:rsidRPr="00850691">
        <w:rPr>
          <w:rFonts w:asciiTheme="minorHAnsi" w:eastAsia="Aptos" w:hAnsiTheme="minorHAnsi" w:cstheme="minorHAnsi"/>
          <w:color w:val="262626"/>
          <w:sz w:val="22"/>
          <w:szCs w:val="22"/>
          <w14:ligatures w14:val="standardContextual"/>
        </w:rPr>
        <w:t xml:space="preserve"> Please note that these statements are titled as “Global Research Collaboration Statements” from a previous pilot requirement in </w:t>
      </w:r>
      <w:r w:rsidRPr="00850691">
        <w:rPr>
          <w:rFonts w:asciiTheme="minorHAnsi" w:eastAsia="Aptos" w:hAnsiTheme="minorHAnsi" w:cstheme="minorHAnsi"/>
          <w:i/>
          <w:iCs/>
          <w:color w:val="262626"/>
          <w:sz w:val="22"/>
          <w:szCs w:val="22"/>
          <w14:ligatures w14:val="standardContextual"/>
        </w:rPr>
        <w:t>JGR Biogeosciences</w:t>
      </w:r>
      <w:r w:rsidRPr="00850691">
        <w:rPr>
          <w:rFonts w:asciiTheme="minorHAnsi" w:eastAsia="Aptos" w:hAnsiTheme="minorHAnsi" w:cstheme="minorHAnsi"/>
          <w:color w:val="262626"/>
          <w:sz w:val="22"/>
          <w:szCs w:val="22"/>
          <w14:ligatures w14:val="standardContextual"/>
        </w:rPr>
        <w:t>. The pilot has ended and statements should now be titled “Inclusion in Global Research Statement”.</w:t>
      </w:r>
    </w:p>
    <w:p w14:paraId="537A0C39" w14:textId="77777777" w:rsidR="00767596" w:rsidRPr="00850691" w:rsidRDefault="00767596" w:rsidP="00995CAA">
      <w:pPr>
        <w:shd w:val="clear" w:color="auto" w:fill="FFFFFF"/>
        <w:spacing w:before="240" w:line="480" w:lineRule="auto"/>
        <w:rPr>
          <w:rFonts w:asciiTheme="minorHAnsi" w:eastAsia="Times New Roman" w:hAnsiTheme="minorHAnsi" w:cstheme="minorHAnsi"/>
          <w:b/>
          <w:bCs/>
          <w:color w:val="262626"/>
          <w:sz w:val="24"/>
          <w:szCs w:val="24"/>
        </w:rPr>
      </w:pPr>
    </w:p>
    <w:p w14:paraId="3BB30AAB" w14:textId="4936D8C6" w:rsidR="00995CAA" w:rsidRPr="00850691" w:rsidRDefault="00995CAA" w:rsidP="00995CAA">
      <w:pPr>
        <w:shd w:val="clear" w:color="auto" w:fill="FFFFFF"/>
        <w:spacing w:before="240"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lastRenderedPageBreak/>
        <w:t>Acknowledgments</w:t>
      </w:r>
    </w:p>
    <w:p w14:paraId="5EAD0807"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4"/>
          <w:szCs w:val="24"/>
        </w:rPr>
        <w:t>The text ends with an acknowledgment section and statement that includes:</w:t>
      </w:r>
    </w:p>
    <w:p w14:paraId="2F19E071" w14:textId="711CDC9C" w:rsidR="00995CAA" w:rsidRPr="00850691" w:rsidRDefault="00995CAA" w:rsidP="00995CAA">
      <w:pPr>
        <w:pStyle w:val="ab"/>
        <w:numPr>
          <w:ilvl w:val="0"/>
          <w:numId w:val="13"/>
        </w:numPr>
        <w:shd w:val="clear" w:color="auto" w:fill="FFFFFF"/>
        <w:spacing w:before="120" w:line="480" w:lineRule="auto"/>
        <w:rPr>
          <w:rFonts w:eastAsia="Times New Roman" w:cstheme="minorHAnsi"/>
        </w:rPr>
      </w:pPr>
      <w:r w:rsidRPr="00850691">
        <w:rPr>
          <w:rFonts w:eastAsia="Times New Roman" w:cstheme="minorHAnsi"/>
          <w:color w:val="262626"/>
        </w:rPr>
        <w:t>Any real or perceived financial conflicts of interests for any author</w:t>
      </w:r>
    </w:p>
    <w:p w14:paraId="0EC4181C" w14:textId="0C2C3B29" w:rsidR="00995CAA" w:rsidRPr="00850691" w:rsidRDefault="00995CAA" w:rsidP="00995CAA">
      <w:pPr>
        <w:pStyle w:val="ab"/>
        <w:numPr>
          <w:ilvl w:val="0"/>
          <w:numId w:val="13"/>
        </w:numPr>
        <w:shd w:val="clear" w:color="auto" w:fill="FFFFFF"/>
        <w:spacing w:line="480" w:lineRule="auto"/>
        <w:rPr>
          <w:rFonts w:eastAsia="Times New Roman" w:cstheme="minorHAnsi"/>
        </w:rPr>
      </w:pPr>
      <w:r w:rsidRPr="00850691">
        <w:rPr>
          <w:rFonts w:eastAsia="Times New Roman" w:cstheme="minorHAnsi"/>
          <w:color w:val="262626"/>
        </w:rPr>
        <w:t>Other affiliations for any author that may be perceived as having a conflict of interest with respect to the results of this paper.</w:t>
      </w:r>
    </w:p>
    <w:p w14:paraId="13DDA179" w14:textId="7FE9E60D" w:rsidR="00995CAA" w:rsidRPr="00850691" w:rsidRDefault="00995CAA" w:rsidP="00995CAA">
      <w:pPr>
        <w:pStyle w:val="ab"/>
        <w:numPr>
          <w:ilvl w:val="0"/>
          <w:numId w:val="13"/>
        </w:numPr>
        <w:shd w:val="clear" w:color="auto" w:fill="FFFFFF"/>
        <w:spacing w:line="480" w:lineRule="auto"/>
        <w:rPr>
          <w:rFonts w:eastAsia="Times New Roman" w:cstheme="minorHAnsi"/>
        </w:rPr>
      </w:pPr>
      <w:r w:rsidRPr="00850691">
        <w:rPr>
          <w:rFonts w:eastAsia="Times New Roman" w:cstheme="minorHAnsi"/>
          <w:color w:val="262626"/>
        </w:rPr>
        <w:t xml:space="preserve">Funding information related to the work for all authors should be entered in the form in GEMS as part of your submission. This form in GEMS uses the official </w:t>
      </w:r>
      <w:proofErr w:type="spellStart"/>
      <w:r w:rsidRPr="00850691">
        <w:rPr>
          <w:rFonts w:eastAsia="Times New Roman" w:cstheme="minorHAnsi"/>
          <w:color w:val="262626"/>
        </w:rPr>
        <w:t>Fundref</w:t>
      </w:r>
      <w:proofErr w:type="spellEnd"/>
      <w:r w:rsidRPr="00850691">
        <w:rPr>
          <w:rFonts w:eastAsia="Times New Roman" w:cstheme="minorHAnsi"/>
          <w:color w:val="262626"/>
        </w:rPr>
        <w:t xml:space="preserve"> list, which provides a link after publication that is available to funders. Any other funding information not listed in the GEMS form should be included in the acknowledgments and/or cover letter.</w:t>
      </w:r>
    </w:p>
    <w:p w14:paraId="38885462" w14:textId="77777777" w:rsidR="00995CAA" w:rsidRPr="00850691" w:rsidRDefault="00995CAA" w:rsidP="00995CAA">
      <w:pPr>
        <w:shd w:val="clear" w:color="auto" w:fill="FFFFFF"/>
        <w:spacing w:before="120"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4"/>
          <w:szCs w:val="24"/>
        </w:rPr>
        <w:t>It is also the appropriate place to thank colleagues and other contributors. AGU does not normally allow dedications.</w:t>
      </w:r>
    </w:p>
    <w:p w14:paraId="6119FAA2"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sz w:val="24"/>
          <w:szCs w:val="24"/>
        </w:rPr>
        <w:t> </w:t>
      </w:r>
    </w:p>
    <w:p w14:paraId="3CB0FA2F"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Open Research</w:t>
      </w:r>
    </w:p>
    <w:p w14:paraId="6C7AB50A" w14:textId="37218DFD"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1"/>
          <w:szCs w:val="21"/>
        </w:rPr>
        <w:t>AGU requires an Availability Statement for the underlying data</w:t>
      </w:r>
      <w:r w:rsidR="00AD03B0" w:rsidRPr="00850691">
        <w:rPr>
          <w:rFonts w:asciiTheme="minorHAnsi" w:eastAsia="Times New Roman" w:hAnsiTheme="minorHAnsi" w:cstheme="minorHAnsi"/>
          <w:color w:val="262626"/>
          <w:sz w:val="21"/>
          <w:szCs w:val="21"/>
        </w:rPr>
        <w:t xml:space="preserve"> and code</w:t>
      </w:r>
      <w:r w:rsidRPr="00850691">
        <w:rPr>
          <w:rFonts w:asciiTheme="minorHAnsi" w:eastAsia="Times New Roman" w:hAnsiTheme="minorHAnsi" w:cstheme="minorHAnsi"/>
          <w:color w:val="262626"/>
          <w:sz w:val="21"/>
          <w:szCs w:val="21"/>
        </w:rPr>
        <w:t xml:space="preserve"> needed to understand, evaluate, and build upon the reported research at the time of peer review and publication. Additionally, authors should include an Availability Statement for the software</w:t>
      </w:r>
      <w:r w:rsidR="006F0D4D" w:rsidRPr="00850691">
        <w:rPr>
          <w:rFonts w:asciiTheme="minorHAnsi" w:eastAsia="Times New Roman" w:hAnsiTheme="minorHAnsi" w:cstheme="minorHAnsi"/>
          <w:color w:val="262626"/>
          <w:sz w:val="21"/>
          <w:szCs w:val="21"/>
        </w:rPr>
        <w:t xml:space="preserve"> and other research products</w:t>
      </w:r>
      <w:r w:rsidRPr="00850691">
        <w:rPr>
          <w:rFonts w:asciiTheme="minorHAnsi" w:eastAsia="Times New Roman" w:hAnsiTheme="minorHAnsi" w:cstheme="minorHAnsi"/>
          <w:color w:val="262626"/>
          <w:sz w:val="21"/>
          <w:szCs w:val="21"/>
        </w:rPr>
        <w:t xml:space="preserve"> that ha</w:t>
      </w:r>
      <w:r w:rsidR="006F0D4D" w:rsidRPr="00850691">
        <w:rPr>
          <w:rFonts w:asciiTheme="minorHAnsi" w:eastAsia="Times New Roman" w:hAnsiTheme="minorHAnsi" w:cstheme="minorHAnsi"/>
          <w:color w:val="262626"/>
          <w:sz w:val="21"/>
          <w:szCs w:val="21"/>
        </w:rPr>
        <w:t>ve</w:t>
      </w:r>
      <w:r w:rsidRPr="00850691">
        <w:rPr>
          <w:rFonts w:asciiTheme="minorHAnsi" w:eastAsia="Times New Roman" w:hAnsiTheme="minorHAnsi" w:cstheme="minorHAnsi"/>
          <w:color w:val="262626"/>
          <w:sz w:val="21"/>
          <w:szCs w:val="21"/>
        </w:rPr>
        <w:t xml:space="preserve"> a significant impact on the research. Details and templates are in the </w:t>
      </w:r>
      <w:hyperlink r:id="rId19" w:anchor="availability" w:history="1">
        <w:r w:rsidRPr="00850691">
          <w:rPr>
            <w:rFonts w:asciiTheme="minorHAnsi" w:eastAsia="Times New Roman" w:hAnsiTheme="minorHAnsi" w:cstheme="minorHAnsi"/>
            <w:color w:val="1155CC"/>
            <w:sz w:val="21"/>
            <w:szCs w:val="21"/>
            <w:u w:val="single"/>
          </w:rPr>
          <w:t xml:space="preserve">Availability Statement </w:t>
        </w:r>
      </w:hyperlink>
      <w:r w:rsidRPr="00850691">
        <w:rPr>
          <w:rFonts w:asciiTheme="minorHAnsi" w:eastAsia="Times New Roman" w:hAnsiTheme="minorHAnsi" w:cstheme="minorHAnsi"/>
          <w:color w:val="262626"/>
          <w:sz w:val="21"/>
          <w:szCs w:val="21"/>
        </w:rPr>
        <w:t xml:space="preserve">section of the Data &amp; Software for Authors Guidance. For physical samples, use the IGSN persistent identifier, see the </w:t>
      </w:r>
      <w:hyperlink r:id="rId20" w:anchor="IGSN" w:history="1">
        <w:r w:rsidRPr="00850691">
          <w:rPr>
            <w:rFonts w:asciiTheme="minorHAnsi" w:eastAsia="Times New Roman" w:hAnsiTheme="minorHAnsi" w:cstheme="minorHAnsi"/>
            <w:color w:val="1155CC"/>
            <w:sz w:val="21"/>
            <w:szCs w:val="21"/>
            <w:u w:val="single"/>
          </w:rPr>
          <w:t>International Geo Sample Numbers</w:t>
        </w:r>
      </w:hyperlink>
      <w:r w:rsidRPr="00850691">
        <w:rPr>
          <w:rFonts w:asciiTheme="minorHAnsi" w:eastAsia="Times New Roman" w:hAnsiTheme="minorHAnsi" w:cstheme="minorHAnsi"/>
          <w:color w:val="262626"/>
          <w:sz w:val="21"/>
          <w:szCs w:val="21"/>
        </w:rPr>
        <w:t xml:space="preserve"> section.  </w:t>
      </w:r>
    </w:p>
    <w:p w14:paraId="3A8023EA"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sz w:val="24"/>
          <w:szCs w:val="24"/>
        </w:rPr>
        <w:t> </w:t>
      </w:r>
    </w:p>
    <w:p w14:paraId="51C87EA0" w14:textId="706B0C03" w:rsidR="009007AE" w:rsidRPr="00850691" w:rsidRDefault="009007AE" w:rsidP="009007AE">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b/>
          <w:bCs/>
          <w:color w:val="262626"/>
          <w:sz w:val="24"/>
          <w:szCs w:val="24"/>
        </w:rPr>
        <w:t>Conflict of Interest Disclosure</w:t>
      </w:r>
    </w:p>
    <w:p w14:paraId="074E51DC" w14:textId="77777777" w:rsidR="009007AE" w:rsidRPr="009007AE" w:rsidRDefault="009007AE" w:rsidP="009007AE">
      <w:pPr>
        <w:shd w:val="clear" w:color="auto" w:fill="FFFFFF"/>
        <w:spacing w:line="480" w:lineRule="auto"/>
        <w:rPr>
          <w:rFonts w:asciiTheme="minorHAnsi" w:eastAsia="Times New Roman" w:hAnsiTheme="minorHAnsi" w:cstheme="minorHAnsi"/>
          <w:color w:val="262626"/>
          <w:sz w:val="21"/>
          <w:szCs w:val="21"/>
        </w:rPr>
      </w:pPr>
      <w:r w:rsidRPr="009007AE">
        <w:rPr>
          <w:rFonts w:asciiTheme="minorHAnsi" w:eastAsia="Times New Roman" w:hAnsiTheme="minorHAnsi" w:cstheme="minorHAnsi"/>
          <w:color w:val="262626"/>
          <w:sz w:val="21"/>
          <w:szCs w:val="21"/>
        </w:rPr>
        <w:lastRenderedPageBreak/>
        <w:t>Please include a comprehensive conflict of interest statement that reflect all conflicts of interest for all involved authors. If there are no conflicts of interest please state, “The authors declare there are no conflicts of interest for this manuscript.”</w:t>
      </w:r>
    </w:p>
    <w:p w14:paraId="60EE9568" w14:textId="2CF66329" w:rsidR="00995CAA" w:rsidRDefault="00995CAA" w:rsidP="00995CAA">
      <w:pPr>
        <w:shd w:val="clear" w:color="auto" w:fill="FFFFFF"/>
        <w:spacing w:line="480" w:lineRule="auto"/>
        <w:rPr>
          <w:rFonts w:asciiTheme="minorHAnsi" w:eastAsia="Times New Roman" w:hAnsiTheme="minorHAnsi" w:cstheme="minorHAnsi"/>
          <w:sz w:val="24"/>
          <w:szCs w:val="24"/>
        </w:rPr>
      </w:pPr>
    </w:p>
    <w:p w14:paraId="643A1B77" w14:textId="77777777" w:rsidR="009007AE" w:rsidRDefault="009007AE" w:rsidP="00995CAA">
      <w:pPr>
        <w:shd w:val="clear" w:color="auto" w:fill="FFFFFF"/>
        <w:spacing w:line="480" w:lineRule="auto"/>
        <w:rPr>
          <w:rFonts w:asciiTheme="minorHAnsi" w:eastAsia="Times New Roman" w:hAnsiTheme="minorHAnsi" w:cstheme="minorHAnsi"/>
          <w:sz w:val="24"/>
          <w:szCs w:val="24"/>
        </w:rPr>
      </w:pPr>
    </w:p>
    <w:p w14:paraId="084CD9C7" w14:textId="2E3FE2C9" w:rsidR="009007AE" w:rsidRPr="00850691" w:rsidRDefault="009007AE" w:rsidP="00995CAA">
      <w:pPr>
        <w:shd w:val="clear" w:color="auto" w:fill="FFFFFF"/>
        <w:spacing w:line="480" w:lineRule="auto"/>
        <w:rPr>
          <w:rFonts w:asciiTheme="minorHAnsi" w:eastAsia="Times New Roman" w:hAnsiTheme="minorHAnsi" w:cstheme="minorHAnsi"/>
          <w:sz w:val="24"/>
          <w:szCs w:val="24"/>
        </w:rPr>
      </w:pPr>
      <w:bookmarkStart w:id="0" w:name="_GoBack"/>
      <w:bookmarkEnd w:id="0"/>
    </w:p>
    <w:p w14:paraId="3BE6A8F9"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References</w:t>
      </w:r>
    </w:p>
    <w:p w14:paraId="0827558E" w14:textId="77777777" w:rsidR="006B58D7" w:rsidRPr="006B58D7" w:rsidRDefault="002F2FF8" w:rsidP="006B58D7">
      <w:pPr>
        <w:pStyle w:val="af2"/>
        <w:rPr>
          <w:rFonts w:ascii="Calibri" w:hAnsi="Calibri" w:cs="Calibri"/>
          <w:sz w:val="24"/>
        </w:rPr>
      </w:pPr>
      <w:r>
        <w:rPr>
          <w:rFonts w:asciiTheme="minorHAnsi" w:eastAsia="Times New Roman" w:hAnsiTheme="minorHAnsi" w:cstheme="minorHAnsi"/>
          <w:color w:val="262626"/>
        </w:rPr>
        <w:fldChar w:fldCharType="begin"/>
      </w:r>
      <w:r w:rsidR="006B58D7">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proofErr w:type="spellStart"/>
      <w:r w:rsidR="006B58D7" w:rsidRPr="006B58D7">
        <w:rPr>
          <w:rFonts w:ascii="Calibri" w:hAnsi="Calibri" w:cs="Calibri"/>
          <w:sz w:val="24"/>
        </w:rPr>
        <w:t>Barthelmie</w:t>
      </w:r>
      <w:proofErr w:type="spellEnd"/>
      <w:r w:rsidR="006B58D7" w:rsidRPr="006B58D7">
        <w:rPr>
          <w:rFonts w:ascii="Calibri" w:hAnsi="Calibri" w:cs="Calibri"/>
          <w:sz w:val="24"/>
        </w:rPr>
        <w:t xml:space="preserve">, R. J., </w:t>
      </w:r>
      <w:proofErr w:type="spellStart"/>
      <w:r w:rsidR="006B58D7" w:rsidRPr="006B58D7">
        <w:rPr>
          <w:rFonts w:ascii="Calibri" w:hAnsi="Calibri" w:cs="Calibri"/>
          <w:sz w:val="24"/>
        </w:rPr>
        <w:t>Frandsen</w:t>
      </w:r>
      <w:proofErr w:type="spellEnd"/>
      <w:r w:rsidR="006B58D7" w:rsidRPr="006B58D7">
        <w:rPr>
          <w:rFonts w:ascii="Calibri" w:hAnsi="Calibri" w:cs="Calibri"/>
          <w:sz w:val="24"/>
        </w:rPr>
        <w:t xml:space="preserve">, S. T., Nielsen, M. N., Pryor, S. C., </w:t>
      </w:r>
      <w:proofErr w:type="spellStart"/>
      <w:r w:rsidR="006B58D7" w:rsidRPr="006B58D7">
        <w:rPr>
          <w:rFonts w:ascii="Calibri" w:hAnsi="Calibri" w:cs="Calibri"/>
          <w:sz w:val="24"/>
        </w:rPr>
        <w:t>Rethore</w:t>
      </w:r>
      <w:proofErr w:type="spellEnd"/>
      <w:r w:rsidR="006B58D7" w:rsidRPr="006B58D7">
        <w:rPr>
          <w:rFonts w:ascii="Calibri" w:hAnsi="Calibri" w:cs="Calibri"/>
          <w:sz w:val="24"/>
        </w:rPr>
        <w:t xml:space="preserve">, P. ‐E., &amp; </w:t>
      </w:r>
      <w:proofErr w:type="spellStart"/>
      <w:r w:rsidR="006B58D7" w:rsidRPr="006B58D7">
        <w:rPr>
          <w:rFonts w:ascii="Calibri" w:hAnsi="Calibri" w:cs="Calibri"/>
          <w:sz w:val="24"/>
        </w:rPr>
        <w:t>Jørgensen</w:t>
      </w:r>
      <w:proofErr w:type="spellEnd"/>
      <w:r w:rsidR="006B58D7" w:rsidRPr="006B58D7">
        <w:rPr>
          <w:rFonts w:ascii="Calibri" w:hAnsi="Calibri" w:cs="Calibri"/>
          <w:sz w:val="24"/>
        </w:rPr>
        <w:t xml:space="preserve">, H. E. (2007). Modelling and measurements of power losses and turbulence intensity in wind turbine wakes at </w:t>
      </w:r>
      <w:proofErr w:type="spellStart"/>
      <w:r w:rsidR="006B58D7" w:rsidRPr="006B58D7">
        <w:rPr>
          <w:rFonts w:ascii="Calibri" w:hAnsi="Calibri" w:cs="Calibri"/>
          <w:sz w:val="24"/>
        </w:rPr>
        <w:t>Middelgrunden</w:t>
      </w:r>
      <w:proofErr w:type="spellEnd"/>
      <w:r w:rsidR="006B58D7" w:rsidRPr="006B58D7">
        <w:rPr>
          <w:rFonts w:ascii="Calibri" w:hAnsi="Calibri" w:cs="Calibri"/>
          <w:sz w:val="24"/>
        </w:rPr>
        <w:t xml:space="preserve"> offshore wind farm. </w:t>
      </w:r>
      <w:r w:rsidR="006B58D7" w:rsidRPr="006B58D7">
        <w:rPr>
          <w:rFonts w:ascii="Calibri" w:hAnsi="Calibri" w:cs="Calibri"/>
          <w:i/>
          <w:iCs/>
          <w:sz w:val="24"/>
        </w:rPr>
        <w:t>Wind Energy</w:t>
      </w:r>
      <w:r w:rsidR="006B58D7" w:rsidRPr="006B58D7">
        <w:rPr>
          <w:rFonts w:ascii="Calibri" w:hAnsi="Calibri" w:cs="Calibri"/>
          <w:sz w:val="24"/>
        </w:rPr>
        <w:t xml:space="preserve">, </w:t>
      </w:r>
      <w:r w:rsidR="006B58D7" w:rsidRPr="006B58D7">
        <w:rPr>
          <w:rFonts w:ascii="Calibri" w:hAnsi="Calibri" w:cs="Calibri"/>
          <w:i/>
          <w:iCs/>
          <w:sz w:val="24"/>
        </w:rPr>
        <w:t>10</w:t>
      </w:r>
      <w:r w:rsidR="006B58D7" w:rsidRPr="006B58D7">
        <w:rPr>
          <w:rFonts w:ascii="Calibri" w:hAnsi="Calibri" w:cs="Calibri"/>
          <w:sz w:val="24"/>
        </w:rPr>
        <w:t>(6), 517–528. https://doi.org/10.1002/we.238</w:t>
      </w:r>
    </w:p>
    <w:p w14:paraId="6809EFD7"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Bentsen, L. Ø., </w:t>
      </w:r>
      <w:proofErr w:type="spellStart"/>
      <w:r w:rsidRPr="006B58D7">
        <w:rPr>
          <w:rFonts w:ascii="Calibri" w:hAnsi="Calibri" w:cs="Calibri"/>
          <w:sz w:val="24"/>
        </w:rPr>
        <w:t>Warakagoda</w:t>
      </w:r>
      <w:proofErr w:type="spellEnd"/>
      <w:r w:rsidRPr="006B58D7">
        <w:rPr>
          <w:rFonts w:ascii="Calibri" w:hAnsi="Calibri" w:cs="Calibri"/>
          <w:sz w:val="24"/>
        </w:rPr>
        <w:t xml:space="preserve">, N. D., </w:t>
      </w:r>
      <w:proofErr w:type="spellStart"/>
      <w:r w:rsidRPr="006B58D7">
        <w:rPr>
          <w:rFonts w:ascii="Calibri" w:hAnsi="Calibri" w:cs="Calibri"/>
          <w:sz w:val="24"/>
        </w:rPr>
        <w:t>Stenbro</w:t>
      </w:r>
      <w:proofErr w:type="spellEnd"/>
      <w:r w:rsidRPr="006B58D7">
        <w:rPr>
          <w:rFonts w:ascii="Calibri" w:hAnsi="Calibri" w:cs="Calibri"/>
          <w:sz w:val="24"/>
        </w:rPr>
        <w:t xml:space="preserve">, R., &amp; </w:t>
      </w:r>
      <w:proofErr w:type="spellStart"/>
      <w:r w:rsidRPr="006B58D7">
        <w:rPr>
          <w:rFonts w:ascii="Calibri" w:hAnsi="Calibri" w:cs="Calibri"/>
          <w:sz w:val="24"/>
        </w:rPr>
        <w:t>Engelstad</w:t>
      </w:r>
      <w:proofErr w:type="spellEnd"/>
      <w:r w:rsidRPr="006B58D7">
        <w:rPr>
          <w:rFonts w:ascii="Calibri" w:hAnsi="Calibri" w:cs="Calibri"/>
          <w:sz w:val="24"/>
        </w:rPr>
        <w:t xml:space="preserve">, P. (2023). </w:t>
      </w:r>
      <w:proofErr w:type="spellStart"/>
      <w:r w:rsidRPr="006B58D7">
        <w:rPr>
          <w:rFonts w:ascii="Calibri" w:hAnsi="Calibri" w:cs="Calibri"/>
          <w:sz w:val="24"/>
        </w:rPr>
        <w:t>Spatio</w:t>
      </w:r>
      <w:proofErr w:type="spellEnd"/>
      <w:r w:rsidRPr="006B58D7">
        <w:rPr>
          <w:rFonts w:ascii="Calibri" w:hAnsi="Calibri" w:cs="Calibri"/>
          <w:sz w:val="24"/>
        </w:rPr>
        <w:t xml:space="preserve">-temporal wind speed forecasting using graph networks and novel Transformer architectures. </w:t>
      </w:r>
      <w:r w:rsidRPr="006B58D7">
        <w:rPr>
          <w:rFonts w:ascii="Calibri" w:hAnsi="Calibri" w:cs="Calibri"/>
          <w:i/>
          <w:iCs/>
          <w:sz w:val="24"/>
        </w:rPr>
        <w:t>Applied Energy</w:t>
      </w:r>
      <w:r w:rsidRPr="006B58D7">
        <w:rPr>
          <w:rFonts w:ascii="Calibri" w:hAnsi="Calibri" w:cs="Calibri"/>
          <w:sz w:val="24"/>
        </w:rPr>
        <w:t xml:space="preserve">, </w:t>
      </w:r>
      <w:r w:rsidRPr="006B58D7">
        <w:rPr>
          <w:rFonts w:ascii="Calibri" w:hAnsi="Calibri" w:cs="Calibri"/>
          <w:i/>
          <w:iCs/>
          <w:sz w:val="24"/>
        </w:rPr>
        <w:t>333</w:t>
      </w:r>
      <w:r w:rsidRPr="006B58D7">
        <w:rPr>
          <w:rFonts w:ascii="Calibri" w:hAnsi="Calibri" w:cs="Calibri"/>
          <w:sz w:val="24"/>
        </w:rPr>
        <w:t>, 120565. https://doi.org/10.1016/j.apenergy.2022.120565</w:t>
      </w:r>
    </w:p>
    <w:p w14:paraId="60430157"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Buhan</w:t>
      </w:r>
      <w:proofErr w:type="spellEnd"/>
      <w:r w:rsidRPr="006B58D7">
        <w:rPr>
          <w:rFonts w:ascii="Calibri" w:hAnsi="Calibri" w:cs="Calibri"/>
          <w:sz w:val="24"/>
        </w:rPr>
        <w:t xml:space="preserve">, S., </w:t>
      </w:r>
      <w:proofErr w:type="spellStart"/>
      <w:r w:rsidRPr="006B58D7">
        <w:rPr>
          <w:rFonts w:ascii="Calibri" w:hAnsi="Calibri" w:cs="Calibri"/>
          <w:sz w:val="24"/>
        </w:rPr>
        <w:t>Ozkazanc</w:t>
      </w:r>
      <w:proofErr w:type="spellEnd"/>
      <w:r w:rsidRPr="006B58D7">
        <w:rPr>
          <w:rFonts w:ascii="Calibri" w:hAnsi="Calibri" w:cs="Calibri"/>
          <w:sz w:val="24"/>
        </w:rPr>
        <w:t xml:space="preserve">, Y., &amp; </w:t>
      </w:r>
      <w:proofErr w:type="spellStart"/>
      <w:r w:rsidRPr="006B58D7">
        <w:rPr>
          <w:rFonts w:ascii="Calibri" w:hAnsi="Calibri" w:cs="Calibri"/>
          <w:sz w:val="24"/>
        </w:rPr>
        <w:t>Cadirci</w:t>
      </w:r>
      <w:proofErr w:type="spellEnd"/>
      <w:r w:rsidRPr="006B58D7">
        <w:rPr>
          <w:rFonts w:ascii="Calibri" w:hAnsi="Calibri" w:cs="Calibri"/>
          <w:sz w:val="24"/>
        </w:rPr>
        <w:t xml:space="preserve">, I. (2016). Wind Pattern Recognition and Reference Wind Mast Data Correlations </w:t>
      </w:r>
      <w:proofErr w:type="gramStart"/>
      <w:r w:rsidRPr="006B58D7">
        <w:rPr>
          <w:rFonts w:ascii="Calibri" w:hAnsi="Calibri" w:cs="Calibri"/>
          <w:sz w:val="24"/>
        </w:rPr>
        <w:t>With</w:t>
      </w:r>
      <w:proofErr w:type="gramEnd"/>
      <w:r w:rsidRPr="006B58D7">
        <w:rPr>
          <w:rFonts w:ascii="Calibri" w:hAnsi="Calibri" w:cs="Calibri"/>
          <w:sz w:val="24"/>
        </w:rPr>
        <w:t xml:space="preserve"> NWP for Improved Wind-Electric Power Forecasts. </w:t>
      </w:r>
      <w:r w:rsidRPr="006B58D7">
        <w:rPr>
          <w:rFonts w:ascii="Calibri" w:hAnsi="Calibri" w:cs="Calibri"/>
          <w:i/>
          <w:iCs/>
          <w:sz w:val="24"/>
        </w:rPr>
        <w:t>IEEE Transactions on Industrial Informatics</w:t>
      </w:r>
      <w:r w:rsidRPr="006B58D7">
        <w:rPr>
          <w:rFonts w:ascii="Calibri" w:hAnsi="Calibri" w:cs="Calibri"/>
          <w:sz w:val="24"/>
        </w:rPr>
        <w:t xml:space="preserve">, </w:t>
      </w:r>
      <w:r w:rsidRPr="006B58D7">
        <w:rPr>
          <w:rFonts w:ascii="Calibri" w:hAnsi="Calibri" w:cs="Calibri"/>
          <w:i/>
          <w:iCs/>
          <w:sz w:val="24"/>
        </w:rPr>
        <w:t>12</w:t>
      </w:r>
      <w:r w:rsidRPr="006B58D7">
        <w:rPr>
          <w:rFonts w:ascii="Calibri" w:hAnsi="Calibri" w:cs="Calibri"/>
          <w:sz w:val="24"/>
        </w:rPr>
        <w:t>(3), 991–1004. https://doi.org/10.1109/TII.2016.2543004</w:t>
      </w:r>
    </w:p>
    <w:p w14:paraId="05975893"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Che</w:t>
      </w:r>
      <w:proofErr w:type="spellEnd"/>
      <w:r w:rsidRPr="006B58D7">
        <w:rPr>
          <w:rFonts w:ascii="Calibri" w:hAnsi="Calibri" w:cs="Calibri"/>
          <w:sz w:val="24"/>
        </w:rPr>
        <w:t xml:space="preserve">, Y., A. Salazar, A., Peng, S., Zheng, J., Chen, Y., &amp; Yuan, L. (2022). A multi-scale model for day-ahead wind speed forecasting: A case study of the </w:t>
      </w:r>
      <w:proofErr w:type="spellStart"/>
      <w:r w:rsidRPr="006B58D7">
        <w:rPr>
          <w:rFonts w:ascii="Calibri" w:hAnsi="Calibri" w:cs="Calibri"/>
          <w:sz w:val="24"/>
        </w:rPr>
        <w:t>Houhoku</w:t>
      </w:r>
      <w:proofErr w:type="spellEnd"/>
      <w:r w:rsidRPr="006B58D7">
        <w:rPr>
          <w:rFonts w:ascii="Calibri" w:hAnsi="Calibri" w:cs="Calibri"/>
          <w:sz w:val="24"/>
        </w:rPr>
        <w:t xml:space="preserve"> wind farm, Japan. </w:t>
      </w:r>
      <w:r w:rsidRPr="006B58D7">
        <w:rPr>
          <w:rFonts w:ascii="Calibri" w:hAnsi="Calibri" w:cs="Calibri"/>
          <w:i/>
          <w:iCs/>
          <w:sz w:val="24"/>
        </w:rPr>
        <w:t>Sustainable Energy Technologies and Assessments</w:t>
      </w:r>
      <w:r w:rsidRPr="006B58D7">
        <w:rPr>
          <w:rFonts w:ascii="Calibri" w:hAnsi="Calibri" w:cs="Calibri"/>
          <w:sz w:val="24"/>
        </w:rPr>
        <w:t xml:space="preserve">, </w:t>
      </w:r>
      <w:r w:rsidRPr="006B58D7">
        <w:rPr>
          <w:rFonts w:ascii="Calibri" w:hAnsi="Calibri" w:cs="Calibri"/>
          <w:i/>
          <w:iCs/>
          <w:sz w:val="24"/>
        </w:rPr>
        <w:t>52</w:t>
      </w:r>
      <w:r w:rsidRPr="006B58D7">
        <w:rPr>
          <w:rFonts w:ascii="Calibri" w:hAnsi="Calibri" w:cs="Calibri"/>
          <w:sz w:val="24"/>
        </w:rPr>
        <w:t>, 101995. https://doi.org/10.1016/j.seta.2022.101995</w:t>
      </w:r>
    </w:p>
    <w:p w14:paraId="1A2DBD72" w14:textId="77777777" w:rsidR="006B58D7" w:rsidRPr="006B58D7" w:rsidRDefault="006B58D7" w:rsidP="006B58D7">
      <w:pPr>
        <w:pStyle w:val="af2"/>
        <w:rPr>
          <w:rFonts w:ascii="Calibri" w:hAnsi="Calibri" w:cs="Calibri"/>
          <w:sz w:val="24"/>
        </w:rPr>
      </w:pPr>
      <w:r w:rsidRPr="006B58D7">
        <w:rPr>
          <w:rFonts w:ascii="Calibri" w:hAnsi="Calibri" w:cs="Calibri"/>
          <w:sz w:val="24"/>
        </w:rPr>
        <w:lastRenderedPageBreak/>
        <w:t xml:space="preserve">Chen, Y., &amp; Xu, J. (2022). Solar and wind power data from the Chinese State Grid Renewable Energy Generation Forecasting Competition. </w:t>
      </w:r>
      <w:r w:rsidRPr="006B58D7">
        <w:rPr>
          <w:rFonts w:ascii="Calibri" w:hAnsi="Calibri" w:cs="Calibri"/>
          <w:i/>
          <w:iCs/>
          <w:sz w:val="24"/>
        </w:rPr>
        <w:t>Scientific Data</w:t>
      </w:r>
      <w:r w:rsidRPr="006B58D7">
        <w:rPr>
          <w:rFonts w:ascii="Calibri" w:hAnsi="Calibri" w:cs="Calibri"/>
          <w:sz w:val="24"/>
        </w:rPr>
        <w:t xml:space="preserve">, </w:t>
      </w:r>
      <w:r w:rsidRPr="006B58D7">
        <w:rPr>
          <w:rFonts w:ascii="Calibri" w:hAnsi="Calibri" w:cs="Calibri"/>
          <w:i/>
          <w:iCs/>
          <w:sz w:val="24"/>
        </w:rPr>
        <w:t>9</w:t>
      </w:r>
      <w:r w:rsidRPr="006B58D7">
        <w:rPr>
          <w:rFonts w:ascii="Calibri" w:hAnsi="Calibri" w:cs="Calibri"/>
          <w:sz w:val="24"/>
        </w:rPr>
        <w:t>(1), 577. https://doi.org/10.1038/s41597-022-01696-6</w:t>
      </w:r>
    </w:p>
    <w:p w14:paraId="67C9812C"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Clifton, A., </w:t>
      </w:r>
      <w:proofErr w:type="spellStart"/>
      <w:r w:rsidRPr="006B58D7">
        <w:rPr>
          <w:rFonts w:ascii="Calibri" w:hAnsi="Calibri" w:cs="Calibri"/>
          <w:sz w:val="24"/>
        </w:rPr>
        <w:t>Kilcher</w:t>
      </w:r>
      <w:proofErr w:type="spellEnd"/>
      <w:r w:rsidRPr="006B58D7">
        <w:rPr>
          <w:rFonts w:ascii="Calibri" w:hAnsi="Calibri" w:cs="Calibri"/>
          <w:sz w:val="24"/>
        </w:rPr>
        <w:t xml:space="preserve">, L., Lundquist, J. K., &amp; Fleming, P. (2013). Using machine learning to predict wind turbine power output. </w:t>
      </w:r>
      <w:r w:rsidRPr="006B58D7">
        <w:rPr>
          <w:rFonts w:ascii="Calibri" w:hAnsi="Calibri" w:cs="Calibri"/>
          <w:i/>
          <w:iCs/>
          <w:sz w:val="24"/>
        </w:rPr>
        <w:t>Environmental Research Letters</w:t>
      </w:r>
      <w:r w:rsidRPr="006B58D7">
        <w:rPr>
          <w:rFonts w:ascii="Calibri" w:hAnsi="Calibri" w:cs="Calibri"/>
          <w:sz w:val="24"/>
        </w:rPr>
        <w:t xml:space="preserve">, </w:t>
      </w:r>
      <w:r w:rsidRPr="006B58D7">
        <w:rPr>
          <w:rFonts w:ascii="Calibri" w:hAnsi="Calibri" w:cs="Calibri"/>
          <w:i/>
          <w:iCs/>
          <w:sz w:val="24"/>
        </w:rPr>
        <w:t>8</w:t>
      </w:r>
      <w:r w:rsidRPr="006B58D7">
        <w:rPr>
          <w:rFonts w:ascii="Calibri" w:hAnsi="Calibri" w:cs="Calibri"/>
          <w:sz w:val="24"/>
        </w:rPr>
        <w:t>(2), 024009. https://doi.org/10.1088/1748-9326/8/2/024009</w:t>
      </w:r>
    </w:p>
    <w:p w14:paraId="386D6F1E"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Feroz</w:t>
      </w:r>
      <w:proofErr w:type="spellEnd"/>
      <w:r w:rsidRPr="006B58D7">
        <w:rPr>
          <w:rFonts w:ascii="Calibri" w:hAnsi="Calibri" w:cs="Calibri"/>
          <w:sz w:val="24"/>
        </w:rPr>
        <w:t xml:space="preserve">, R. M. A., </w:t>
      </w:r>
      <w:proofErr w:type="spellStart"/>
      <w:r w:rsidRPr="006B58D7">
        <w:rPr>
          <w:rFonts w:ascii="Calibri" w:hAnsi="Calibri" w:cs="Calibri"/>
          <w:sz w:val="24"/>
        </w:rPr>
        <w:t>Javed</w:t>
      </w:r>
      <w:proofErr w:type="spellEnd"/>
      <w:r w:rsidRPr="006B58D7">
        <w:rPr>
          <w:rFonts w:ascii="Calibri" w:hAnsi="Calibri" w:cs="Calibri"/>
          <w:sz w:val="24"/>
        </w:rPr>
        <w:t xml:space="preserve">, A., Syed, A. H., </w:t>
      </w:r>
      <w:proofErr w:type="spellStart"/>
      <w:r w:rsidRPr="006B58D7">
        <w:rPr>
          <w:rFonts w:ascii="Calibri" w:hAnsi="Calibri" w:cs="Calibri"/>
          <w:sz w:val="24"/>
        </w:rPr>
        <w:t>Kazmi</w:t>
      </w:r>
      <w:proofErr w:type="spellEnd"/>
      <w:r w:rsidRPr="006B58D7">
        <w:rPr>
          <w:rFonts w:ascii="Calibri" w:hAnsi="Calibri" w:cs="Calibri"/>
          <w:sz w:val="24"/>
        </w:rPr>
        <w:t xml:space="preserve">, S. A. A., &amp; Uddin, E. (2020). Wind speed and power forecasting of a utility-scale wind farm with inter-farm wake interference and seasonal variation. </w:t>
      </w:r>
      <w:r w:rsidRPr="006B58D7">
        <w:rPr>
          <w:rFonts w:ascii="Calibri" w:hAnsi="Calibri" w:cs="Calibri"/>
          <w:i/>
          <w:iCs/>
          <w:sz w:val="24"/>
        </w:rPr>
        <w:t>Sustainable Energy Technologies and Assessments</w:t>
      </w:r>
      <w:r w:rsidRPr="006B58D7">
        <w:rPr>
          <w:rFonts w:ascii="Calibri" w:hAnsi="Calibri" w:cs="Calibri"/>
          <w:sz w:val="24"/>
        </w:rPr>
        <w:t xml:space="preserve">, </w:t>
      </w:r>
      <w:r w:rsidRPr="006B58D7">
        <w:rPr>
          <w:rFonts w:ascii="Calibri" w:hAnsi="Calibri" w:cs="Calibri"/>
          <w:i/>
          <w:iCs/>
          <w:sz w:val="24"/>
        </w:rPr>
        <w:t>42</w:t>
      </w:r>
      <w:r w:rsidRPr="006B58D7">
        <w:rPr>
          <w:rFonts w:ascii="Calibri" w:hAnsi="Calibri" w:cs="Calibri"/>
          <w:sz w:val="24"/>
        </w:rPr>
        <w:t>, 100882. https://doi.org/10.1016/j.seta.2020.100882</w:t>
      </w:r>
    </w:p>
    <w:p w14:paraId="594CAE95"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Hanifi</w:t>
      </w:r>
      <w:proofErr w:type="spellEnd"/>
      <w:r w:rsidRPr="006B58D7">
        <w:rPr>
          <w:rFonts w:ascii="Calibri" w:hAnsi="Calibri" w:cs="Calibri"/>
          <w:sz w:val="24"/>
        </w:rPr>
        <w:t xml:space="preserve">, S., </w:t>
      </w:r>
      <w:proofErr w:type="spellStart"/>
      <w:r w:rsidRPr="006B58D7">
        <w:rPr>
          <w:rFonts w:ascii="Calibri" w:hAnsi="Calibri" w:cs="Calibri"/>
          <w:sz w:val="24"/>
        </w:rPr>
        <w:t>Cammarono</w:t>
      </w:r>
      <w:proofErr w:type="spellEnd"/>
      <w:r w:rsidRPr="006B58D7">
        <w:rPr>
          <w:rFonts w:ascii="Calibri" w:hAnsi="Calibri" w:cs="Calibri"/>
          <w:sz w:val="24"/>
        </w:rPr>
        <w:t xml:space="preserve">, A., &amp; </w:t>
      </w:r>
      <w:proofErr w:type="spellStart"/>
      <w:r w:rsidRPr="006B58D7">
        <w:rPr>
          <w:rFonts w:ascii="Calibri" w:hAnsi="Calibri" w:cs="Calibri"/>
          <w:sz w:val="24"/>
        </w:rPr>
        <w:t>Zare-Behtash</w:t>
      </w:r>
      <w:proofErr w:type="spellEnd"/>
      <w:r w:rsidRPr="006B58D7">
        <w:rPr>
          <w:rFonts w:ascii="Calibri" w:hAnsi="Calibri" w:cs="Calibri"/>
          <w:sz w:val="24"/>
        </w:rPr>
        <w:t xml:space="preserve">, H. (2024). Advanced </w:t>
      </w:r>
      <w:proofErr w:type="spellStart"/>
      <w:r w:rsidRPr="006B58D7">
        <w:rPr>
          <w:rFonts w:ascii="Calibri" w:hAnsi="Calibri" w:cs="Calibri"/>
          <w:sz w:val="24"/>
        </w:rPr>
        <w:t>hyperparameter</w:t>
      </w:r>
      <w:proofErr w:type="spellEnd"/>
      <w:r w:rsidRPr="006B58D7">
        <w:rPr>
          <w:rFonts w:ascii="Calibri" w:hAnsi="Calibri" w:cs="Calibri"/>
          <w:sz w:val="24"/>
        </w:rPr>
        <w:t xml:space="preserve"> optimization of deep learning models for wind power prediction. </w:t>
      </w:r>
      <w:r w:rsidRPr="006B58D7">
        <w:rPr>
          <w:rFonts w:ascii="Calibri" w:hAnsi="Calibri" w:cs="Calibri"/>
          <w:i/>
          <w:iCs/>
          <w:sz w:val="24"/>
        </w:rPr>
        <w:t>Renewable Energy</w:t>
      </w:r>
      <w:r w:rsidRPr="006B58D7">
        <w:rPr>
          <w:rFonts w:ascii="Calibri" w:hAnsi="Calibri" w:cs="Calibri"/>
          <w:sz w:val="24"/>
        </w:rPr>
        <w:t xml:space="preserve">, </w:t>
      </w:r>
      <w:r w:rsidRPr="006B58D7">
        <w:rPr>
          <w:rFonts w:ascii="Calibri" w:hAnsi="Calibri" w:cs="Calibri"/>
          <w:i/>
          <w:iCs/>
          <w:sz w:val="24"/>
        </w:rPr>
        <w:t>221</w:t>
      </w:r>
      <w:r w:rsidRPr="006B58D7">
        <w:rPr>
          <w:rFonts w:ascii="Calibri" w:hAnsi="Calibri" w:cs="Calibri"/>
          <w:sz w:val="24"/>
        </w:rPr>
        <w:t>, 119700. https://doi.org/10.1016/j.renene.2023.119700</w:t>
      </w:r>
    </w:p>
    <w:p w14:paraId="6DD27E6A"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Holttinen</w:t>
      </w:r>
      <w:proofErr w:type="spellEnd"/>
      <w:r w:rsidRPr="006B58D7">
        <w:rPr>
          <w:rFonts w:ascii="Calibri" w:hAnsi="Calibri" w:cs="Calibri"/>
          <w:sz w:val="24"/>
        </w:rPr>
        <w:t xml:space="preserve">, H. (2005). Optimal electricity market for wind power. </w:t>
      </w:r>
      <w:r w:rsidRPr="006B58D7">
        <w:rPr>
          <w:rFonts w:ascii="Calibri" w:hAnsi="Calibri" w:cs="Calibri"/>
          <w:i/>
          <w:iCs/>
          <w:sz w:val="24"/>
        </w:rPr>
        <w:t>Energy Policy</w:t>
      </w:r>
      <w:r w:rsidRPr="006B58D7">
        <w:rPr>
          <w:rFonts w:ascii="Calibri" w:hAnsi="Calibri" w:cs="Calibri"/>
          <w:sz w:val="24"/>
        </w:rPr>
        <w:t xml:space="preserve">, </w:t>
      </w:r>
      <w:r w:rsidRPr="006B58D7">
        <w:rPr>
          <w:rFonts w:ascii="Calibri" w:hAnsi="Calibri" w:cs="Calibri"/>
          <w:i/>
          <w:iCs/>
          <w:sz w:val="24"/>
        </w:rPr>
        <w:t>33</w:t>
      </w:r>
      <w:r w:rsidRPr="006B58D7">
        <w:rPr>
          <w:rFonts w:ascii="Calibri" w:hAnsi="Calibri" w:cs="Calibri"/>
          <w:sz w:val="24"/>
        </w:rPr>
        <w:t>(16), 2052–2063. https://doi.org/10.1016/j.enpol.2004.04.001</w:t>
      </w:r>
    </w:p>
    <w:p w14:paraId="3F48A51D"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6B58D7">
        <w:rPr>
          <w:rFonts w:ascii="Calibri" w:hAnsi="Calibri" w:cs="Calibri"/>
          <w:i/>
          <w:iCs/>
          <w:sz w:val="24"/>
        </w:rPr>
        <w:t>Journal of Renewable and Sustainable Energy</w:t>
      </w:r>
      <w:r w:rsidRPr="006B58D7">
        <w:rPr>
          <w:rFonts w:ascii="Calibri" w:hAnsi="Calibri" w:cs="Calibri"/>
          <w:sz w:val="24"/>
        </w:rPr>
        <w:t xml:space="preserve">, </w:t>
      </w:r>
      <w:r w:rsidRPr="006B58D7">
        <w:rPr>
          <w:rFonts w:ascii="Calibri" w:hAnsi="Calibri" w:cs="Calibri"/>
          <w:i/>
          <w:iCs/>
          <w:sz w:val="24"/>
        </w:rPr>
        <w:t>15</w:t>
      </w:r>
      <w:r w:rsidRPr="006B58D7">
        <w:rPr>
          <w:rFonts w:ascii="Calibri" w:hAnsi="Calibri" w:cs="Calibri"/>
          <w:sz w:val="24"/>
        </w:rPr>
        <w:t>(1), 013307. https://doi.org/10.1063/5.0127519</w:t>
      </w:r>
    </w:p>
    <w:p w14:paraId="60F32612"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Liu, H., &amp; Zhang, Z. (2024). Development and trending of deep learning methods for wind power predictions. </w:t>
      </w:r>
      <w:r w:rsidRPr="006B58D7">
        <w:rPr>
          <w:rFonts w:ascii="Calibri" w:hAnsi="Calibri" w:cs="Calibri"/>
          <w:i/>
          <w:iCs/>
          <w:sz w:val="24"/>
        </w:rPr>
        <w:t>Artificial Intelligence Review</w:t>
      </w:r>
      <w:r w:rsidRPr="006B58D7">
        <w:rPr>
          <w:rFonts w:ascii="Calibri" w:hAnsi="Calibri" w:cs="Calibri"/>
          <w:sz w:val="24"/>
        </w:rPr>
        <w:t xml:space="preserve">, </w:t>
      </w:r>
      <w:r w:rsidRPr="006B58D7">
        <w:rPr>
          <w:rFonts w:ascii="Calibri" w:hAnsi="Calibri" w:cs="Calibri"/>
          <w:i/>
          <w:iCs/>
          <w:sz w:val="24"/>
        </w:rPr>
        <w:t>57</w:t>
      </w:r>
      <w:r w:rsidRPr="006B58D7">
        <w:rPr>
          <w:rFonts w:ascii="Calibri" w:hAnsi="Calibri" w:cs="Calibri"/>
          <w:sz w:val="24"/>
        </w:rPr>
        <w:t>(5), 112. https://doi.org/10.1007/s10462-024-10728-z</w:t>
      </w:r>
    </w:p>
    <w:p w14:paraId="6B0866E4" w14:textId="77777777" w:rsidR="006B58D7" w:rsidRPr="006B58D7" w:rsidRDefault="006B58D7" w:rsidP="006B58D7">
      <w:pPr>
        <w:pStyle w:val="af2"/>
        <w:rPr>
          <w:rFonts w:ascii="Calibri" w:hAnsi="Calibri" w:cs="Calibri"/>
          <w:sz w:val="24"/>
        </w:rPr>
      </w:pPr>
      <w:r w:rsidRPr="006B58D7">
        <w:rPr>
          <w:rFonts w:ascii="Calibri" w:hAnsi="Calibri" w:cs="Calibri"/>
          <w:sz w:val="24"/>
        </w:rPr>
        <w:lastRenderedPageBreak/>
        <w:t xml:space="preserve">Mahoney, W. P., Parks, K., Wiener, G., Liu, Y., Myers, W. L., Sun, J., et al. (2012). A Wind Power Forecasting System to Optimize Grid Integration. </w:t>
      </w:r>
      <w:r w:rsidRPr="006B58D7">
        <w:rPr>
          <w:rFonts w:ascii="Calibri" w:hAnsi="Calibri" w:cs="Calibri"/>
          <w:i/>
          <w:iCs/>
          <w:sz w:val="24"/>
        </w:rPr>
        <w:t>IEEE Transactions on Sustainable Energy</w:t>
      </w:r>
      <w:r w:rsidRPr="006B58D7">
        <w:rPr>
          <w:rFonts w:ascii="Calibri" w:hAnsi="Calibri" w:cs="Calibri"/>
          <w:sz w:val="24"/>
        </w:rPr>
        <w:t xml:space="preserve">, </w:t>
      </w:r>
      <w:r w:rsidRPr="006B58D7">
        <w:rPr>
          <w:rFonts w:ascii="Calibri" w:hAnsi="Calibri" w:cs="Calibri"/>
          <w:i/>
          <w:iCs/>
          <w:sz w:val="24"/>
        </w:rPr>
        <w:t>3</w:t>
      </w:r>
      <w:r w:rsidRPr="006B58D7">
        <w:rPr>
          <w:rFonts w:ascii="Calibri" w:hAnsi="Calibri" w:cs="Calibri"/>
          <w:sz w:val="24"/>
        </w:rPr>
        <w:t>(4), 670–682. https://doi.org/10.1109/TSTE.2012.2201758</w:t>
      </w:r>
    </w:p>
    <w:p w14:paraId="3C601750"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Optis</w:t>
      </w:r>
      <w:proofErr w:type="spellEnd"/>
      <w:r w:rsidRPr="006B58D7">
        <w:rPr>
          <w:rFonts w:ascii="Calibri" w:hAnsi="Calibri" w:cs="Calibri"/>
          <w:sz w:val="24"/>
        </w:rPr>
        <w:t xml:space="preserve">, M., &amp; </w:t>
      </w:r>
      <w:proofErr w:type="spellStart"/>
      <w:r w:rsidRPr="006B58D7">
        <w:rPr>
          <w:rFonts w:ascii="Calibri" w:hAnsi="Calibri" w:cs="Calibri"/>
          <w:sz w:val="24"/>
        </w:rPr>
        <w:t>Perr</w:t>
      </w:r>
      <w:proofErr w:type="spellEnd"/>
      <w:r w:rsidRPr="006B58D7">
        <w:rPr>
          <w:rFonts w:ascii="Calibri" w:hAnsi="Calibri" w:cs="Calibri"/>
          <w:sz w:val="24"/>
        </w:rPr>
        <w:t xml:space="preserve">-Sauer, J. (2019). The importance of atmospheric turbulence and stability in machine-learning models of wind farm power production. </w:t>
      </w:r>
      <w:r w:rsidRPr="006B58D7">
        <w:rPr>
          <w:rFonts w:ascii="Calibri" w:hAnsi="Calibri" w:cs="Calibri"/>
          <w:i/>
          <w:iCs/>
          <w:sz w:val="24"/>
        </w:rPr>
        <w:t>Renewable and Sustainable Energy Reviews</w:t>
      </w:r>
      <w:r w:rsidRPr="006B58D7">
        <w:rPr>
          <w:rFonts w:ascii="Calibri" w:hAnsi="Calibri" w:cs="Calibri"/>
          <w:sz w:val="24"/>
        </w:rPr>
        <w:t xml:space="preserve">, </w:t>
      </w:r>
      <w:r w:rsidRPr="006B58D7">
        <w:rPr>
          <w:rFonts w:ascii="Calibri" w:hAnsi="Calibri" w:cs="Calibri"/>
          <w:i/>
          <w:iCs/>
          <w:sz w:val="24"/>
        </w:rPr>
        <w:t>112</w:t>
      </w:r>
      <w:r w:rsidRPr="006B58D7">
        <w:rPr>
          <w:rFonts w:ascii="Calibri" w:hAnsi="Calibri" w:cs="Calibri"/>
          <w:sz w:val="24"/>
        </w:rPr>
        <w:t>, 27–41. https://doi.org/10.1016/j.rser.2019.05.031</w:t>
      </w:r>
    </w:p>
    <w:p w14:paraId="4D6B33D9" w14:textId="77777777" w:rsidR="006B58D7" w:rsidRPr="006B58D7" w:rsidRDefault="006B58D7" w:rsidP="006B58D7">
      <w:pPr>
        <w:pStyle w:val="af2"/>
        <w:rPr>
          <w:rFonts w:ascii="Calibri" w:hAnsi="Calibri" w:cs="Calibri"/>
          <w:sz w:val="24"/>
        </w:rPr>
      </w:pPr>
      <w:proofErr w:type="spellStart"/>
      <w:r w:rsidRPr="006B58D7">
        <w:rPr>
          <w:rFonts w:ascii="Calibri" w:hAnsi="Calibri" w:cs="Calibri"/>
          <w:sz w:val="24"/>
        </w:rPr>
        <w:t>Rubanenko</w:t>
      </w:r>
      <w:proofErr w:type="spellEnd"/>
      <w:r w:rsidRPr="006B58D7">
        <w:rPr>
          <w:rFonts w:ascii="Calibri" w:hAnsi="Calibri" w:cs="Calibri"/>
          <w:sz w:val="24"/>
        </w:rPr>
        <w:t xml:space="preserve">, O., </w:t>
      </w:r>
      <w:proofErr w:type="spellStart"/>
      <w:r w:rsidRPr="006B58D7">
        <w:rPr>
          <w:rFonts w:ascii="Calibri" w:hAnsi="Calibri" w:cs="Calibri"/>
          <w:sz w:val="24"/>
        </w:rPr>
        <w:t>Miroshnyk</w:t>
      </w:r>
      <w:proofErr w:type="spellEnd"/>
      <w:r w:rsidRPr="006B58D7">
        <w:rPr>
          <w:rFonts w:ascii="Calibri" w:hAnsi="Calibri" w:cs="Calibri"/>
          <w:sz w:val="24"/>
        </w:rPr>
        <w:t xml:space="preserve">, O., Shevchenko, S., </w:t>
      </w:r>
      <w:proofErr w:type="spellStart"/>
      <w:r w:rsidRPr="006B58D7">
        <w:rPr>
          <w:rFonts w:ascii="Calibri" w:hAnsi="Calibri" w:cs="Calibri"/>
          <w:sz w:val="24"/>
        </w:rPr>
        <w:t>Yanovych</w:t>
      </w:r>
      <w:proofErr w:type="spellEnd"/>
      <w:r w:rsidRPr="006B58D7">
        <w:rPr>
          <w:rFonts w:ascii="Calibri" w:hAnsi="Calibri" w:cs="Calibri"/>
          <w:sz w:val="24"/>
        </w:rPr>
        <w:t xml:space="preserve">, V., </w:t>
      </w:r>
      <w:proofErr w:type="spellStart"/>
      <w:r w:rsidRPr="006B58D7">
        <w:rPr>
          <w:rFonts w:ascii="Calibri" w:hAnsi="Calibri" w:cs="Calibri"/>
          <w:sz w:val="24"/>
        </w:rPr>
        <w:t>Danylchenko</w:t>
      </w:r>
      <w:proofErr w:type="spellEnd"/>
      <w:r w:rsidRPr="006B58D7">
        <w:rPr>
          <w:rFonts w:ascii="Calibri" w:hAnsi="Calibri" w:cs="Calibri"/>
          <w:sz w:val="24"/>
        </w:rPr>
        <w:t xml:space="preserve">, D., &amp; </w:t>
      </w:r>
      <w:proofErr w:type="spellStart"/>
      <w:r w:rsidRPr="006B58D7">
        <w:rPr>
          <w:rFonts w:ascii="Calibri" w:hAnsi="Calibri" w:cs="Calibri"/>
          <w:sz w:val="24"/>
        </w:rPr>
        <w:t>Rubanenko</w:t>
      </w:r>
      <w:proofErr w:type="spellEnd"/>
      <w:r w:rsidRPr="006B58D7">
        <w:rPr>
          <w:rFonts w:ascii="Calibri" w:hAnsi="Calibri" w:cs="Calibri"/>
          <w:sz w:val="24"/>
        </w:rPr>
        <w:t xml:space="preserve">, O. (2020). Distribution of Wind Power Generation Dependently of Meteorological Factors. In </w:t>
      </w:r>
      <w:r w:rsidRPr="006B58D7">
        <w:rPr>
          <w:rFonts w:ascii="Calibri" w:hAnsi="Calibri" w:cs="Calibri"/>
          <w:i/>
          <w:iCs/>
          <w:sz w:val="24"/>
        </w:rPr>
        <w:t xml:space="preserve">2020 IEEE </w:t>
      </w:r>
      <w:proofErr w:type="spellStart"/>
      <w:r w:rsidRPr="006B58D7">
        <w:rPr>
          <w:rFonts w:ascii="Calibri" w:hAnsi="Calibri" w:cs="Calibri"/>
          <w:i/>
          <w:iCs/>
          <w:sz w:val="24"/>
        </w:rPr>
        <w:t>KhPI</w:t>
      </w:r>
      <w:proofErr w:type="spellEnd"/>
      <w:r w:rsidRPr="006B58D7">
        <w:rPr>
          <w:rFonts w:ascii="Calibri" w:hAnsi="Calibri" w:cs="Calibri"/>
          <w:i/>
          <w:iCs/>
          <w:sz w:val="24"/>
        </w:rPr>
        <w:t xml:space="preserve"> Week on Advanced Technology (</w:t>
      </w:r>
      <w:proofErr w:type="spellStart"/>
      <w:r w:rsidRPr="006B58D7">
        <w:rPr>
          <w:rFonts w:ascii="Calibri" w:hAnsi="Calibri" w:cs="Calibri"/>
          <w:i/>
          <w:iCs/>
          <w:sz w:val="24"/>
        </w:rPr>
        <w:t>KhPIWeek</w:t>
      </w:r>
      <w:proofErr w:type="spellEnd"/>
      <w:r w:rsidRPr="006B58D7">
        <w:rPr>
          <w:rFonts w:ascii="Calibri" w:hAnsi="Calibri" w:cs="Calibri"/>
          <w:i/>
          <w:iCs/>
          <w:sz w:val="24"/>
        </w:rPr>
        <w:t>)</w:t>
      </w:r>
      <w:r w:rsidRPr="006B58D7">
        <w:rPr>
          <w:rFonts w:ascii="Calibri" w:hAnsi="Calibri" w:cs="Calibri"/>
          <w:sz w:val="24"/>
        </w:rPr>
        <w:t xml:space="preserve"> (pp. 472–477). </w:t>
      </w:r>
      <w:proofErr w:type="spellStart"/>
      <w:r w:rsidRPr="006B58D7">
        <w:rPr>
          <w:rFonts w:ascii="Calibri" w:hAnsi="Calibri" w:cs="Calibri"/>
          <w:sz w:val="24"/>
        </w:rPr>
        <w:t>Kharkiv</w:t>
      </w:r>
      <w:proofErr w:type="spellEnd"/>
      <w:r w:rsidRPr="006B58D7">
        <w:rPr>
          <w:rFonts w:ascii="Calibri" w:hAnsi="Calibri" w:cs="Calibri"/>
          <w:sz w:val="24"/>
        </w:rPr>
        <w:t>, Ukraine: IEEE. https://doi.org/10.1109/KhPIWeek51551.2020.9250114</w:t>
      </w:r>
    </w:p>
    <w:p w14:paraId="24B0F93B"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Sasser, C., Yu, M., &amp; Delgado, R. (2022). Improvement of wind power prediction from meteorological characterization with machine learning models. </w:t>
      </w:r>
      <w:r w:rsidRPr="006B58D7">
        <w:rPr>
          <w:rFonts w:ascii="Calibri" w:hAnsi="Calibri" w:cs="Calibri"/>
          <w:i/>
          <w:iCs/>
          <w:sz w:val="24"/>
        </w:rPr>
        <w:t>Renewable Energy</w:t>
      </w:r>
      <w:r w:rsidRPr="006B58D7">
        <w:rPr>
          <w:rFonts w:ascii="Calibri" w:hAnsi="Calibri" w:cs="Calibri"/>
          <w:sz w:val="24"/>
        </w:rPr>
        <w:t xml:space="preserve">, </w:t>
      </w:r>
      <w:r w:rsidRPr="006B58D7">
        <w:rPr>
          <w:rFonts w:ascii="Calibri" w:hAnsi="Calibri" w:cs="Calibri"/>
          <w:i/>
          <w:iCs/>
          <w:sz w:val="24"/>
        </w:rPr>
        <w:t>183</w:t>
      </w:r>
      <w:r w:rsidRPr="006B58D7">
        <w:rPr>
          <w:rFonts w:ascii="Calibri" w:hAnsi="Calibri" w:cs="Calibri"/>
          <w:sz w:val="24"/>
        </w:rPr>
        <w:t>, 491–501. https://doi.org/10.1016/j.renene.2021.10.034</w:t>
      </w:r>
    </w:p>
    <w:p w14:paraId="34560767"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Sun, H., &amp; Yang, H. (2023). Wind farm layout and hub height optimization with a novel wake model. </w:t>
      </w:r>
      <w:r w:rsidRPr="006B58D7">
        <w:rPr>
          <w:rFonts w:ascii="Calibri" w:hAnsi="Calibri" w:cs="Calibri"/>
          <w:i/>
          <w:iCs/>
          <w:sz w:val="24"/>
        </w:rPr>
        <w:t>Applied Energy</w:t>
      </w:r>
      <w:r w:rsidRPr="006B58D7">
        <w:rPr>
          <w:rFonts w:ascii="Calibri" w:hAnsi="Calibri" w:cs="Calibri"/>
          <w:sz w:val="24"/>
        </w:rPr>
        <w:t xml:space="preserve">, </w:t>
      </w:r>
      <w:r w:rsidRPr="006B58D7">
        <w:rPr>
          <w:rFonts w:ascii="Calibri" w:hAnsi="Calibri" w:cs="Calibri"/>
          <w:i/>
          <w:iCs/>
          <w:sz w:val="24"/>
        </w:rPr>
        <w:t>348</w:t>
      </w:r>
      <w:r w:rsidRPr="006B58D7">
        <w:rPr>
          <w:rFonts w:ascii="Calibri" w:hAnsi="Calibri" w:cs="Calibri"/>
          <w:sz w:val="24"/>
        </w:rPr>
        <w:t>, 121554. https://doi.org/10.1016/j.apenergy.2023.121554</w:t>
      </w:r>
    </w:p>
    <w:p w14:paraId="6366D262"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Turbines—Part, W. (2005). 12-1: Power Performance Measurements of Electricity Producing Wind Turbines. </w:t>
      </w:r>
      <w:r w:rsidRPr="006B58D7">
        <w:rPr>
          <w:rFonts w:ascii="Calibri" w:hAnsi="Calibri" w:cs="Calibri"/>
          <w:i/>
          <w:iCs/>
          <w:sz w:val="24"/>
        </w:rPr>
        <w:t>British Standard, IEC</w:t>
      </w:r>
      <w:r w:rsidRPr="006B58D7">
        <w:rPr>
          <w:rFonts w:ascii="Calibri" w:hAnsi="Calibri" w:cs="Calibri"/>
          <w:sz w:val="24"/>
        </w:rPr>
        <w:t>, 61400–12.</w:t>
      </w:r>
    </w:p>
    <w:p w14:paraId="7AA1DCE1"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Wagner, R., Antoniou, I., Pedersen, S. M., Courtney, M. S., &amp; </w:t>
      </w:r>
      <w:proofErr w:type="spellStart"/>
      <w:r w:rsidRPr="006B58D7">
        <w:rPr>
          <w:rFonts w:ascii="Calibri" w:hAnsi="Calibri" w:cs="Calibri"/>
          <w:sz w:val="24"/>
        </w:rPr>
        <w:t>Jørgensen</w:t>
      </w:r>
      <w:proofErr w:type="spellEnd"/>
      <w:r w:rsidRPr="006B58D7">
        <w:rPr>
          <w:rFonts w:ascii="Calibri" w:hAnsi="Calibri" w:cs="Calibri"/>
          <w:sz w:val="24"/>
        </w:rPr>
        <w:t xml:space="preserve">, H. E. (2009). The influence of the wind speed profile on wind turbine performance measurements. </w:t>
      </w:r>
      <w:r w:rsidRPr="006B58D7">
        <w:rPr>
          <w:rFonts w:ascii="Calibri" w:hAnsi="Calibri" w:cs="Calibri"/>
          <w:i/>
          <w:iCs/>
          <w:sz w:val="24"/>
        </w:rPr>
        <w:t>Wind Energy</w:t>
      </w:r>
      <w:r w:rsidRPr="006B58D7">
        <w:rPr>
          <w:rFonts w:ascii="Calibri" w:hAnsi="Calibri" w:cs="Calibri"/>
          <w:sz w:val="24"/>
        </w:rPr>
        <w:t xml:space="preserve">, </w:t>
      </w:r>
      <w:r w:rsidRPr="006B58D7">
        <w:rPr>
          <w:rFonts w:ascii="Calibri" w:hAnsi="Calibri" w:cs="Calibri"/>
          <w:i/>
          <w:iCs/>
          <w:sz w:val="24"/>
        </w:rPr>
        <w:t>12</w:t>
      </w:r>
      <w:r w:rsidRPr="006B58D7">
        <w:rPr>
          <w:rFonts w:ascii="Calibri" w:hAnsi="Calibri" w:cs="Calibri"/>
          <w:sz w:val="24"/>
        </w:rPr>
        <w:t>(4), 348–362. https://doi.org/10.1002/we.297</w:t>
      </w:r>
    </w:p>
    <w:p w14:paraId="2EA3976E" w14:textId="77777777" w:rsidR="006B58D7" w:rsidRPr="006B58D7" w:rsidRDefault="006B58D7" w:rsidP="006B58D7">
      <w:pPr>
        <w:pStyle w:val="af2"/>
        <w:rPr>
          <w:rFonts w:ascii="Calibri" w:hAnsi="Calibri" w:cs="Calibri"/>
          <w:sz w:val="24"/>
        </w:rPr>
      </w:pPr>
      <w:r w:rsidRPr="006B58D7">
        <w:rPr>
          <w:rFonts w:ascii="Calibri" w:hAnsi="Calibri" w:cs="Calibri"/>
          <w:sz w:val="24"/>
        </w:rPr>
        <w:lastRenderedPageBreak/>
        <w:t xml:space="preserve">Wharton, S., &amp; Lundquist, J. K. (2012). Atmospheric stability affects wind turbine power collection. </w:t>
      </w:r>
      <w:r w:rsidRPr="006B58D7">
        <w:rPr>
          <w:rFonts w:ascii="Calibri" w:hAnsi="Calibri" w:cs="Calibri"/>
          <w:i/>
          <w:iCs/>
          <w:sz w:val="24"/>
        </w:rPr>
        <w:t>Environmental Research Letters</w:t>
      </w:r>
      <w:r w:rsidRPr="006B58D7">
        <w:rPr>
          <w:rFonts w:ascii="Calibri" w:hAnsi="Calibri" w:cs="Calibri"/>
          <w:sz w:val="24"/>
        </w:rPr>
        <w:t xml:space="preserve">, </w:t>
      </w:r>
      <w:r w:rsidRPr="006B58D7">
        <w:rPr>
          <w:rFonts w:ascii="Calibri" w:hAnsi="Calibri" w:cs="Calibri"/>
          <w:i/>
          <w:iCs/>
          <w:sz w:val="24"/>
        </w:rPr>
        <w:t>7</w:t>
      </w:r>
      <w:r w:rsidRPr="006B58D7">
        <w:rPr>
          <w:rFonts w:ascii="Calibri" w:hAnsi="Calibri" w:cs="Calibri"/>
          <w:sz w:val="24"/>
        </w:rPr>
        <w:t>(1), 014005. https://doi.org/10.1088/1748-9326/7/1/014005</w:t>
      </w:r>
    </w:p>
    <w:p w14:paraId="54F51BD2"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Xia, X., Luo, Y., Li, P., Chang, R., Liao, Z., &amp; Huang, L. (2026). Systematic evaluation of transformer-based time series forecasting models for post-processing WRF-simulated wind speed and predicting short-term power output. </w:t>
      </w:r>
      <w:r w:rsidRPr="006B58D7">
        <w:rPr>
          <w:rFonts w:ascii="Calibri" w:hAnsi="Calibri" w:cs="Calibri"/>
          <w:i/>
          <w:iCs/>
          <w:sz w:val="24"/>
        </w:rPr>
        <w:t>Applied Energy</w:t>
      </w:r>
      <w:r w:rsidRPr="006B58D7">
        <w:rPr>
          <w:rFonts w:ascii="Calibri" w:hAnsi="Calibri" w:cs="Calibri"/>
          <w:sz w:val="24"/>
        </w:rPr>
        <w:t xml:space="preserve">, </w:t>
      </w:r>
      <w:r w:rsidRPr="006B58D7">
        <w:rPr>
          <w:rFonts w:ascii="Calibri" w:hAnsi="Calibri" w:cs="Calibri"/>
          <w:i/>
          <w:iCs/>
          <w:sz w:val="24"/>
        </w:rPr>
        <w:t>403</w:t>
      </w:r>
      <w:r w:rsidRPr="006B58D7">
        <w:rPr>
          <w:rFonts w:ascii="Calibri" w:hAnsi="Calibri" w:cs="Calibri"/>
          <w:sz w:val="24"/>
        </w:rPr>
        <w:t>, 127070. https://doi.org/10.1016/j.apenergy.2025.127070</w:t>
      </w:r>
    </w:p>
    <w:p w14:paraId="5A391E5B" w14:textId="77777777" w:rsidR="006B58D7" w:rsidRPr="006B58D7" w:rsidRDefault="006B58D7" w:rsidP="006B58D7">
      <w:pPr>
        <w:pStyle w:val="af2"/>
        <w:rPr>
          <w:rFonts w:ascii="Calibri" w:hAnsi="Calibri" w:cs="Calibri"/>
          <w:sz w:val="24"/>
        </w:rPr>
      </w:pPr>
      <w:r w:rsidRPr="006B58D7">
        <w:rPr>
          <w:rFonts w:ascii="Calibri" w:hAnsi="Calibri" w:cs="Calibri"/>
          <w:sz w:val="24"/>
        </w:rPr>
        <w:t xml:space="preserve">Ye, L., Zhao, Y., Zeng, C., &amp; Zhang, C. (2017). Short-term wind power prediction based on spatial model. </w:t>
      </w:r>
      <w:r w:rsidRPr="006B58D7">
        <w:rPr>
          <w:rFonts w:ascii="Calibri" w:hAnsi="Calibri" w:cs="Calibri"/>
          <w:i/>
          <w:iCs/>
          <w:sz w:val="24"/>
        </w:rPr>
        <w:t>Renewable Energy</w:t>
      </w:r>
      <w:r w:rsidRPr="006B58D7">
        <w:rPr>
          <w:rFonts w:ascii="Calibri" w:hAnsi="Calibri" w:cs="Calibri"/>
          <w:sz w:val="24"/>
        </w:rPr>
        <w:t xml:space="preserve">, </w:t>
      </w:r>
      <w:r w:rsidRPr="006B58D7">
        <w:rPr>
          <w:rFonts w:ascii="Calibri" w:hAnsi="Calibri" w:cs="Calibri"/>
          <w:i/>
          <w:iCs/>
          <w:sz w:val="24"/>
        </w:rPr>
        <w:t>101</w:t>
      </w:r>
      <w:r w:rsidRPr="006B58D7">
        <w:rPr>
          <w:rFonts w:ascii="Calibri" w:hAnsi="Calibri" w:cs="Calibri"/>
          <w:sz w:val="24"/>
        </w:rPr>
        <w:t>, 1067–1074. https://doi.org/10.1016/j.renene.2016.09.069</w:t>
      </w:r>
    </w:p>
    <w:p w14:paraId="07073118" w14:textId="5C4E6572" w:rsidR="00964E53" w:rsidRPr="002F2FF8" w:rsidRDefault="002F2FF8" w:rsidP="002F2FF8">
      <w:pPr>
        <w:shd w:val="clear" w:color="auto" w:fill="FFFFFF"/>
        <w:spacing w:line="480" w:lineRule="auto"/>
        <w:rPr>
          <w:rFonts w:asciiTheme="minorHAnsi" w:eastAsia="Times New Roman" w:hAnsiTheme="minorHAnsi" w:cstheme="minorHAnsi"/>
          <w:color w:val="262626"/>
          <w:sz w:val="24"/>
          <w:szCs w:val="24"/>
        </w:rPr>
      </w:pPr>
      <w:r>
        <w:rPr>
          <w:rFonts w:asciiTheme="minorHAnsi" w:eastAsia="Times New Roman" w:hAnsiTheme="minorHAnsi" w:cstheme="minorHAnsi"/>
          <w:color w:val="262626"/>
          <w:sz w:val="24"/>
          <w:szCs w:val="24"/>
        </w:rPr>
        <w:fldChar w:fldCharType="end"/>
      </w:r>
    </w:p>
    <w:p w14:paraId="29C5320B" w14:textId="77777777" w:rsidR="00964E53" w:rsidRDefault="00964E53">
      <w:pPr>
        <w:rPr>
          <w:rFonts w:asciiTheme="minorHAnsi" w:eastAsia="Times New Roman" w:hAnsiTheme="minorHAnsi" w:cstheme="minorHAnsi"/>
          <w:sz w:val="24"/>
          <w:szCs w:val="24"/>
        </w:rPr>
      </w:pPr>
      <w:r>
        <w:rPr>
          <w:rFonts w:asciiTheme="minorHAnsi" w:eastAsia="Times New Roman" w:hAnsiTheme="minorHAnsi" w:cstheme="minorHAnsi"/>
          <w:sz w:val="24"/>
          <w:szCs w:val="24"/>
        </w:rPr>
        <w:br w:type="page"/>
      </w:r>
    </w:p>
    <w:p w14:paraId="1C006915" w14:textId="4A662306"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lastRenderedPageBreak/>
        <w:t>Figure 1. The figure caption should begin with an overall descriptive statement of the figure followed by additional text. They should be immediately after each figure.  Figure parts are indicated with lower-case letters (a, b, c…).  For initial submission, please place both the figures and captions in the text near where they are cited rather than at the end of the file (not both).  At revision, captions can be placed in-text or at the end of the file, and figures should be uploaded separately. Each figure should be one complete, cohesive file (please do not upload sub-figures or figure parts in separate files). Data that supports the figure must be preserved in a repository, included in the Open Research section, and cited in the References.  Include detailed information on how to recreate the figure in support of transparency (e.g., Python, R library).</w:t>
      </w:r>
    </w:p>
    <w:p w14:paraId="5636B248" w14:textId="56CBF9E8" w:rsidR="00CF3DEE" w:rsidRPr="00850691" w:rsidRDefault="00995CAA" w:rsidP="00995CAA">
      <w:pPr>
        <w:pStyle w:val="Reference"/>
        <w:ind w:left="0" w:firstLine="0"/>
        <w:rPr>
          <w:rFonts w:asciiTheme="minorHAnsi" w:hAnsiTheme="minorHAnsi" w:cstheme="minorHAnsi"/>
          <w:bCs/>
          <w:kern w:val="28"/>
        </w:rPr>
      </w:pPr>
      <w:r w:rsidRPr="00850691">
        <w:rPr>
          <w:rFonts w:asciiTheme="minorHAnsi" w:hAnsiTheme="minorHAnsi" w:cstheme="minorHAnsi"/>
          <w:b/>
          <w:bCs/>
          <w:color w:val="262626"/>
        </w:rPr>
        <w:t>Table 1. Start this caption with a short description of your table. Format tables using the Word Table commands and structures. Additional information on table formatting can be found in our Style Guide,</w:t>
      </w:r>
      <w:hyperlink r:id="rId21" w:anchor="tables" w:history="1">
        <w:r w:rsidRPr="00850691">
          <w:rPr>
            <w:rFonts w:asciiTheme="minorHAnsi" w:hAnsiTheme="minorHAnsi" w:cstheme="minorHAnsi"/>
            <w:b/>
            <w:bCs/>
            <w:color w:val="262626"/>
            <w:u w:val="single"/>
          </w:rPr>
          <w:t xml:space="preserve"> </w:t>
        </w:r>
        <w:r w:rsidRPr="00850691">
          <w:rPr>
            <w:rFonts w:asciiTheme="minorHAnsi" w:hAnsiTheme="minorHAnsi" w:cstheme="minorHAnsi"/>
            <w:b/>
            <w:bCs/>
            <w:color w:val="0000FF"/>
            <w:u w:val="single"/>
          </w:rPr>
          <w:t>Table Formatting</w:t>
        </w:r>
      </w:hyperlink>
      <w:r w:rsidRPr="00850691">
        <w:rPr>
          <w:rFonts w:asciiTheme="minorHAnsi" w:hAnsiTheme="minorHAnsi" w:cstheme="minorHAnsi"/>
          <w:b/>
          <w:bCs/>
          <w:color w:val="262626"/>
        </w:rPr>
        <w:t>.  Do not create tables using spaces or tab characters.   Large tables should not be included in the main text of the paper, but instead preserved as a .csv file in a repository. All data displayed in tables must be preserved in a repository, included in the Open Research section, and cited in the References.</w:t>
      </w:r>
    </w:p>
    <w:p w14:paraId="68D05BE6" w14:textId="106D471A" w:rsidR="008A6077" w:rsidRPr="00850691" w:rsidRDefault="00B120F3" w:rsidP="008A6077">
      <w:pPr>
        <w:pStyle w:val="FigureorTableCaption"/>
        <w:rPr>
          <w:rFonts w:asciiTheme="minorHAnsi" w:hAnsiTheme="minorHAnsi" w:cstheme="minorHAnsi"/>
        </w:rPr>
      </w:pPr>
      <w:r w:rsidRPr="00850691">
        <w:rPr>
          <w:rFonts w:asciiTheme="minorHAnsi" w:hAnsiTheme="minorHAnsi" w:cstheme="minorHAnsi"/>
          <w:b/>
        </w:rPr>
        <w:t>Figure</w:t>
      </w:r>
      <w:r w:rsidR="008A6077" w:rsidRPr="00850691">
        <w:rPr>
          <w:rFonts w:asciiTheme="minorHAnsi" w:hAnsiTheme="minorHAnsi" w:cstheme="minorHAnsi"/>
          <w:b/>
        </w:rPr>
        <w:t xml:space="preserve"> 1</w:t>
      </w:r>
      <w:r w:rsidR="008A6077" w:rsidRPr="00850691">
        <w:rPr>
          <w:rFonts w:asciiTheme="minorHAnsi" w:hAnsiTheme="minorHAnsi" w:cstheme="minorHAnsi"/>
        </w:rPr>
        <w:t xml:space="preserve">. The figure caption should begin with an overall descriptive statement of the figure followed by additional text. They should be immediately after each figure.  Figure parts are indicated with </w:t>
      </w:r>
      <w:r w:rsidR="002B6F74" w:rsidRPr="00850691">
        <w:rPr>
          <w:rFonts w:asciiTheme="minorHAnsi" w:hAnsiTheme="minorHAnsi" w:cstheme="minorHAnsi"/>
        </w:rPr>
        <w:t>lower-case</w:t>
      </w:r>
      <w:r w:rsidR="008A6077" w:rsidRPr="00850691">
        <w:rPr>
          <w:rFonts w:asciiTheme="minorHAnsi" w:hAnsiTheme="minorHAnsi" w:cstheme="minorHAnsi"/>
        </w:rPr>
        <w:t xml:space="preserve"> letters (</w:t>
      </w:r>
      <w:r w:rsidR="002B6F74" w:rsidRPr="00850691">
        <w:rPr>
          <w:rFonts w:asciiTheme="minorHAnsi" w:hAnsiTheme="minorHAnsi" w:cstheme="minorHAnsi"/>
          <w:b/>
        </w:rPr>
        <w:t>a, b, c…</w:t>
      </w:r>
      <w:r w:rsidR="008A6077" w:rsidRPr="00850691">
        <w:rPr>
          <w:rFonts w:asciiTheme="minorHAnsi" w:hAnsiTheme="minorHAnsi" w:cstheme="minorHAnsi"/>
        </w:rPr>
        <w:t xml:space="preserve">).  </w:t>
      </w:r>
      <w:r w:rsidR="005358D5" w:rsidRPr="00850691">
        <w:rPr>
          <w:rFonts w:asciiTheme="minorHAnsi" w:hAnsiTheme="minorHAnsi" w:cstheme="minorHAnsi"/>
        </w:rPr>
        <w:t xml:space="preserve">For initial submission, </w:t>
      </w:r>
      <w:r w:rsidR="00855B07" w:rsidRPr="00850691">
        <w:rPr>
          <w:rFonts w:asciiTheme="minorHAnsi" w:hAnsiTheme="minorHAnsi" w:cstheme="minorHAnsi"/>
        </w:rPr>
        <w:t>please</w:t>
      </w:r>
      <w:r w:rsidR="008A6077" w:rsidRPr="00850691">
        <w:rPr>
          <w:rFonts w:asciiTheme="minorHAnsi" w:hAnsiTheme="minorHAnsi" w:cstheme="minorHAnsi"/>
        </w:rPr>
        <w:t xml:space="preserve"> place both </w:t>
      </w:r>
      <w:r w:rsidR="002B6F74" w:rsidRPr="00850691">
        <w:rPr>
          <w:rFonts w:asciiTheme="minorHAnsi" w:hAnsiTheme="minorHAnsi" w:cstheme="minorHAnsi"/>
        </w:rPr>
        <w:t>the figures and captions in</w:t>
      </w:r>
      <w:r w:rsidR="008A6077" w:rsidRPr="00850691">
        <w:rPr>
          <w:rFonts w:asciiTheme="minorHAnsi" w:hAnsiTheme="minorHAnsi" w:cstheme="minorHAnsi"/>
        </w:rPr>
        <w:t xml:space="preserve"> the text near where they are cited rather than at the end of the file (not both).  </w:t>
      </w:r>
      <w:r w:rsidR="005358D5" w:rsidRPr="00850691">
        <w:rPr>
          <w:rFonts w:asciiTheme="minorHAnsi" w:hAnsiTheme="minorHAnsi" w:cstheme="minorHAnsi"/>
        </w:rPr>
        <w:t xml:space="preserve">At revision, captions </w:t>
      </w:r>
      <w:r w:rsidR="00CF3DEE" w:rsidRPr="00850691">
        <w:rPr>
          <w:rFonts w:asciiTheme="minorHAnsi" w:hAnsiTheme="minorHAnsi" w:cstheme="minorHAnsi"/>
        </w:rPr>
        <w:t>can</w:t>
      </w:r>
      <w:r w:rsidR="005358D5" w:rsidRPr="00850691">
        <w:rPr>
          <w:rFonts w:asciiTheme="minorHAnsi" w:hAnsiTheme="minorHAnsi" w:cstheme="minorHAnsi"/>
        </w:rPr>
        <w:t xml:space="preserve"> be placed</w:t>
      </w:r>
      <w:r w:rsidR="00CF3DEE" w:rsidRPr="00850691">
        <w:rPr>
          <w:rFonts w:asciiTheme="minorHAnsi" w:hAnsiTheme="minorHAnsi" w:cstheme="minorHAnsi"/>
        </w:rPr>
        <w:t xml:space="preserve"> in-text or</w:t>
      </w:r>
      <w:r w:rsidR="005358D5" w:rsidRPr="00850691">
        <w:rPr>
          <w:rFonts w:asciiTheme="minorHAnsi" w:hAnsiTheme="minorHAnsi" w:cstheme="minorHAnsi"/>
        </w:rPr>
        <w:t xml:space="preserve"> at the end of the file, and figures should be uploaded separately</w:t>
      </w:r>
      <w:r w:rsidR="002B6F74" w:rsidRPr="00850691">
        <w:rPr>
          <w:rFonts w:asciiTheme="minorHAnsi" w:hAnsiTheme="minorHAnsi" w:cstheme="minorHAnsi"/>
        </w:rPr>
        <w:t>. Each figure should be one complete</w:t>
      </w:r>
      <w:r w:rsidR="00CF3DEE" w:rsidRPr="00850691">
        <w:rPr>
          <w:rFonts w:asciiTheme="minorHAnsi" w:hAnsiTheme="minorHAnsi" w:cstheme="minorHAnsi"/>
        </w:rPr>
        <w:t>, cohesive</w:t>
      </w:r>
      <w:r w:rsidR="002B6F74" w:rsidRPr="00850691">
        <w:rPr>
          <w:rFonts w:asciiTheme="minorHAnsi" w:hAnsiTheme="minorHAnsi" w:cstheme="minorHAnsi"/>
        </w:rPr>
        <w:t xml:space="preserve"> file (please do not upload </w:t>
      </w:r>
      <w:r w:rsidR="00F45E57" w:rsidRPr="00850691">
        <w:rPr>
          <w:rFonts w:asciiTheme="minorHAnsi" w:hAnsiTheme="minorHAnsi" w:cstheme="minorHAnsi"/>
        </w:rPr>
        <w:t>sub-figures</w:t>
      </w:r>
      <w:r w:rsidR="00CF3DEE" w:rsidRPr="00850691">
        <w:rPr>
          <w:rFonts w:asciiTheme="minorHAnsi" w:hAnsiTheme="minorHAnsi" w:cstheme="minorHAnsi"/>
        </w:rPr>
        <w:t xml:space="preserve"> or figure parts</w:t>
      </w:r>
      <w:r w:rsidR="00F45E57" w:rsidRPr="00850691">
        <w:rPr>
          <w:rFonts w:asciiTheme="minorHAnsi" w:hAnsiTheme="minorHAnsi" w:cstheme="minorHAnsi"/>
        </w:rPr>
        <w:t xml:space="preserve"> in separate files</w:t>
      </w:r>
      <w:r w:rsidR="002B6F74" w:rsidRPr="00850691">
        <w:rPr>
          <w:rFonts w:asciiTheme="minorHAnsi" w:hAnsiTheme="minorHAnsi" w:cstheme="minorHAnsi"/>
        </w:rPr>
        <w:t>)</w:t>
      </w:r>
      <w:r w:rsidR="005358D5" w:rsidRPr="00850691">
        <w:rPr>
          <w:rFonts w:asciiTheme="minorHAnsi" w:hAnsiTheme="minorHAnsi" w:cstheme="minorHAnsi"/>
        </w:rPr>
        <w:t>.</w:t>
      </w:r>
    </w:p>
    <w:p w14:paraId="08C1EA35" w14:textId="3321A44A" w:rsidR="008A6077" w:rsidRPr="00850691" w:rsidRDefault="008A6077" w:rsidP="008A6077">
      <w:pPr>
        <w:pStyle w:val="FigureorTableCaption"/>
        <w:rPr>
          <w:rFonts w:asciiTheme="minorHAnsi" w:hAnsiTheme="minorHAnsi" w:cstheme="minorHAnsi"/>
        </w:rPr>
      </w:pPr>
      <w:r w:rsidRPr="00850691">
        <w:rPr>
          <w:rFonts w:asciiTheme="minorHAnsi" w:hAnsiTheme="minorHAnsi" w:cstheme="minorHAnsi"/>
          <w:b/>
        </w:rPr>
        <w:t>Table 1.</w:t>
      </w:r>
      <w:r w:rsidRPr="00850691">
        <w:rPr>
          <w:rFonts w:asciiTheme="minorHAnsi" w:hAnsiTheme="minorHAnsi" w:cstheme="minorHAnsi"/>
        </w:rPr>
        <w:t xml:space="preserve"> Start this caption with a short description of your table. Format tables using the Word Table commands and structures.</w:t>
      </w:r>
      <w:r w:rsidR="007B4B93" w:rsidRPr="00850691">
        <w:rPr>
          <w:rFonts w:asciiTheme="minorHAnsi" w:hAnsiTheme="minorHAnsi" w:cstheme="minorHAnsi"/>
        </w:rPr>
        <w:t xml:space="preserve"> Additional information on table formatting can be found in our Style Guide, </w:t>
      </w:r>
      <w:hyperlink r:id="rId22" w:anchor="tables" w:history="1">
        <w:r w:rsidR="007B4B93" w:rsidRPr="00850691">
          <w:rPr>
            <w:rStyle w:val="a7"/>
            <w:rFonts w:asciiTheme="minorHAnsi" w:hAnsiTheme="minorHAnsi" w:cstheme="minorHAnsi"/>
          </w:rPr>
          <w:t>Table Formatting</w:t>
        </w:r>
      </w:hyperlink>
      <w:r w:rsidR="007B4B93" w:rsidRPr="00850691">
        <w:rPr>
          <w:rFonts w:asciiTheme="minorHAnsi" w:hAnsiTheme="minorHAnsi" w:cstheme="minorHAnsi"/>
        </w:rPr>
        <w:t>.</w:t>
      </w:r>
      <w:r w:rsidRPr="00850691">
        <w:rPr>
          <w:rFonts w:asciiTheme="minorHAnsi" w:hAnsiTheme="minorHAnsi" w:cstheme="minorHAnsi"/>
        </w:rPr>
        <w:t xml:space="preserve">  Do not create tables using spaces or tabs characters.</w:t>
      </w:r>
      <w:r w:rsidR="00B120F3" w:rsidRPr="00850691">
        <w:rPr>
          <w:rFonts w:asciiTheme="minorHAnsi" w:hAnsiTheme="minorHAnsi" w:cstheme="minorHAnsi"/>
        </w:rPr>
        <w:t xml:space="preserve">  Large tables presenting rich data should be presented as separate excel or .cs</w:t>
      </w:r>
      <w:r w:rsidR="0046739F" w:rsidRPr="00850691">
        <w:rPr>
          <w:rFonts w:asciiTheme="minorHAnsi" w:hAnsiTheme="minorHAnsi" w:cstheme="minorHAnsi"/>
        </w:rPr>
        <w:t>v</w:t>
      </w:r>
      <w:r w:rsidR="00B120F3" w:rsidRPr="00850691">
        <w:rPr>
          <w:rFonts w:asciiTheme="minorHAnsi" w:hAnsiTheme="minorHAnsi" w:cstheme="minorHAnsi"/>
        </w:rPr>
        <w:t xml:space="preserve"> files, not as part of the main text. </w:t>
      </w:r>
    </w:p>
    <w:p w14:paraId="2B7C9A8E" w14:textId="77777777" w:rsidR="00BF0028" w:rsidRPr="00850691" w:rsidRDefault="00BF0028">
      <w:pPr>
        <w:rPr>
          <w:rFonts w:asciiTheme="minorHAnsi" w:hAnsiTheme="minorHAnsi" w:cstheme="minorHAnsi"/>
        </w:rPr>
      </w:pPr>
    </w:p>
    <w:sectPr w:rsidR="00BF0028" w:rsidRPr="00850691" w:rsidSect="00BD47BB">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C1A62E" w14:textId="77777777" w:rsidR="003355F2" w:rsidRDefault="003355F2" w:rsidP="000379AB">
      <w:r>
        <w:separator/>
      </w:r>
    </w:p>
  </w:endnote>
  <w:endnote w:type="continuationSeparator" w:id="0">
    <w:p w14:paraId="664615EF" w14:textId="77777777" w:rsidR="003355F2" w:rsidRDefault="003355F2"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ED28E" w14:textId="2FE9AD18" w:rsidR="00DD6745" w:rsidRDefault="00DD6745" w:rsidP="00B719C8">
    <w:pPr>
      <w:pStyle w:val="a9"/>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A22B8C" w14:textId="77777777" w:rsidR="003355F2" w:rsidRDefault="003355F2" w:rsidP="000379AB">
      <w:r>
        <w:separator/>
      </w:r>
    </w:p>
  </w:footnote>
  <w:footnote w:type="continuationSeparator" w:id="0">
    <w:p w14:paraId="63A52A98" w14:textId="77777777" w:rsidR="003355F2" w:rsidRDefault="003355F2" w:rsidP="000379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5FE63" w14:textId="5B06B9A4" w:rsidR="00DD6745" w:rsidRDefault="00DD6745" w:rsidP="007778ED">
    <w:pPr>
      <w:pStyle w:val="a5"/>
      <w:jc w:val="center"/>
    </w:pPr>
    <w:r>
      <w:t xml:space="preserve">manuscript submitted to </w:t>
    </w:r>
    <w:r>
      <w:rPr>
        <w:i/>
      </w:rPr>
      <w:t xml:space="preserve">replace this text with name of </w:t>
    </w:r>
    <w:r w:rsidRPr="007778ED">
      <w:rPr>
        <w:i/>
      </w:rPr>
      <w:t>AGU journal</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75CCC" w14:textId="2816AD77" w:rsidR="00DD6745" w:rsidRDefault="00DD6745" w:rsidP="00E31404">
    <w:pPr>
      <w:pStyle w:val="a5"/>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12"/>
  </w:num>
  <w:num w:numId="4">
    <w:abstractNumId w:val="5"/>
  </w:num>
  <w:num w:numId="5">
    <w:abstractNumId w:val="6"/>
  </w:num>
  <w:num w:numId="6">
    <w:abstractNumId w:val="8"/>
  </w:num>
  <w:num w:numId="7">
    <w:abstractNumId w:val="10"/>
  </w:num>
  <w:num w:numId="8">
    <w:abstractNumId w:val="11"/>
  </w:num>
  <w:num w:numId="9">
    <w:abstractNumId w:val="3"/>
  </w:num>
  <w:num w:numId="10">
    <w:abstractNumId w:val="7"/>
  </w:num>
  <w:num w:numId="11">
    <w:abstractNumId w:val="4"/>
  </w:num>
  <w:num w:numId="12">
    <w:abstractNumId w:val="14"/>
  </w:num>
  <w:num w:numId="13">
    <w:abstractNumId w:val="0"/>
  </w:num>
  <w:num w:numId="14">
    <w:abstractNumId w:val="1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7"/>
    <w:rsid w:val="00031829"/>
    <w:rsid w:val="000379AB"/>
    <w:rsid w:val="00046DAB"/>
    <w:rsid w:val="0007414F"/>
    <w:rsid w:val="001B1E3A"/>
    <w:rsid w:val="001B5FBE"/>
    <w:rsid w:val="001C2B0D"/>
    <w:rsid w:val="001D0AA1"/>
    <w:rsid w:val="001D55C2"/>
    <w:rsid w:val="001E33EF"/>
    <w:rsid w:val="001F0E74"/>
    <w:rsid w:val="00205265"/>
    <w:rsid w:val="002112B8"/>
    <w:rsid w:val="00216625"/>
    <w:rsid w:val="00240493"/>
    <w:rsid w:val="002629F2"/>
    <w:rsid w:val="002A048B"/>
    <w:rsid w:val="002B6F74"/>
    <w:rsid w:val="002C3263"/>
    <w:rsid w:val="002E7898"/>
    <w:rsid w:val="002F2289"/>
    <w:rsid w:val="002F2FF8"/>
    <w:rsid w:val="002F3B11"/>
    <w:rsid w:val="003137C3"/>
    <w:rsid w:val="00321596"/>
    <w:rsid w:val="003355F2"/>
    <w:rsid w:val="00366917"/>
    <w:rsid w:val="0037466A"/>
    <w:rsid w:val="0039077D"/>
    <w:rsid w:val="003A234C"/>
    <w:rsid w:val="003E660A"/>
    <w:rsid w:val="003F199B"/>
    <w:rsid w:val="00400425"/>
    <w:rsid w:val="004009A6"/>
    <w:rsid w:val="00420C00"/>
    <w:rsid w:val="00440A22"/>
    <w:rsid w:val="0046739F"/>
    <w:rsid w:val="004B7F40"/>
    <w:rsid w:val="00514B45"/>
    <w:rsid w:val="005167EA"/>
    <w:rsid w:val="005358D5"/>
    <w:rsid w:val="00545B6C"/>
    <w:rsid w:val="00562C9F"/>
    <w:rsid w:val="00562D64"/>
    <w:rsid w:val="0057441D"/>
    <w:rsid w:val="00575C0B"/>
    <w:rsid w:val="005E1969"/>
    <w:rsid w:val="005F155B"/>
    <w:rsid w:val="00627D9D"/>
    <w:rsid w:val="006414E0"/>
    <w:rsid w:val="00651677"/>
    <w:rsid w:val="006842EE"/>
    <w:rsid w:val="006B58D7"/>
    <w:rsid w:val="006C4619"/>
    <w:rsid w:val="006D19B4"/>
    <w:rsid w:val="006F0D4D"/>
    <w:rsid w:val="006F662E"/>
    <w:rsid w:val="00750CD0"/>
    <w:rsid w:val="00767596"/>
    <w:rsid w:val="007778ED"/>
    <w:rsid w:val="00796FB8"/>
    <w:rsid w:val="007B2B60"/>
    <w:rsid w:val="007B4B93"/>
    <w:rsid w:val="007D1384"/>
    <w:rsid w:val="007E7CC0"/>
    <w:rsid w:val="00813315"/>
    <w:rsid w:val="00850691"/>
    <w:rsid w:val="00855B07"/>
    <w:rsid w:val="008855A8"/>
    <w:rsid w:val="008A6077"/>
    <w:rsid w:val="008D3087"/>
    <w:rsid w:val="008E58E5"/>
    <w:rsid w:val="009007AE"/>
    <w:rsid w:val="00964E53"/>
    <w:rsid w:val="0097213C"/>
    <w:rsid w:val="00975D9D"/>
    <w:rsid w:val="00995CAA"/>
    <w:rsid w:val="009B68DA"/>
    <w:rsid w:val="009C63D9"/>
    <w:rsid w:val="00A04594"/>
    <w:rsid w:val="00A045C3"/>
    <w:rsid w:val="00A1073D"/>
    <w:rsid w:val="00A30C4D"/>
    <w:rsid w:val="00A44E37"/>
    <w:rsid w:val="00A5329C"/>
    <w:rsid w:val="00A70D52"/>
    <w:rsid w:val="00AA11F3"/>
    <w:rsid w:val="00AB46CF"/>
    <w:rsid w:val="00AB59A9"/>
    <w:rsid w:val="00AD03B0"/>
    <w:rsid w:val="00AF1D53"/>
    <w:rsid w:val="00AF33DA"/>
    <w:rsid w:val="00B120F3"/>
    <w:rsid w:val="00B14BFD"/>
    <w:rsid w:val="00B527BC"/>
    <w:rsid w:val="00B719C8"/>
    <w:rsid w:val="00B81C79"/>
    <w:rsid w:val="00B82556"/>
    <w:rsid w:val="00B828C4"/>
    <w:rsid w:val="00BD47BB"/>
    <w:rsid w:val="00BF0028"/>
    <w:rsid w:val="00BF2FF0"/>
    <w:rsid w:val="00C05886"/>
    <w:rsid w:val="00C3475A"/>
    <w:rsid w:val="00C81368"/>
    <w:rsid w:val="00C81692"/>
    <w:rsid w:val="00C94AA5"/>
    <w:rsid w:val="00CB7BED"/>
    <w:rsid w:val="00CC4CBE"/>
    <w:rsid w:val="00CF3DEE"/>
    <w:rsid w:val="00D1327F"/>
    <w:rsid w:val="00D4077F"/>
    <w:rsid w:val="00D50A01"/>
    <w:rsid w:val="00D810E5"/>
    <w:rsid w:val="00D81797"/>
    <w:rsid w:val="00D94839"/>
    <w:rsid w:val="00D9528F"/>
    <w:rsid w:val="00DC2C8C"/>
    <w:rsid w:val="00DD6745"/>
    <w:rsid w:val="00DE3F91"/>
    <w:rsid w:val="00E31404"/>
    <w:rsid w:val="00E31513"/>
    <w:rsid w:val="00E6492F"/>
    <w:rsid w:val="00E664DF"/>
    <w:rsid w:val="00E67B96"/>
    <w:rsid w:val="00EB7078"/>
    <w:rsid w:val="00EE433D"/>
    <w:rsid w:val="00EF04CF"/>
    <w:rsid w:val="00F11291"/>
    <w:rsid w:val="00F13598"/>
    <w:rsid w:val="00F21080"/>
    <w:rsid w:val="00F45E57"/>
    <w:rsid w:val="00F620F9"/>
    <w:rsid w:val="00F71CD1"/>
    <w:rsid w:val="00F74582"/>
    <w:rsid w:val="00FA2158"/>
    <w:rsid w:val="00FC3EAC"/>
    <w:rsid w:val="00FC49C6"/>
    <w:rsid w:val="00FF70CB"/>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6077"/>
    <w:rPr>
      <w:rFonts w:ascii="Times New Roman" w:eastAsia="Calibri" w:hAnsi="Times New Roman" w:cs="Times New Roman"/>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a"/>
    <w:rsid w:val="008A6077"/>
    <w:pPr>
      <w:spacing w:before="120"/>
      <w:ind w:left="720" w:hanging="720"/>
    </w:pPr>
    <w:rPr>
      <w:rFonts w:eastAsia="Times New Roman"/>
      <w:sz w:val="24"/>
      <w:szCs w:val="24"/>
    </w:rPr>
  </w:style>
  <w:style w:type="paragraph" w:styleId="a5">
    <w:name w:val="header"/>
    <w:basedOn w:val="a"/>
    <w:link w:val="a6"/>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a"/>
    <w:rsid w:val="00B120F3"/>
    <w:pPr>
      <w:spacing w:before="120" w:after="360"/>
    </w:pPr>
    <w:rPr>
      <w:rFonts w:eastAsia="Times New Roman"/>
      <w:b/>
      <w:sz w:val="24"/>
      <w:szCs w:val="24"/>
    </w:rPr>
  </w:style>
  <w:style w:type="paragraph" w:customStyle="1" w:styleId="Text">
    <w:name w:val="Text"/>
    <w:basedOn w:val="a"/>
    <w:rsid w:val="008A6077"/>
    <w:pPr>
      <w:spacing w:before="120"/>
      <w:ind w:firstLine="720"/>
    </w:pPr>
    <w:rPr>
      <w:rFonts w:eastAsia="Times New Roman"/>
      <w:sz w:val="24"/>
      <w:szCs w:val="24"/>
    </w:rPr>
  </w:style>
  <w:style w:type="paragraph" w:customStyle="1" w:styleId="FigureorTableCaption">
    <w:name w:val="Figure or Table Caption"/>
    <w:basedOn w:val="a"/>
    <w:rsid w:val="008A6077"/>
    <w:pPr>
      <w:keepNext/>
      <w:spacing w:before="240"/>
      <w:outlineLvl w:val="0"/>
    </w:pPr>
    <w:rPr>
      <w:rFonts w:eastAsia="Times New Roman"/>
      <w:kern w:val="28"/>
      <w:sz w:val="24"/>
      <w:szCs w:val="24"/>
    </w:rPr>
  </w:style>
  <w:style w:type="character" w:customStyle="1" w:styleId="a6">
    <w:name w:val="页眉 字符"/>
    <w:basedOn w:val="a0"/>
    <w:link w:val="a5"/>
    <w:uiPriority w:val="99"/>
    <w:rsid w:val="000379AB"/>
    <w:rPr>
      <w:rFonts w:ascii="Times New Roman" w:eastAsia="Calibri" w:hAnsi="Times New Roman" w:cs="Times New Roman"/>
      <w:sz w:val="20"/>
      <w:szCs w:val="20"/>
    </w:rPr>
  </w:style>
  <w:style w:type="character" w:styleId="a7">
    <w:name w:val="Hyperlink"/>
    <w:rsid w:val="008A6077"/>
    <w:rPr>
      <w:color w:val="0000FF"/>
      <w:u w:val="single"/>
    </w:rPr>
  </w:style>
  <w:style w:type="paragraph" w:customStyle="1" w:styleId="Heading-Main">
    <w:name w:val="Heading-Main"/>
    <w:basedOn w:val="a"/>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a"/>
    <w:rsid w:val="008A6077"/>
    <w:pPr>
      <w:spacing w:before="120"/>
    </w:pPr>
    <w:rPr>
      <w:rFonts w:eastAsia="Times New Roman"/>
      <w:sz w:val="24"/>
      <w:szCs w:val="24"/>
    </w:rPr>
  </w:style>
  <w:style w:type="paragraph" w:customStyle="1" w:styleId="Abstract">
    <w:name w:val="Abstract"/>
    <w:basedOn w:val="a"/>
    <w:qFormat/>
    <w:rsid w:val="00400425"/>
    <w:pPr>
      <w:spacing w:before="120"/>
    </w:pPr>
    <w:rPr>
      <w:rFonts w:eastAsia="Times New Roman"/>
      <w:sz w:val="24"/>
      <w:szCs w:val="24"/>
    </w:rPr>
  </w:style>
  <w:style w:type="character" w:customStyle="1" w:styleId="a4">
    <w:name w:val="标题 字符"/>
    <w:basedOn w:val="a0"/>
    <w:link w:val="a3"/>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a"/>
    <w:qFormat/>
    <w:rsid w:val="0037466A"/>
    <w:pPr>
      <w:spacing w:before="240" w:after="240"/>
    </w:pPr>
    <w:rPr>
      <w:color w:val="00B0F0"/>
    </w:rPr>
  </w:style>
  <w:style w:type="paragraph" w:styleId="a8">
    <w:name w:val="Normal (Web)"/>
    <w:basedOn w:val="a"/>
    <w:uiPriority w:val="99"/>
    <w:semiHidden/>
    <w:unhideWhenUsed/>
    <w:rsid w:val="002F3B11"/>
    <w:rPr>
      <w:sz w:val="24"/>
      <w:szCs w:val="24"/>
    </w:rPr>
  </w:style>
  <w:style w:type="paragraph" w:styleId="a9">
    <w:name w:val="footer"/>
    <w:basedOn w:val="a"/>
    <w:link w:val="aa"/>
    <w:uiPriority w:val="99"/>
    <w:unhideWhenUsed/>
    <w:rsid w:val="000379AB"/>
    <w:pPr>
      <w:tabs>
        <w:tab w:val="center" w:pos="4680"/>
        <w:tab w:val="right" w:pos="9360"/>
      </w:tabs>
    </w:pPr>
  </w:style>
  <w:style w:type="character" w:customStyle="1" w:styleId="aa">
    <w:name w:val="页脚 字符"/>
    <w:basedOn w:val="a0"/>
    <w:link w:val="a9"/>
    <w:uiPriority w:val="99"/>
    <w:rsid w:val="000379AB"/>
    <w:rPr>
      <w:rFonts w:ascii="Times New Roman" w:eastAsia="Calibri" w:hAnsi="Times New Roman" w:cs="Times New Roman"/>
      <w:sz w:val="20"/>
      <w:szCs w:val="20"/>
    </w:rPr>
  </w:style>
  <w:style w:type="paragraph" w:styleId="ab">
    <w:name w:val="List Paragraph"/>
    <w:basedOn w:val="a"/>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customStyle="1" w:styleId="UnresolvedMention">
    <w:name w:val="Unresolved Mention"/>
    <w:basedOn w:val="a0"/>
    <w:uiPriority w:val="99"/>
    <w:rsid w:val="00B81C79"/>
    <w:rPr>
      <w:color w:val="808080"/>
      <w:shd w:val="clear" w:color="auto" w:fill="E6E6E6"/>
    </w:rPr>
  </w:style>
  <w:style w:type="paragraph" w:styleId="ac">
    <w:name w:val="Balloon Text"/>
    <w:basedOn w:val="a"/>
    <w:link w:val="ad"/>
    <w:uiPriority w:val="99"/>
    <w:semiHidden/>
    <w:unhideWhenUsed/>
    <w:rsid w:val="007B4B93"/>
    <w:rPr>
      <w:rFonts w:ascii="Segoe UI" w:hAnsi="Segoe UI" w:cs="Segoe UI"/>
      <w:sz w:val="18"/>
      <w:szCs w:val="18"/>
    </w:rPr>
  </w:style>
  <w:style w:type="character" w:customStyle="1" w:styleId="ad">
    <w:name w:val="批注框文本 字符"/>
    <w:basedOn w:val="a0"/>
    <w:link w:val="ac"/>
    <w:uiPriority w:val="99"/>
    <w:semiHidden/>
    <w:rsid w:val="007B4B93"/>
    <w:rPr>
      <w:rFonts w:ascii="Segoe UI" w:eastAsia="Calibri" w:hAnsi="Segoe UI" w:cs="Segoe UI"/>
      <w:sz w:val="18"/>
      <w:szCs w:val="18"/>
    </w:rPr>
  </w:style>
  <w:style w:type="character" w:styleId="ae">
    <w:name w:val="Emphasis"/>
    <w:basedOn w:val="a0"/>
    <w:uiPriority w:val="20"/>
    <w:qFormat/>
    <w:rsid w:val="007B4B93"/>
    <w:rPr>
      <w:i/>
      <w:iCs/>
    </w:rPr>
  </w:style>
  <w:style w:type="character" w:styleId="af">
    <w:name w:val="FollowedHyperlink"/>
    <w:basedOn w:val="a0"/>
    <w:uiPriority w:val="99"/>
    <w:semiHidden/>
    <w:unhideWhenUsed/>
    <w:rsid w:val="00F45E57"/>
    <w:rPr>
      <w:color w:val="954F72" w:themeColor="followedHyperlink"/>
      <w:u w:val="single"/>
    </w:rPr>
  </w:style>
  <w:style w:type="character" w:styleId="af0">
    <w:name w:val="line number"/>
    <w:basedOn w:val="a0"/>
    <w:uiPriority w:val="99"/>
    <w:semiHidden/>
    <w:unhideWhenUsed/>
    <w:rsid w:val="00BD47BB"/>
  </w:style>
  <w:style w:type="paragraph" w:styleId="af1">
    <w:name w:val="Revision"/>
    <w:hidden/>
    <w:uiPriority w:val="99"/>
    <w:semiHidden/>
    <w:rsid w:val="00D4077F"/>
    <w:rPr>
      <w:rFonts w:ascii="Times New Roman" w:eastAsia="Calibri" w:hAnsi="Times New Roman" w:cs="Times New Roman"/>
      <w:sz w:val="20"/>
      <w:szCs w:val="20"/>
    </w:rPr>
  </w:style>
  <w:style w:type="paragraph" w:styleId="af2">
    <w:name w:val="Bibliography"/>
    <w:basedOn w:val="a"/>
    <w:next w:val="a"/>
    <w:uiPriority w:val="37"/>
    <w:unhideWhenUsed/>
    <w:rsid w:val="002F2FF8"/>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gu.org/publications/authors/policies" TargetMode="External"/><Relationship Id="rId18" Type="http://schemas.openxmlformats.org/officeDocument/2006/relationships/hyperlink" Target="https://agupubs.onlinelibrary.wiley.com/doi/epdf/10.1029/2022JG007128" TargetMode="External"/><Relationship Id="rId3" Type="http://schemas.openxmlformats.org/officeDocument/2006/relationships/settings" Target="settings.xml"/><Relationship Id="rId21" Type="http://schemas.openxmlformats.org/officeDocument/2006/relationships/hyperlink" Target="https://publications.agu.org/brief-guide-agu-style-grammar/" TargetMode="External"/><Relationship Id="rId7" Type="http://schemas.openxmlformats.org/officeDocument/2006/relationships/header" Target="header1.xml"/><Relationship Id="rId12" Type="http://schemas.openxmlformats.org/officeDocument/2006/relationships/hyperlink" Target="https://publications.agu.org/brief-guide-agu-style-grammar/" TargetMode="External"/><Relationship Id="rId17" Type="http://schemas.openxmlformats.org/officeDocument/2006/relationships/hyperlink" Target="https://agupubs.onlinelibrary.wiley.com/doi/abs/10.1029/2023JG007554" TargetMode="External"/><Relationship Id="rId2" Type="http://schemas.openxmlformats.org/officeDocument/2006/relationships/styles" Target="styles.xml"/><Relationship Id="rId16" Type="http://schemas.openxmlformats.org/officeDocument/2006/relationships/hyperlink" Target="https://agupubs.onlinelibrary.wiley.com/doi/full/10.1029/2022JG007188" TargetMode="External"/><Relationship Id="rId20" Type="http://schemas.openxmlformats.org/officeDocument/2006/relationships/hyperlink" Target="https://www.agu.org/Publish-with-AGU/Publish/Author-Resources/Data-and-Software-for-Autho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ringscience.agu.org/creating-plain-language-summary/"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gupubs.onlinelibrary.wiley.com/doi/abs/10.1029/2024AV001298" TargetMode="External"/><Relationship Id="rId23" Type="http://schemas.openxmlformats.org/officeDocument/2006/relationships/fontTable" Target="fontTable.xml"/><Relationship Id="rId10" Type="http://schemas.openxmlformats.org/officeDocument/2006/relationships/hyperlink" Target="mailto:email@address.edu)" TargetMode="External"/><Relationship Id="rId19" Type="http://schemas.openxmlformats.org/officeDocument/2006/relationships/hyperlink" Target="https://www.agu.org/Publish-with-AGU/Publish/Author-Resources/Data-and-Software-for-Author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globalcodeofconduct.org/" TargetMode="External"/><Relationship Id="rId22" Type="http://schemas.openxmlformats.org/officeDocument/2006/relationships/hyperlink" Target="https://publications.agu.org/brief-guide-agu-style-gram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9406</Words>
  <Characters>53619</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win</cp:lastModifiedBy>
  <cp:revision>40</cp:revision>
  <dcterms:created xsi:type="dcterms:W3CDTF">2025-09-03T18:11:00Z</dcterms:created>
  <dcterms:modified xsi:type="dcterms:W3CDTF">2025-12-05T12:44:00Z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id="77gr38z3"/&gt;&lt;style id="http://www.zotero.org/styles/american-geophysical-union" hasBibliography="1" bibliographyStyleHasBeenSet="1"/&gt;&lt;prefs&gt;&lt;pref name="fieldType" value="Field"/&gt;&lt;/prefs&gt;&lt;/data&gt;</vt:lpwstr>
  </property>
</Properties>
</file>