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64877" w14:textId="77777777" w:rsidR="000A29B4" w:rsidRDefault="000A29B4">
      <w:pPr>
        <w:pStyle w:val="ac"/>
        <w:rPr>
          <w:rFonts w:asciiTheme="minorHAnsi" w:hAnsiTheme="minorHAnsi" w:cstheme="minorHAnsi"/>
          <w:lang w:eastAsia="zh-CN"/>
        </w:rPr>
        <w:sectPr w:rsidR="000A29B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0A87CCFC" w14:textId="77777777" w:rsidR="00674E44" w:rsidRDefault="0093274C" w:rsidP="00674E44">
      <w:pPr>
        <w:pStyle w:val="ac"/>
        <w:rPr>
          <w:rFonts w:asciiTheme="minorHAnsi" w:hAnsiTheme="minorHAnsi" w:cstheme="minorHAnsi"/>
          <w:lang w:eastAsia="zh-CN"/>
        </w:rPr>
      </w:pPr>
      <w:r>
        <w:rPr>
          <w:rFonts w:asciiTheme="minorHAnsi" w:hAnsiTheme="minorHAnsi" w:cstheme="minorHAnsi"/>
          <w:lang w:eastAsia="zh-CN"/>
        </w:rPr>
        <w:lastRenderedPageBreak/>
        <w:t>Extended Profiles Including</w:t>
      </w:r>
      <w:r>
        <w:rPr>
          <w:rFonts w:asciiTheme="minorHAnsi" w:hAnsiTheme="minorHAnsi" w:cstheme="minorHAnsi" w:hint="eastAsia"/>
          <w:lang w:eastAsia="zh-CN"/>
        </w:rPr>
        <w:t xml:space="preserve"> </w:t>
      </w:r>
      <w:r>
        <w:rPr>
          <w:rFonts w:asciiTheme="minorHAnsi" w:hAnsiTheme="minorHAnsi" w:cstheme="minorHAnsi"/>
          <w:lang w:eastAsia="zh-CN"/>
        </w:rPr>
        <w:t xml:space="preserve">Surface-Layer Wind Speed Improve </w:t>
      </w:r>
    </w:p>
    <w:p w14:paraId="2F26E9BA" w14:textId="20DAF222" w:rsidR="000A29B4" w:rsidRDefault="0093274C" w:rsidP="00674E44">
      <w:pPr>
        <w:pStyle w:val="ac"/>
        <w:rPr>
          <w:rFonts w:asciiTheme="minorHAnsi" w:hAnsiTheme="minorHAnsi" w:cstheme="minorHAnsi"/>
          <w:lang w:eastAsia="zh-CN"/>
        </w:rPr>
      </w:pPr>
      <w:r>
        <w:rPr>
          <w:rFonts w:asciiTheme="minorHAnsi" w:hAnsiTheme="minorHAnsi" w:cstheme="minorHAnsi"/>
          <w:lang w:eastAsia="zh-CN"/>
        </w:rPr>
        <w:t>Farm-Scale Wind Power Forecasting</w:t>
      </w:r>
      <w:r>
        <w:rPr>
          <w:rFonts w:asciiTheme="minorHAnsi" w:hAnsiTheme="minorHAnsi" w:cstheme="minorHAnsi" w:hint="eastAsia"/>
          <w:lang w:eastAsia="zh-CN"/>
        </w:rPr>
        <w:t xml:space="preserve"> </w:t>
      </w:r>
    </w:p>
    <w:p w14:paraId="02E15F03" w14:textId="4F6AFA6D" w:rsidR="000A29B4" w:rsidRDefault="0093274C">
      <w:pPr>
        <w:pStyle w:val="Authors"/>
        <w:rPr>
          <w:rFonts w:asciiTheme="minorHAnsi" w:hAnsiTheme="minorHAnsi" w:cstheme="minorHAnsi"/>
          <w:lang w:eastAsia="zh-CN"/>
        </w:rPr>
      </w:pPr>
      <w:r>
        <w:rPr>
          <w:rFonts w:asciiTheme="minorHAnsi" w:hAnsiTheme="minorHAnsi" w:cstheme="minorHAnsi"/>
        </w:rPr>
        <w:t>Xin Xia</w:t>
      </w:r>
      <w:proofErr w:type="gramStart"/>
      <w:r>
        <w:rPr>
          <w:rFonts w:asciiTheme="minorHAnsi" w:hAnsiTheme="minorHAnsi" w:cstheme="minorHAnsi"/>
          <w:vertAlign w:val="superscript"/>
        </w:rPr>
        <w:t>1</w:t>
      </w:r>
      <w:r w:rsidR="00A17C6B">
        <w:rPr>
          <w:rFonts w:asciiTheme="minorHAnsi" w:hAnsiTheme="minorHAnsi" w:cstheme="minorHAnsi"/>
          <w:vertAlign w:val="superscript"/>
        </w:rPr>
        <w:t>,*</w:t>
      </w:r>
      <w:proofErr w:type="gramEnd"/>
      <w:r>
        <w:rPr>
          <w:rFonts w:asciiTheme="minorHAnsi" w:hAnsiTheme="minorHAnsi" w:cstheme="minorHAnsi"/>
        </w:rPr>
        <w:t>, Yong Luo</w:t>
      </w:r>
      <w:r>
        <w:rPr>
          <w:rFonts w:asciiTheme="minorHAnsi" w:hAnsiTheme="minorHAnsi" w:cstheme="minorHAnsi"/>
          <w:vertAlign w:val="superscript"/>
        </w:rPr>
        <w:t>1</w:t>
      </w:r>
      <w:r>
        <w:rPr>
          <w:rFonts w:asciiTheme="minorHAnsi" w:hAnsiTheme="minorHAnsi" w:cstheme="minorHAnsi"/>
          <w:vertAlign w:val="superscript"/>
          <w:lang w:eastAsia="zh-CN"/>
        </w:rPr>
        <w:t>,*</w:t>
      </w:r>
      <w:r>
        <w:rPr>
          <w:rFonts w:asciiTheme="minorHAnsi" w:hAnsiTheme="minorHAnsi" w:cstheme="minorHAnsi"/>
        </w:rPr>
        <w:t>, Rui Chang</w:t>
      </w:r>
      <w:r>
        <w:rPr>
          <w:rFonts w:asciiTheme="minorHAnsi" w:hAnsiTheme="minorHAnsi" w:cstheme="minorHAnsi"/>
          <w:vertAlign w:val="superscript"/>
        </w:rPr>
        <w:t>2</w:t>
      </w:r>
      <w:r>
        <w:rPr>
          <w:rFonts w:asciiTheme="minorHAnsi" w:hAnsiTheme="minorHAnsi" w:cstheme="minorHAnsi"/>
        </w:rPr>
        <w:t>, Martin Dörenkämper</w:t>
      </w:r>
      <w:r>
        <w:rPr>
          <w:rFonts w:asciiTheme="minorHAnsi" w:hAnsiTheme="minorHAnsi" w:cstheme="minorHAnsi"/>
          <w:vertAlign w:val="superscript"/>
        </w:rPr>
        <w:t>3</w:t>
      </w:r>
      <w:r>
        <w:rPr>
          <w:rFonts w:asciiTheme="minorHAnsi" w:hAnsiTheme="minorHAnsi" w:cstheme="minorHAnsi"/>
        </w:rPr>
        <w:t>, Rong Zhu</w:t>
      </w:r>
      <w:r>
        <w:rPr>
          <w:rFonts w:asciiTheme="minorHAnsi" w:hAnsiTheme="minorHAnsi" w:cstheme="minorHAnsi"/>
          <w:vertAlign w:val="superscript"/>
        </w:rPr>
        <w:t>1,2</w:t>
      </w:r>
      <w:r>
        <w:rPr>
          <w:rFonts w:asciiTheme="minorHAnsi" w:hAnsiTheme="minorHAnsi" w:cstheme="minorHAnsi"/>
        </w:rPr>
        <w:t>, Kun Yang</w:t>
      </w:r>
      <w:r>
        <w:rPr>
          <w:rFonts w:asciiTheme="minorHAnsi" w:hAnsiTheme="minorHAnsi" w:cstheme="minorHAnsi"/>
          <w:vertAlign w:val="superscript"/>
        </w:rPr>
        <w:t>1</w:t>
      </w:r>
      <w:r>
        <w:rPr>
          <w:rFonts w:asciiTheme="minorHAnsi" w:hAnsiTheme="minorHAnsi" w:cstheme="minorHAnsi"/>
        </w:rPr>
        <w:t xml:space="preserve">, </w:t>
      </w:r>
      <w:proofErr w:type="spellStart"/>
      <w:r>
        <w:rPr>
          <w:rFonts w:asciiTheme="minorHAnsi" w:hAnsiTheme="minorHAnsi" w:cstheme="minorHAnsi"/>
        </w:rPr>
        <w:t>Peidu</w:t>
      </w:r>
      <w:proofErr w:type="spellEnd"/>
      <w:r>
        <w:rPr>
          <w:rFonts w:asciiTheme="minorHAnsi" w:hAnsiTheme="minorHAnsi" w:cstheme="minorHAnsi"/>
        </w:rPr>
        <w:t xml:space="preserve"> Li</w:t>
      </w:r>
      <w:r>
        <w:rPr>
          <w:rFonts w:asciiTheme="minorHAnsi" w:hAnsiTheme="minorHAnsi" w:cstheme="minorHAnsi"/>
          <w:vertAlign w:val="superscript"/>
        </w:rPr>
        <w:t>4</w:t>
      </w:r>
      <w:r w:rsidR="0054619C">
        <w:rPr>
          <w:rFonts w:asciiTheme="minorHAnsi" w:hAnsiTheme="minorHAnsi" w:cstheme="minorHAnsi"/>
        </w:rPr>
        <w:t xml:space="preserve">, </w:t>
      </w:r>
      <w:proofErr w:type="spellStart"/>
      <w:r w:rsidR="0054619C">
        <w:rPr>
          <w:rFonts w:asciiTheme="minorHAnsi" w:hAnsiTheme="minorHAnsi" w:cstheme="minorHAnsi"/>
        </w:rPr>
        <w:t>Xiaoli</w:t>
      </w:r>
      <w:proofErr w:type="spellEnd"/>
      <w:r w:rsidR="0054619C">
        <w:rPr>
          <w:rFonts w:asciiTheme="minorHAnsi" w:hAnsiTheme="minorHAnsi" w:cstheme="minorHAnsi"/>
        </w:rPr>
        <w:t xml:space="preserve"> Z</w:t>
      </w:r>
      <w:r w:rsidR="0054619C">
        <w:rPr>
          <w:rFonts w:asciiTheme="minorHAnsi" w:hAnsiTheme="minorHAnsi" w:cstheme="minorHAnsi" w:hint="eastAsia"/>
          <w:lang w:eastAsia="zh-CN"/>
        </w:rPr>
        <w:t>hang</w:t>
      </w:r>
      <w:r w:rsidR="0054619C">
        <w:rPr>
          <w:rFonts w:asciiTheme="minorHAnsi" w:hAnsiTheme="minorHAnsi" w:cstheme="minorHAnsi"/>
          <w:vertAlign w:val="superscript"/>
        </w:rPr>
        <w:t>5</w:t>
      </w:r>
    </w:p>
    <w:p w14:paraId="1B06B2C9" w14:textId="77777777" w:rsidR="000A29B4" w:rsidRDefault="0093274C">
      <w:pPr>
        <w:pStyle w:val="Affiliation"/>
        <w:rPr>
          <w:rFonts w:asciiTheme="minorHAnsi" w:hAnsiTheme="minorHAnsi" w:cstheme="minorHAnsi"/>
          <w:vertAlign w:val="superscript"/>
        </w:rPr>
      </w:pPr>
      <w:r>
        <w:rPr>
          <w:rFonts w:asciiTheme="minorHAnsi" w:hAnsiTheme="minorHAnsi" w:cstheme="minorHAnsi"/>
          <w:vertAlign w:val="superscript"/>
        </w:rPr>
        <w:t>1</w:t>
      </w:r>
      <w:r>
        <w:rPr>
          <w:rFonts w:asciiTheme="minorHAnsi" w:hAnsiTheme="minorHAnsi" w:cstheme="minorHAnsi"/>
        </w:rPr>
        <w:t>Ministry of Education Key Laboratory for Earth System Modeling, Department of Earth System Science, Tsinghua University, Beijing 100084, China</w:t>
      </w:r>
    </w:p>
    <w:p w14:paraId="6B058171"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2</w:t>
      </w:r>
      <w:r>
        <w:rPr>
          <w:rFonts w:asciiTheme="minorHAnsi" w:hAnsiTheme="minorHAnsi" w:cstheme="minorHAnsi"/>
        </w:rPr>
        <w:t>National Climate Center of China Meteorological Administration (CMA), Beijing 100081, China</w:t>
      </w:r>
      <w:r>
        <w:rPr>
          <w:rFonts w:asciiTheme="minorHAnsi" w:hAnsiTheme="minorHAnsi" w:cstheme="minorHAnsi"/>
          <w:vertAlign w:val="superscript"/>
        </w:rPr>
        <w:t xml:space="preserve"> </w:t>
      </w:r>
    </w:p>
    <w:p w14:paraId="4D43B447"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Fraunhofer Institute for Wind Energy Systems, Küpkersweg70, 26129 Oldenburg, Germany</w:t>
      </w:r>
    </w:p>
    <w:p w14:paraId="3967D4BF" w14:textId="77777777" w:rsidR="000A29B4" w:rsidRDefault="0093274C">
      <w:pPr>
        <w:pStyle w:val="Affiliation"/>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Plateau Atmosphere and Environment Key Laboratory of Sichuan Province, School of At-</w:t>
      </w:r>
      <w:proofErr w:type="spellStart"/>
      <w:r>
        <w:rPr>
          <w:rFonts w:asciiTheme="minorHAnsi" w:hAnsiTheme="minorHAnsi" w:cstheme="minorHAnsi"/>
        </w:rPr>
        <w:t>mospheric</w:t>
      </w:r>
      <w:proofErr w:type="spellEnd"/>
      <w:r>
        <w:rPr>
          <w:rFonts w:asciiTheme="minorHAnsi" w:hAnsiTheme="minorHAnsi" w:cstheme="minorHAnsi"/>
        </w:rPr>
        <w:t xml:space="preserve"> Sciences, Chengdu University of Information Technology, Chengdu 610225, China</w:t>
      </w:r>
    </w:p>
    <w:p w14:paraId="460CBC34" w14:textId="6A7C35D7" w:rsidR="00490C30" w:rsidRDefault="00490C30" w:rsidP="00490C30">
      <w:pPr>
        <w:pStyle w:val="Affiliation"/>
        <w:rPr>
          <w:rFonts w:asciiTheme="minorHAnsi" w:hAnsiTheme="minorHAnsi" w:cstheme="minorHAnsi"/>
        </w:rPr>
      </w:pPr>
      <w:r>
        <w:rPr>
          <w:rFonts w:asciiTheme="minorHAnsi" w:hAnsiTheme="minorHAnsi" w:cstheme="minorHAnsi"/>
          <w:vertAlign w:val="superscript"/>
        </w:rPr>
        <w:t>5</w:t>
      </w:r>
      <w:r w:rsidR="00B31A30" w:rsidRPr="00B31A30">
        <w:rPr>
          <w:rFonts w:asciiTheme="minorHAnsi" w:hAnsiTheme="minorHAnsi" w:cstheme="minorHAnsi"/>
        </w:rPr>
        <w:t xml:space="preserve">HUADIAN NEW ENERGY GROUP </w:t>
      </w:r>
      <w:proofErr w:type="gramStart"/>
      <w:r w:rsidR="00B31A30" w:rsidRPr="00B31A30">
        <w:rPr>
          <w:rFonts w:asciiTheme="minorHAnsi" w:hAnsiTheme="minorHAnsi" w:cstheme="minorHAnsi"/>
        </w:rPr>
        <w:t>CO.,LTD.LIAONING</w:t>
      </w:r>
      <w:proofErr w:type="gramEnd"/>
      <w:r w:rsidR="00B31A30" w:rsidRPr="00B31A30">
        <w:rPr>
          <w:rFonts w:asciiTheme="minorHAnsi" w:hAnsiTheme="minorHAnsi" w:cstheme="minorHAnsi"/>
        </w:rPr>
        <w:t xml:space="preserve"> BRANCH</w:t>
      </w:r>
      <w:r>
        <w:rPr>
          <w:rFonts w:asciiTheme="minorHAnsi" w:hAnsiTheme="minorHAnsi" w:cstheme="minorHAnsi"/>
        </w:rPr>
        <w:t xml:space="preserve">, </w:t>
      </w:r>
      <w:r w:rsidR="005C3E22">
        <w:rPr>
          <w:rFonts w:asciiTheme="minorHAnsi" w:hAnsiTheme="minorHAnsi" w:cstheme="minorHAnsi"/>
        </w:rPr>
        <w:t>S</w:t>
      </w:r>
      <w:r w:rsidR="005C3E22">
        <w:rPr>
          <w:rFonts w:asciiTheme="minorHAnsi" w:hAnsiTheme="minorHAnsi" w:cstheme="minorHAnsi" w:hint="eastAsia"/>
          <w:lang w:eastAsia="zh-CN"/>
        </w:rPr>
        <w:t>hen</w:t>
      </w:r>
      <w:r w:rsidR="005C3E22">
        <w:rPr>
          <w:rFonts w:asciiTheme="minorHAnsi" w:hAnsiTheme="minorHAnsi" w:cstheme="minorHAnsi"/>
          <w:lang w:eastAsia="zh-CN"/>
        </w:rPr>
        <w:t>yang</w:t>
      </w:r>
      <w:r>
        <w:rPr>
          <w:rFonts w:asciiTheme="minorHAnsi" w:hAnsiTheme="minorHAnsi" w:cstheme="minorHAnsi"/>
        </w:rPr>
        <w:t xml:space="preserve"> </w:t>
      </w:r>
      <w:r w:rsidR="00710ED5" w:rsidRPr="00710ED5">
        <w:rPr>
          <w:rFonts w:asciiTheme="minorHAnsi" w:hAnsiTheme="minorHAnsi" w:cstheme="minorHAnsi"/>
        </w:rPr>
        <w:t>110000</w:t>
      </w:r>
      <w:r>
        <w:rPr>
          <w:rFonts w:asciiTheme="minorHAnsi" w:hAnsiTheme="minorHAnsi" w:cstheme="minorHAnsi"/>
        </w:rPr>
        <w:t>, China</w:t>
      </w:r>
    </w:p>
    <w:p w14:paraId="0EBB648A" w14:textId="77777777" w:rsidR="00490C30" w:rsidRDefault="00490C30">
      <w:pPr>
        <w:pStyle w:val="Affiliation"/>
        <w:rPr>
          <w:rFonts w:asciiTheme="minorHAnsi" w:hAnsiTheme="minorHAnsi" w:cstheme="minorHAnsi"/>
        </w:rPr>
      </w:pPr>
    </w:p>
    <w:p w14:paraId="5F596BC4" w14:textId="0519FB70" w:rsidR="000A29B4" w:rsidRDefault="0093274C">
      <w:pPr>
        <w:pStyle w:val="Affiliation"/>
        <w:rPr>
          <w:rFonts w:asciiTheme="minorHAnsi" w:hAnsiTheme="minorHAnsi" w:cstheme="minorHAnsi"/>
          <w:lang w:eastAsia="zh-CN"/>
        </w:rPr>
      </w:pPr>
      <w:r>
        <w:rPr>
          <w:rFonts w:asciiTheme="minorHAnsi" w:hAnsiTheme="minorHAnsi" w:cstheme="minorHAnsi"/>
        </w:rPr>
        <w:t xml:space="preserve">*Corresponding author: </w:t>
      </w:r>
      <w:r w:rsidR="00A17C6B">
        <w:rPr>
          <w:rFonts w:asciiTheme="minorHAnsi" w:hAnsiTheme="minorHAnsi" w:cstheme="minorHAnsi"/>
        </w:rPr>
        <w:t>Xin Xia (</w:t>
      </w:r>
      <w:hyperlink r:id="rId11" w:history="1">
        <w:r w:rsidR="00A17C6B" w:rsidRPr="004426CB">
          <w:rPr>
            <w:rStyle w:val="af3"/>
            <w:rFonts w:asciiTheme="minorHAnsi" w:hAnsiTheme="minorHAnsi" w:cstheme="minorHAnsi"/>
          </w:rPr>
          <w:t>xiax24@mails.tsinghua.edu.cn</w:t>
        </w:r>
      </w:hyperlink>
      <w:r w:rsidR="00A17C6B">
        <w:rPr>
          <w:rFonts w:asciiTheme="minorHAnsi" w:hAnsiTheme="minorHAnsi" w:cstheme="minorHAnsi"/>
        </w:rPr>
        <w:t xml:space="preserve">) and </w:t>
      </w:r>
      <w:r>
        <w:rPr>
          <w:rFonts w:asciiTheme="minorHAnsi" w:hAnsiTheme="minorHAnsi" w:cstheme="minorHAnsi"/>
        </w:rPr>
        <w:t>Yong Luo (</w:t>
      </w:r>
      <w:hyperlink r:id="rId12" w:history="1">
        <w:r>
          <w:rPr>
            <w:rStyle w:val="af3"/>
            <w:rFonts w:asciiTheme="minorHAnsi" w:hAnsiTheme="minorHAnsi" w:cstheme="minorHAnsi"/>
          </w:rPr>
          <w:t>Yongluo@tsinghua.edu.cn</w:t>
        </w:r>
      </w:hyperlink>
      <w:r>
        <w:rPr>
          <w:rFonts w:asciiTheme="minorHAnsi" w:hAnsiTheme="minorHAnsi" w:cstheme="minorHAnsi"/>
        </w:rPr>
        <w:t>)</w:t>
      </w:r>
    </w:p>
    <w:p w14:paraId="048829E1" w14:textId="77777777" w:rsidR="000A29B4" w:rsidRDefault="0093274C">
      <w:pPr>
        <w:pStyle w:val="Heading-Main"/>
        <w:rPr>
          <w:rFonts w:asciiTheme="minorHAnsi" w:hAnsiTheme="minorHAnsi" w:cstheme="minorHAnsi"/>
        </w:rPr>
      </w:pPr>
      <w:r>
        <w:rPr>
          <w:rFonts w:asciiTheme="minorHAnsi" w:hAnsiTheme="minorHAnsi" w:cstheme="minorHAnsi"/>
        </w:rPr>
        <w:t>Key Points:</w:t>
      </w:r>
    </w:p>
    <w:p w14:paraId="76BB50E3" w14:textId="77777777" w:rsidR="000A29B4" w:rsidRDefault="0093274C">
      <w:pPr>
        <w:pStyle w:val="KeyPoints"/>
        <w:numPr>
          <w:ilvl w:val="0"/>
          <w:numId w:val="1"/>
        </w:numPr>
        <w:rPr>
          <w:rFonts w:asciiTheme="minorHAnsi" w:hAnsiTheme="minorHAnsi" w:cstheme="minorHAnsi"/>
        </w:rPr>
      </w:pPr>
      <w:bookmarkStart w:id="0" w:name="OLE_LINK4"/>
      <w:r>
        <w:rPr>
          <w:rFonts w:asciiTheme="minorHAnsi" w:hAnsiTheme="minorHAnsi" w:cstheme="minorHAnsi"/>
        </w:rPr>
        <w:t>Farm-scale wind power is better represented by vertical wind profiles extending below the rotor-swept layer.</w:t>
      </w:r>
    </w:p>
    <w:bookmarkEnd w:id="0"/>
    <w:p w14:paraId="0B1AFE7E" w14:textId="77777777" w:rsidR="000A29B4" w:rsidRDefault="0093274C">
      <w:pPr>
        <w:pStyle w:val="KeyPoints"/>
        <w:numPr>
          <w:ilvl w:val="0"/>
          <w:numId w:val="1"/>
        </w:numPr>
        <w:rPr>
          <w:rFonts w:asciiTheme="minorHAnsi" w:hAnsiTheme="minorHAnsi" w:cstheme="minorHAnsi"/>
        </w:rPr>
      </w:pPr>
      <w:r>
        <w:rPr>
          <w:rFonts w:asciiTheme="minorHAnsi" w:hAnsiTheme="minorHAnsi" w:cstheme="minorHAnsi"/>
        </w:rPr>
        <w:t>Under free-stream flow, full vertical profile matters, whereas under wake-influenced flow surface wind indicates profile intensity.</w:t>
      </w:r>
    </w:p>
    <w:p w14:paraId="25A1DC26" w14:textId="7C4B62FE" w:rsidR="000A29B4" w:rsidRDefault="0093274C">
      <w:pPr>
        <w:pStyle w:val="KeyPoints"/>
        <w:numPr>
          <w:ilvl w:val="0"/>
          <w:numId w:val="1"/>
        </w:numPr>
        <w:rPr>
          <w:rFonts w:asciiTheme="minorHAnsi" w:hAnsiTheme="minorHAnsi" w:cstheme="minorHAnsi"/>
        </w:rPr>
      </w:pPr>
      <w:r>
        <w:rPr>
          <w:rFonts w:asciiTheme="minorHAnsi" w:hAnsiTheme="minorHAnsi" w:cstheme="minorHAnsi"/>
        </w:rPr>
        <w:t>Extended profiles improve power reconstruction, and a wind-direction-aware strategy enhances day-ahead forecasting.</w:t>
      </w:r>
    </w:p>
    <w:p w14:paraId="7A4990EE" w14:textId="547C51D6" w:rsidR="000A29B4" w:rsidRPr="00EE0AC5" w:rsidRDefault="00EE0AC5">
      <w:pPr>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br w:type="page"/>
      </w:r>
    </w:p>
    <w:p w14:paraId="7261F8A1" w14:textId="60EE4EFB" w:rsidR="000A29B4" w:rsidRDefault="000A29B4">
      <w:pPr>
        <w:rPr>
          <w:rFonts w:asciiTheme="minorHAnsi" w:eastAsia="Times New Roman" w:hAnsiTheme="minorHAnsi" w:cstheme="minorHAnsi"/>
          <w:sz w:val="24"/>
          <w:szCs w:val="24"/>
          <w:lang w:eastAsia="zh-CN"/>
        </w:rPr>
        <w:sectPr w:rsidR="000A29B4">
          <w:headerReference w:type="default" r:id="rId13"/>
          <w:footerReference w:type="default" r:id="rId14"/>
          <w:headerReference w:type="first" r:id="rId15"/>
          <w:type w:val="continuous"/>
          <w:pgSz w:w="12240" w:h="15840"/>
          <w:pgMar w:top="1440" w:right="1440" w:bottom="1440" w:left="1440" w:header="432" w:footer="720" w:gutter="0"/>
          <w:cols w:space="720"/>
          <w:docGrid w:linePitch="360"/>
        </w:sectPr>
      </w:pPr>
    </w:p>
    <w:p w14:paraId="338C2429" w14:textId="77777777" w:rsidR="000A29B4" w:rsidRDefault="0093274C">
      <w:pPr>
        <w:pStyle w:val="Heading-Main"/>
        <w:rPr>
          <w:rFonts w:asciiTheme="minorHAnsi" w:hAnsiTheme="minorHAnsi" w:cstheme="minorHAnsi"/>
        </w:rPr>
      </w:pPr>
      <w:r>
        <w:rPr>
          <w:rFonts w:asciiTheme="minorHAnsi" w:hAnsiTheme="minorHAnsi" w:cstheme="minorHAnsi"/>
        </w:rPr>
        <w:lastRenderedPageBreak/>
        <w:t>Abstract</w:t>
      </w:r>
    </w:p>
    <w:p w14:paraId="2254137C" w14:textId="7D15975B" w:rsidR="000A29B4" w:rsidRPr="00894B01" w:rsidRDefault="0093274C">
      <w:pPr>
        <w:pStyle w:val="Abstract"/>
        <w:rPr>
          <w:rFonts w:asciiTheme="minorHAnsi" w:hAnsiTheme="minorHAnsi" w:cstheme="minorHAnsi"/>
          <w:lang w:eastAsia="zh-CN"/>
        </w:rPr>
      </w:pPr>
      <w:r>
        <w:rPr>
          <w:rFonts w:asciiTheme="minorHAnsi" w:hAnsiTheme="minorHAnsi" w:cstheme="minorHAnsi"/>
          <w:lang w:eastAsia="zh-CN"/>
        </w:rPr>
        <w:t xml:space="preserve">Wind farm power production reflects atmospheric variability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w:t>
      </w:r>
      <w:r w:rsidR="00E02483" w:rsidRPr="00E02483">
        <w:rPr>
          <w:rFonts w:asciiTheme="minorHAnsi" w:hAnsiTheme="minorHAnsi" w:cstheme="minorHAnsi"/>
          <w:lang w:eastAsia="zh-CN"/>
        </w:rPr>
        <w:t>enabling 10-m wind to characterize overall profile intensity across regimes, while rotor-swept layer winds become less reliable u</w:t>
      </w:r>
      <w:r w:rsidR="00E02483">
        <w:rPr>
          <w:rFonts w:asciiTheme="minorHAnsi" w:hAnsiTheme="minorHAnsi" w:cstheme="minorHAnsi"/>
          <w:lang w:eastAsia="zh-CN"/>
        </w:rPr>
        <w:t>nder wake-influenced conditions</w:t>
      </w:r>
      <w:r>
        <w:rPr>
          <w:rFonts w:asciiTheme="minorHAnsi" w:hAnsiTheme="minorHAnsi" w:cstheme="minorHAnsi"/>
          <w:lang w:eastAsia="zh-CN"/>
        </w:rPr>
        <w:t xml:space="preserve">. An </w:t>
      </w:r>
      <w:r>
        <w:rPr>
          <w:rFonts w:asciiTheme="minorHAnsi" w:hAnsiTheme="minorHAnsi" w:cstheme="minorHAnsi" w:hint="eastAsia"/>
          <w:lang w:eastAsia="zh-CN"/>
        </w:rPr>
        <w:t>e</w:t>
      </w:r>
      <w:r>
        <w:rPr>
          <w:rFonts w:asciiTheme="minorHAnsi" w:hAnsiTheme="minorHAnsi" w:cstheme="minorHAnsi"/>
          <w:lang w:eastAsia="zh-CN"/>
        </w:rPr>
        <w:t>xtended profile representation demonstrates consistent gains in power reconstruction and NWP-driven day-ahead forecasting. These results clarify how vertical wind structure governs farm-scale power and inform wind-to-power representation in operational forecasting.</w:t>
      </w:r>
    </w:p>
    <w:p w14:paraId="1249A7E0" w14:textId="3A9C1956" w:rsidR="000A29B4" w:rsidRPr="00BC21A0" w:rsidRDefault="0093274C" w:rsidP="00BC21A0">
      <w:pPr>
        <w:pStyle w:val="Heading-Main"/>
        <w:rPr>
          <w:rFonts w:asciiTheme="minorHAnsi" w:hAnsiTheme="minorHAnsi" w:cstheme="minorHAnsi"/>
          <w:lang w:eastAsia="zh-CN"/>
        </w:rPr>
      </w:pPr>
      <w:r>
        <w:rPr>
          <w:rFonts w:asciiTheme="minorHAnsi" w:hAnsiTheme="minorHAnsi" w:cstheme="minorHAnsi"/>
        </w:rPr>
        <w:t>Plain Language Summary</w:t>
      </w:r>
    </w:p>
    <w:p w14:paraId="0DBB66F5" w14:textId="1F20F3A7" w:rsidR="00275066" w:rsidRDefault="0093274C">
      <w:pPr>
        <w:pStyle w:val="Abstract"/>
        <w:rPr>
          <w:rFonts w:asciiTheme="minorHAnsi" w:hAnsiTheme="minorHAnsi" w:cstheme="minorHAnsi"/>
          <w:lang w:eastAsia="zh-CN"/>
        </w:rPr>
      </w:pPr>
      <w:r>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Pr>
          <w:rFonts w:asciiTheme="minorHAnsi" w:hAnsiTheme="minorHAnsi" w:cstheme="minorHAnsi"/>
          <w:lang w:eastAsia="zh-CN"/>
        </w:rPr>
        <w:t>days time</w:t>
      </w:r>
      <w:proofErr w:type="spellEnd"/>
      <w:r>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These findings suggest that existing weather towers and surface observations near wind farms can be used more effectively, and may also help inform how observational networks are designed and used for wind energy applications.</w:t>
      </w:r>
    </w:p>
    <w:p w14:paraId="2EB9FA1E" w14:textId="70B5E913" w:rsidR="000A29B4" w:rsidRDefault="0093274C">
      <w:pPr>
        <w:pStyle w:val="Abstract"/>
        <w:rPr>
          <w:rFonts w:asciiTheme="minorHAnsi" w:hAnsiTheme="minorHAnsi" w:cstheme="minorHAnsi"/>
          <w:lang w:eastAsia="zh-CN"/>
        </w:rPr>
      </w:pPr>
      <w:r>
        <w:rPr>
          <w:rFonts w:asciiTheme="minorHAnsi" w:hAnsiTheme="minorHAnsi" w:cstheme="minorHAnsi"/>
        </w:rPr>
        <w:br w:type="page"/>
      </w:r>
    </w:p>
    <w:p w14:paraId="053A7C10" w14:textId="77777777" w:rsidR="000A29B4" w:rsidRDefault="0093274C">
      <w:pPr>
        <w:pStyle w:val="Heading-Main"/>
        <w:rPr>
          <w:rFonts w:asciiTheme="minorHAnsi" w:hAnsiTheme="minorHAnsi" w:cstheme="minorHAnsi"/>
        </w:rPr>
      </w:pPr>
      <w:bookmarkStart w:id="1" w:name="_Hlk221745210"/>
      <w:r>
        <w:rPr>
          <w:rFonts w:asciiTheme="minorHAnsi" w:hAnsiTheme="minorHAnsi" w:cstheme="minorHAnsi"/>
        </w:rPr>
        <w:lastRenderedPageBreak/>
        <w:t>1 Introduction</w:t>
      </w:r>
    </w:p>
    <w:p w14:paraId="2FB626A3" w14:textId="66AA2B3B" w:rsidR="000A29B4" w:rsidRDefault="0093274C">
      <w:pPr>
        <w:pStyle w:val="Text"/>
        <w:rPr>
          <w:rFonts w:ascii="宋体" w:eastAsia="宋体" w:hAnsi="宋体" w:cstheme="minorHAnsi"/>
          <w:lang w:eastAsia="zh-CN"/>
        </w:rPr>
      </w:pPr>
      <w:bookmarkStart w:id="2" w:name="OLE_LINK1"/>
      <w:bookmarkStart w:id="3" w:name="OLE_LINK6"/>
      <w:r>
        <w:rPr>
          <w:rFonts w:asciiTheme="minorHAnsi" w:hAnsiTheme="minorHAnsi" w:cstheme="minorHAnsi"/>
        </w:rPr>
        <w:t>Accurate day-ahead wind power forecasting is essential for power-system operation, electricity marke</w:t>
      </w:r>
      <w:bookmarkEnd w:id="2"/>
      <w:r>
        <w:rPr>
          <w:rFonts w:asciiTheme="minorHAnsi" w:hAnsiTheme="minorHAnsi" w:cstheme="minorHAnsi"/>
        </w:rPr>
        <w:t xml:space="preserve">t, and renewable energy </w:t>
      </w:r>
      <w:r w:rsidR="00F80812">
        <w:rPr>
          <w:rFonts w:asciiTheme="minorHAnsi" w:hAnsiTheme="minorHAnsi" w:cstheme="minorHAnsi"/>
        </w:rPr>
        <w:t xml:space="preserve">integration </w:t>
      </w:r>
      <w:r>
        <w:rPr>
          <w:rFonts w:asciiTheme="minorHAnsi" w:hAnsiTheme="minorHAnsi" w:cstheme="minorHAnsi"/>
        </w:rPr>
        <w:fldChar w:fldCharType="begin"/>
      </w:r>
      <w:r>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Pr>
          <w:rFonts w:asciiTheme="minorHAnsi" w:hAnsiTheme="minorHAnsi" w:cstheme="minorHAnsi"/>
        </w:rPr>
        <w:fldChar w:fldCharType="separate"/>
      </w:r>
      <w:r>
        <w:rPr>
          <w:rFonts w:ascii="Calibri" w:hAnsi="Calibri" w:cs="Calibri"/>
        </w:rPr>
        <w:t>(</w:t>
      </w:r>
      <w:proofErr w:type="spellStart"/>
      <w:r>
        <w:rPr>
          <w:rFonts w:ascii="Calibri" w:hAnsi="Calibri" w:cs="Calibri"/>
        </w:rPr>
        <w:t>Holttinen</w:t>
      </w:r>
      <w:proofErr w:type="spellEnd"/>
      <w:r>
        <w:rPr>
          <w:rFonts w:ascii="Calibri" w:hAnsi="Calibri" w:cs="Calibri"/>
        </w:rPr>
        <w:t>, 2005; Mahoney et al., 2012)</w:t>
      </w:r>
      <w:r>
        <w:rPr>
          <w:rFonts w:asciiTheme="minorHAnsi" w:hAnsiTheme="minorHAnsi" w:cstheme="minorHAnsi"/>
        </w:rPr>
        <w:fldChar w:fldCharType="end"/>
      </w:r>
      <w:r>
        <w:rPr>
          <w:rFonts w:asciiTheme="minorHAnsi" w:hAnsiTheme="minorHAnsi" w:cstheme="minorHAnsi"/>
        </w:rPr>
        <w:t xml:space="preserve">. Forecasting performance has been substantially advanced in recent years, including through the development of deep learning models </w:t>
      </w:r>
      <w:r>
        <w:rPr>
          <w:rFonts w:asciiTheme="minorHAnsi" w:hAnsiTheme="minorHAnsi" w:cstheme="minorHAnsi"/>
        </w:rPr>
        <w:fldChar w:fldCharType="begin"/>
      </w:r>
      <w:r>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Pr>
          <w:rFonts w:asciiTheme="minorHAnsi" w:hAnsiTheme="minorHAnsi" w:cstheme="minorHAnsi"/>
        </w:rPr>
        <w:fldChar w:fldCharType="separate"/>
      </w:r>
      <w:r>
        <w:rPr>
          <w:rFonts w:ascii="Calibri" w:hAnsi="Calibri" w:cs="Calibri"/>
        </w:rPr>
        <w:t>(Liu &amp; Zhang, 2024)</w:t>
      </w:r>
      <w:r>
        <w:rPr>
          <w:rFonts w:asciiTheme="minorHAnsi" w:hAnsiTheme="minorHAnsi" w:cstheme="minorHAnsi"/>
        </w:rPr>
        <w:fldChar w:fldCharType="end"/>
      </w:r>
      <w:r>
        <w:rPr>
          <w:rFonts w:asciiTheme="minorHAnsi" w:hAnsiTheme="minorHAnsi" w:cstheme="minorHAnsi"/>
        </w:rPr>
        <w:t xml:space="preserve">, and depends not only on model capability but fundamentally on the physical relevance of meteorological inputs </w:t>
      </w:r>
      <w:r>
        <w:rPr>
          <w:rFonts w:asciiTheme="minorHAnsi" w:hAnsiTheme="minorHAnsi" w:cstheme="minorHAnsi"/>
        </w:rPr>
        <w:fldChar w:fldCharType="begin"/>
      </w:r>
      <w:r>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Pr>
          <w:rFonts w:asciiTheme="minorHAnsi" w:hAnsiTheme="minorHAnsi" w:cstheme="minorHAnsi"/>
        </w:rPr>
        <w:fldChar w:fldCharType="separate"/>
      </w:r>
      <w:r>
        <w:rPr>
          <w:rFonts w:ascii="Calibri" w:hAnsi="Calibri" w:cs="Calibri"/>
        </w:rPr>
        <w:t>(Optis &amp; Perr-Sauer, 2019)</w:t>
      </w:r>
      <w:r>
        <w:rPr>
          <w:rFonts w:asciiTheme="minorHAnsi" w:hAnsiTheme="minorHAnsi" w:cstheme="minorHAnsi"/>
        </w:rPr>
        <w:fldChar w:fldCharType="end"/>
      </w:r>
      <w:r>
        <w:rPr>
          <w:rFonts w:asciiTheme="minorHAnsi" w:hAnsiTheme="minorHAnsi" w:cstheme="minorHAnsi"/>
        </w:rPr>
        <w:t xml:space="preserve">. Previous research has largely focused on model development, including architecture innovation </w:t>
      </w:r>
      <w:r>
        <w:rPr>
          <w:rFonts w:asciiTheme="minorHAnsi" w:hAnsiTheme="minorHAnsi" w:cstheme="minorHAnsi"/>
        </w:rPr>
        <w:fldChar w:fldCharType="begin"/>
      </w:r>
      <w:r>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Theme="minorHAnsi" w:hAnsiTheme="minorHAnsi" w:cstheme="minorHAnsi"/>
        </w:rPr>
        <w:fldChar w:fldCharType="separate"/>
      </w:r>
      <w:r>
        <w:rPr>
          <w:rFonts w:ascii="Calibri" w:hAnsi="Calibri" w:cs="Calibri"/>
        </w:rPr>
        <w:t>(Bentsen et al., 2023)</w:t>
      </w:r>
      <w:r>
        <w:rPr>
          <w:rFonts w:asciiTheme="minorHAnsi" w:hAnsiTheme="minorHAnsi" w:cstheme="minorHAnsi"/>
        </w:rPr>
        <w:fldChar w:fldCharType="end"/>
      </w:r>
      <w:r>
        <w:rPr>
          <w:rFonts w:asciiTheme="minorHAnsi" w:hAnsiTheme="minorHAnsi" w:cstheme="minorHAnsi"/>
        </w:rPr>
        <w:t>, hyperparameter optimization</w:t>
      </w:r>
      <w:r>
        <w:rPr>
          <w:rFonts w:asciiTheme="minorHAnsi" w:hAnsiTheme="minorHAnsi" w:cstheme="minorHAnsi" w:hint="eastAsia"/>
          <w:lang w:eastAsia="zh-CN"/>
        </w:rPr>
        <w:t xml:space="preserve"> </w:t>
      </w:r>
      <w:r>
        <w:rPr>
          <w:rFonts w:asciiTheme="minorHAnsi" w:hAnsiTheme="minorHAnsi" w:cstheme="minorHAnsi"/>
        </w:rPr>
        <w:fldChar w:fldCharType="begin"/>
      </w:r>
      <w:r>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Theme="minorHAnsi" w:hAnsiTheme="minorHAnsi" w:cstheme="minorHAnsi"/>
        </w:rPr>
        <w:fldChar w:fldCharType="separate"/>
      </w:r>
      <w:r>
        <w:rPr>
          <w:rFonts w:ascii="Calibri" w:hAnsi="Calibri" w:cs="Calibri"/>
        </w:rPr>
        <w:t>(Hanifi et al., 2024)</w:t>
      </w:r>
      <w:r>
        <w:rPr>
          <w:rFonts w:asciiTheme="minorHAnsi" w:hAnsiTheme="minorHAnsi" w:cstheme="minorHAnsi"/>
        </w:rPr>
        <w:fldChar w:fldCharType="end"/>
      </w:r>
      <w:r>
        <w:rPr>
          <w:rFonts w:asciiTheme="minorHAnsi" w:hAnsiTheme="minorHAnsi" w:cstheme="minorHAnsi"/>
        </w:rPr>
        <w:t xml:space="preserve">, and post-processing </w:t>
      </w:r>
      <w:r>
        <w:rPr>
          <w:rFonts w:asciiTheme="minorHAnsi" w:hAnsiTheme="minorHAnsi" w:cstheme="minorHAnsi"/>
        </w:rPr>
        <w:fldChar w:fldCharType="begin"/>
      </w:r>
      <w:r>
        <w:rPr>
          <w:rFonts w:asciiTheme="minorHAnsi" w:hAnsiTheme="minorHAnsi" w:cstheme="minorHAnsi"/>
        </w:rPr>
        <w:instrText xml:space="preserve"> ADDIN ZOTERO_ITEM CSL_CITATION {"citationID":"G6ffxFFX","properties":{"formattedCitation":"(Xia, Luo, Li, Chang, et al., 2026)","plainCitation":"(Xia, Luo, Li, Chang, et al., 2026)","noteIndex":0},"citationItems":[{"id":2034,"uris":["http://zotero.org/users/14274501/items/ZCWVXAUW"],"itemData":{"id":2034,"type":"article-journal","abstract":"Accurate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Theme="minorHAnsi" w:hAnsiTheme="minorHAnsi" w:cstheme="minorHAnsi"/>
        </w:rPr>
        <w:fldChar w:fldCharType="separate"/>
      </w:r>
      <w:r>
        <w:rPr>
          <w:rFonts w:asciiTheme="minorHAnsi" w:hAnsiTheme="minorHAnsi" w:cstheme="minorHAnsi"/>
        </w:rPr>
        <w:t>(Xia et al., 2026b)</w:t>
      </w:r>
      <w:r>
        <w:rPr>
          <w:rFonts w:asciiTheme="minorHAnsi" w:hAnsiTheme="minorHAnsi" w:cstheme="minorHAnsi"/>
        </w:rPr>
        <w:fldChar w:fldCharType="end"/>
      </w:r>
      <w:r>
        <w:rPr>
          <w:rFonts w:asciiTheme="minorHAnsi" w:hAnsiTheme="minorHAnsi" w:cstheme="minorHAnsi"/>
        </w:rPr>
        <w:t xml:space="preserve">. In comparison, input feature selection has received less mechanistic consideration. </w:t>
      </w:r>
      <w:r w:rsidR="007D11D0" w:rsidRPr="007D11D0">
        <w:rPr>
          <w:rFonts w:asciiTheme="minorHAnsi" w:hAnsiTheme="minorHAnsi" w:cstheme="minorHAnsi"/>
        </w:rPr>
        <w:t>The atmospheric physics governing farm-scale power production is increasingly well understood, yet has not been effectively translated into forecasting feature selection, particularly for vertical wind structure from commonly available multi-height observations.</w:t>
      </w:r>
    </w:p>
    <w:p w14:paraId="79F51739" w14:textId="174BFFC0" w:rsidR="000A29B4" w:rsidRDefault="00D8547F">
      <w:pPr>
        <w:pStyle w:val="Text"/>
        <w:rPr>
          <w:rFonts w:ascii="Calibri" w:eastAsia="宋体" w:hAnsi="Calibri" w:cs="Calibri"/>
          <w:color w:val="000000"/>
          <w:lang w:eastAsia="zh-CN"/>
        </w:rPr>
      </w:pPr>
      <w:bookmarkStart w:id="4" w:name="_Hlk221716200"/>
      <w:bookmarkEnd w:id="3"/>
      <w:r w:rsidRPr="00D8547F">
        <w:rPr>
          <w:rFonts w:ascii="Calibri" w:eastAsia="宋体" w:hAnsi="Calibri" w:cs="Calibri"/>
          <w:color w:val="000000"/>
        </w:rPr>
        <w:t>Hub-height wind speed has long been the primary forecasting input</w:t>
      </w:r>
      <w:r w:rsidR="0093274C">
        <w:rPr>
          <w:rFonts w:ascii="Calibri" w:eastAsia="宋体" w:hAnsi="Calibri" w:cs="Calibri"/>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rPr>
        <w:t>(Mahoney et al., 2012; Ye et al., 2017; Che et al., 2022; Sun &amp; Yang, 2023)</w:t>
      </w:r>
      <w:r w:rsidR="0093274C">
        <w:rPr>
          <w:rFonts w:ascii="Calibri" w:eastAsia="宋体" w:hAnsi="Calibri" w:cs="Calibri"/>
          <w:color w:val="000000"/>
        </w:rPr>
        <w:fldChar w:fldCharType="end"/>
      </w:r>
      <w:r w:rsidR="0093274C">
        <w:rPr>
          <w:rFonts w:ascii="Calibri" w:eastAsia="宋体" w:hAnsi="Calibri" w:cs="Calibri"/>
          <w:color w:val="000000"/>
          <w:lang w:eastAsia="zh-CN"/>
        </w:rPr>
        <w:t>,</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sidR="0093274C">
        <w:rPr>
          <w:rFonts w:ascii="Calibri" w:eastAsia="宋体" w:hAnsi="Calibri" w:cs="Calibri" w:hint="eastAsia"/>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{"citationID":"QuzhfntJ","properties":{"formattedCitation":"(Turbines\\uc0\\u8212{}Part, 2005)","plainCitation":"(Turbines—Part, 2005)","noteIndex":0},"citationItems":[{"id":1829,"uris":["http://zotero.org/users/14274501/items/3X2LALHE","http://zotero.org/users/14274501/items/G3XY39BG"],"itemData":{"id":1829,"type":"article-journal","container-title":"British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color w:val="000000"/>
        </w:rPr>
        <w:t>(Turbines—Part, 2005)</w:t>
      </w:r>
      <w:r w:rsidR="0093274C">
        <w:rPr>
          <w:rFonts w:ascii="Calibri" w:eastAsia="宋体" w:hAnsi="Calibri" w:cs="Calibri"/>
          <w:color w:val="000000"/>
        </w:rPr>
        <w:fldChar w:fldCharType="end"/>
      </w:r>
      <w:r w:rsidR="0093274C">
        <w:rPr>
          <w:rFonts w:ascii="Calibri" w:eastAsia="宋体" w:hAnsi="Calibri" w:cs="Calibri"/>
          <w:color w:val="000000"/>
        </w:rPr>
        <w:t>.</w:t>
      </w:r>
      <w:r w:rsidR="0093274C">
        <w:rPr>
          <w:rFonts w:ascii="Calibri" w:eastAsia="宋体" w:hAnsi="Calibri" w:cs="Calibri" w:hint="eastAsia"/>
          <w:color w:val="000000"/>
        </w:rPr>
        <w:t xml:space="preserve"> </w:t>
      </w:r>
      <w:r w:rsidR="0093274C">
        <w:rPr>
          <w:rFonts w:ascii="Calibri" w:eastAsia="宋体" w:hAnsi="Calibri" w:cs="Calibri"/>
          <w:color w:val="000000"/>
        </w:rPr>
        <w:t>This practice is further supported by the strong correlation between hub-height wind speed and single-turbine power</w:t>
      </w:r>
      <w:r w:rsidR="0093274C">
        <w:rPr>
          <w:rFonts w:ascii="Calibri" w:eastAsia="宋体" w:hAnsi="Calibri" w:cs="Calibri" w:hint="eastAsia"/>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(Clifton et al., 2013)</w:t>
      </w:r>
      <w:r w:rsidR="0093274C">
        <w:rPr>
          <w:rFonts w:ascii="Calibri" w:eastAsia="宋体" w:hAnsi="Calibri" w:cs="Calibri"/>
          <w:color w:val="000000"/>
        </w:rPr>
        <w:fldChar w:fldCharType="end"/>
      </w:r>
      <w:r w:rsidR="0093274C">
        <w:rPr>
          <w:rFonts w:ascii="Calibri" w:eastAsia="宋体" w:hAnsi="Calibri" w:cs="Calibri"/>
          <w:color w:val="000000"/>
        </w:rPr>
        <w:t xml:space="preserve">. </w:t>
      </w:r>
      <w:bookmarkStart w:id="5" w:name="OLE_LINK5"/>
      <w:r w:rsidR="0093274C">
        <w:rPr>
          <w:rFonts w:ascii="Calibri" w:eastAsia="宋体" w:hAnsi="Calibri" w:cs="Calibri"/>
          <w:color w:val="000000"/>
        </w:rPr>
        <w:t xml:space="preserve">At the wind farm scale, however, this simplification becomes insufficient because aggregate power depends not only on the inflow at individual turbines but also on wake interactions across the farm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{"citationID":"Ph0FA6Q3","properties":{"formattedCitation":"(Barthelmie et al., 2010)","plainCitation":"(Barthelmie et al., 2010)","noteIndex":0},"citationItems":[{"id":2090,"uris":["http://zotero.org/users/14274501/items/CDBEMXHY"],"itemData":{"id":2090,"type":"article-journal","abstract":"There is an urgent need to develop and optimize tools for designing large wind farm arrays for deployment offshore. This research is focused on improving the understanding of, and modeling of, wind turbine wakes in order to make more accurate power output predictions for large offshore wind farms. Detailed data ensembles of power losses due to wakes at the large wind farms at Nysted and Horns Rev are presented and analyzed. Differences in turbine spacing (10.5 versus 7 rotor diameters) are not differentiable in wake-related power losses from the two wind farms. This is partly due to the high variability in the data despite careful data screening. A number of ensemble averages are simulated with a range of wind farm and computational ﬂuid dynamics models and compared to observed wake losses. All models were able to capture wake width to some degree, and some models also captured the decrease of power output moving through the wind farm. Rootmean-square errors indicate a generally better model performance for higher wind speeds (10 rather than 6 m s21) and for direct down the row ﬂow than for oblique angles. Despite this progress, wake modeling of large wind farms is still subject to an unacceptably high degree of uncertainty.","container-title":"Journal of Atmospheric and Oceanic Technology","DOI":"10.1175/2010JTECHA1398.1","ISSN":"1520-0426, 0739-0572","issue":"8","journalAbbreviation":"J. Atmos. Oceanic Technol.","language":"en","page":"1302-1317","source":"DOI.org (Crossref)","title":"Quantifying the impact of wind turbine wakes on power output at offshore wind farms","volume":"27","author":[{"family":"Barthelmie","given":"R. J."},{"family":"Pryor","given":"S. C."},{"family":"Frandsen","given":"S. T."},{"family":"Hansen","given":"K. S."},{"family":"Schepers","given":"J. G."},{"family":"Rados","given":"K."},{"family":"Schlez","given":"W."},{"family":"Neubert","given":"A."},{"family":"Jensen","given":"L. E."},{"family":"Neckelmann","given":"S."}],"issued":{"date-parts":[["2010",8,1]]}}}],"schema":"https://github.com/citation-style-language/schema/raw/master/csl-citation.json"}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rPr>
        <w:t>(Barthelmie et al., 2010)</w:t>
      </w:r>
      <w:r w:rsidR="0093274C">
        <w:rPr>
          <w:rFonts w:ascii="Calibri" w:eastAsia="宋体" w:hAnsi="Calibri" w:cs="Calibri"/>
          <w:color w:val="000000"/>
        </w:rPr>
        <w:fldChar w:fldCharType="end"/>
      </w:r>
      <w:r w:rsidR="0093274C">
        <w:rPr>
          <w:rFonts w:ascii="Calibri" w:eastAsia="宋体" w:hAnsi="Calibri" w:cs="Calibri"/>
          <w:color w:val="000000"/>
        </w:rPr>
        <w:t xml:space="preserve">. Wake development and recovery are strongly influenced by boundary-layer structure, including wind shear, turbulence, and atmospheric stability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{"citationID":"5k5IU27Z","properties":{"formattedCitation":"(Abkar &amp; Port\\uc0\\u233{}-Agel, 2015)","plainCitation":"(Abkar &amp; Porté-Agel, 2015)","noteIndex":0},"citationItems":[{"id":2092,"uris":["http://zotero.org/users/14274501/items/CRYNUQM5"],"itemData":{"id":2092,"type":"article-journal","abstract":"In this study, large-eddy simulation is combined with a turbine model to investigate the influence of atmospheric thermal stability on wind-turbine wakes. The simulation results show that atmospheric stability has a significant effect on the spatial distribution of the mean velocity deficit and turbulence statistics in the wake region as well as the wake meandering characteristics downwind of the turbine. In particular, the enhanced turbulence level associated with positive buoyancy under the convective condition leads to a relatively larger flow entrainment and, thus, a faster wake recovery. For the particular cases considered in this study, the growth rate of the wake is about 2.4 times larger for the convective case than for the stable one. Consistent with this result, for a given distance downwind of the turbine, wake meandering is also stronger under the convective condition compared with the neutral and stable cases. It is also shown that, for all the stability cases, the growth rate of the wake and wake meandering in the vertical direction is smaller compared with the ones in the lateral direction. This is mainly related to the different turbulence levels of the incoming wind in the different directions, together with the anisotropy imposed by the presence of the ground. It is also found that the wake velocity deficit is well characterized by a modified version of a recently proposed analytical model that is based on mass and momentum conservation and the assumption of a self-similar Gaussian distribution of the velocity deficit. Specifically, using a two-dimensional elliptical (instead of axisymmetric) Gaussian distribution allows to account for the different lateral and vertical growth rates, particularly in the convective case, where the non-axisymmetry of the wake is stronger. Detailed analysis of the resolved turbulent kinetic energy budget in the wake reveals also that thermal stratification considerably affects the magnitude and spatial distribution of the turbulence production, dissipation, and transport terms.","container-title":"Physics of Fluids","DOI":"10.1063/1.4913695","ISSN":"1070-6631, 1089-7666","issue":"3","journalAbbreviation":"Phys. Fluids","language":"en","page":"035104","source":"DOI.org (Crossref)","title":"Influence of atmospheric stability on wind-turbine wakes: a large-eddy simulation study","title-short":"Influence of atmospheric stability on wind-turbine wakes","volume":"27","author":[{"family":"Abkar","given":"Mahdi"},{"family":"Porté-Agel","given":"Fernando"}],"issued":{"date-parts":[["2015",3,1]]}}}],"schema":"https://github.com/citation-style-language/schema/raw/master/csl-citation.json"}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rPr>
        <w:t>(Abkar &amp; Porté-Agel, 2015)</w:t>
      </w:r>
      <w:r w:rsidR="0093274C">
        <w:rPr>
          <w:rFonts w:ascii="Calibri" w:eastAsia="宋体" w:hAnsi="Calibri" w:cs="Calibri"/>
          <w:color w:val="000000"/>
        </w:rPr>
        <w:fldChar w:fldCharType="end"/>
      </w:r>
      <w:r w:rsidR="0093274C">
        <w:rPr>
          <w:rFonts w:ascii="Calibri" w:eastAsia="宋体" w:hAnsi="Calibri" w:cs="Calibri"/>
          <w:color w:val="000000"/>
        </w:rPr>
        <w:t xml:space="preserve">. As a result, forecasting based solely on hub-height wind speed often fails to fully capture the atmospheric drivers of farm-scale power variability. </w:t>
      </w:r>
      <w:bookmarkEnd w:id="5"/>
      <w:r w:rsidR="0093274C">
        <w:rPr>
          <w:rFonts w:ascii="Calibri" w:eastAsia="宋体" w:hAnsi="Calibri" w:cs="Calibri"/>
          <w:color w:val="000000"/>
        </w:rPr>
        <w:t xml:space="preserve">Physical studies have demonstrated that rotor-equivalent wind speed (REWS)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93274C">
        <w:rPr>
          <w:rFonts w:ascii="Calibri" w:eastAsia="宋体" w:hAnsi="Calibri" w:cs="Calibri" w:hint="eastAsia"/>
          <w:color w:val="000000"/>
        </w:rPr>
        <w:instrText>‐</w:instrText>
      </w:r>
      <w:r w:rsidR="0093274C">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sidR="0093274C">
        <w:rPr>
          <w:rFonts w:ascii="Calibri" w:eastAsia="宋体" w:hAnsi="Calibri" w:cs="Calibri" w:hint="eastAsia"/>
          <w:color w:val="000000"/>
        </w:rPr>
        <w:instrText>‐</w:instrText>
      </w:r>
      <w:r w:rsidR="0093274C">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93274C">
        <w:rPr>
          <w:rFonts w:ascii="Calibri" w:eastAsia="宋体" w:hAnsi="Calibri" w:cs="Calibri" w:hint="eastAsia"/>
          <w:color w:val="000000"/>
        </w:rPr>
        <w:instrText>ount. Electrical power is found to correlate significantly better to the equivalent wind speed than to the single point hub</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height wind speed. Copyright © 2008 John Wiley &amp; Sons, Ltd.","container-title":"Wind Energy","DOI":"10.1002/we.297","ISSN":"1095-42</w:instrText>
      </w:r>
      <w:r w:rsidR="0093274C">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93274C">
        <w:rPr>
          <w:rFonts w:ascii="Calibri" w:eastAsia="宋体" w:hAnsi="Calibri" w:cs="Calibri"/>
          <w:color w:val="000000"/>
        </w:rPr>
        <w:fldChar w:fldCharType="separate"/>
      </w:r>
      <w:r w:rsidR="0093274C">
        <w:rPr>
          <w:rFonts w:ascii="Calibri" w:hAnsi="Calibri" w:cs="Calibri"/>
        </w:rPr>
        <w:t>(Wagner et al., 2009)</w:t>
      </w:r>
      <w:r w:rsidR="0093274C">
        <w:rPr>
          <w:rFonts w:ascii="Calibri" w:eastAsia="宋体" w:hAnsi="Calibri" w:cs="Calibri"/>
          <w:color w:val="000000"/>
        </w:rPr>
        <w:fldChar w:fldCharType="end"/>
      </w:r>
      <w:r w:rsidR="0093274C">
        <w:rPr>
          <w:rFonts w:ascii="Calibri" w:eastAsia="宋体" w:hAnsi="Calibri" w:cs="Calibri" w:hint="eastAsia"/>
          <w:color w:val="000000"/>
        </w:rPr>
        <w:t xml:space="preserve">, which </w:t>
      </w:r>
      <w:r w:rsidR="0093274C">
        <w:rPr>
          <w:rFonts w:ascii="Calibri" w:eastAsia="宋体" w:hAnsi="Calibri" w:cs="Calibri"/>
          <w:color w:val="000000"/>
        </w:rPr>
        <w:t>integrates wind speeds across the rotor-swept layer</w:t>
      </w:r>
      <w:r w:rsidR="0093274C">
        <w:rPr>
          <w:rFonts w:ascii="Calibri" w:eastAsia="宋体" w:hAnsi="Calibri" w:cs="Calibri"/>
          <w:color w:val="000000"/>
          <w:lang w:eastAsia="zh-CN"/>
        </w:rPr>
        <w:t>,</w:t>
      </w:r>
      <w:r w:rsidR="0093274C">
        <w:rPr>
          <w:rFonts w:ascii="Calibri" w:eastAsia="宋体" w:hAnsi="Calibri" w:cs="Calibri" w:hint="eastAsia"/>
          <w:color w:val="000000"/>
        </w:rPr>
        <w:t xml:space="preserve"> </w:t>
      </w:r>
      <w:r w:rsidR="0093274C">
        <w:rPr>
          <w:rFonts w:ascii="Calibri" w:eastAsia="宋体" w:hAnsi="Calibri" w:cs="Calibri"/>
          <w:color w:val="000000"/>
        </w:rPr>
        <w:t>outperforms single-</w:t>
      </w:r>
      <w:r w:rsidR="0093274C">
        <w:rPr>
          <w:rFonts w:ascii="Calibri" w:eastAsia="宋体" w:hAnsi="Calibri" w:cs="Calibri" w:hint="eastAsia"/>
          <w:color w:val="000000"/>
        </w:rPr>
        <w:t>height</w:t>
      </w:r>
      <w:r w:rsidR="0093274C">
        <w:rPr>
          <w:rFonts w:ascii="Calibri" w:eastAsia="宋体" w:hAnsi="Calibri" w:cs="Calibri"/>
          <w:color w:val="000000"/>
        </w:rPr>
        <w:t xml:space="preserve"> measurements</w:t>
      </w:r>
      <w:r w:rsidR="0093274C">
        <w:rPr>
          <w:rFonts w:ascii="Calibri" w:eastAsia="宋体" w:hAnsi="Calibri" w:cs="Calibri" w:hint="eastAsia"/>
          <w:color w:val="000000"/>
        </w:rPr>
        <w:t xml:space="preserve"> in forecasting farm-scale power</w:t>
      </w:r>
      <w:r w:rsidR="0093274C">
        <w:rPr>
          <w:rFonts w:ascii="Calibri" w:eastAsia="宋体" w:hAnsi="Calibri" w:cs="Calibri"/>
          <w:color w:val="000000"/>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(Sasser et al., 2022)</w:t>
      </w:r>
      <w:r w:rsidR="0093274C">
        <w:rPr>
          <w:rFonts w:ascii="Calibri" w:eastAsia="宋体" w:hAnsi="Calibri" w:cs="Calibri"/>
          <w:color w:val="000000"/>
        </w:rPr>
        <w:fldChar w:fldCharType="end"/>
      </w:r>
      <w:r w:rsidR="0093274C">
        <w:rPr>
          <w:rFonts w:ascii="Calibri" w:eastAsia="宋体" w:hAnsi="Calibri" w:cs="Calibri"/>
          <w:color w:val="000000"/>
        </w:rPr>
        <w:t xml:space="preserve">. Even with this advance, atmospheric stability can induce 15–20% power variations at the same nominal wind speed, and turbulent kinetic energy has been identified as a dominant modulation factor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(Wharton &amp; Lundquist, 2012)</w:t>
      </w:r>
      <w:r w:rsidR="0093274C">
        <w:rPr>
          <w:rFonts w:ascii="Calibri" w:eastAsia="宋体" w:hAnsi="Calibri" w:cs="Calibri"/>
          <w:color w:val="000000"/>
        </w:rPr>
        <w:fldChar w:fldCharType="end"/>
      </w:r>
      <w:r w:rsidR="0093274C">
        <w:rPr>
          <w:rFonts w:ascii="Calibri" w:eastAsia="宋体" w:hAnsi="Calibri" w:cs="Calibri"/>
          <w:color w:val="000000"/>
        </w:rPr>
        <w:t>. Confining vertical integration to the rotor-swept layer therefore remains insufficient to capture the influence of vertical structure and its governing scales on farm-scale power variability.</w:t>
      </w:r>
    </w:p>
    <w:p w14:paraId="4A88E802" w14:textId="48835F99" w:rsidR="000A29B4" w:rsidRDefault="005469D5">
      <w:pPr>
        <w:pStyle w:val="Text"/>
        <w:rPr>
          <w:rFonts w:ascii="Calibri" w:eastAsia="宋体" w:hAnsi="Calibri" w:cs="Calibri"/>
          <w:color w:val="000000"/>
          <w:lang w:eastAsia="zh-CN"/>
        </w:rPr>
      </w:pPr>
      <w:bookmarkStart w:id="6" w:name="OLE_LINK7"/>
      <w:bookmarkEnd w:id="4"/>
      <w:r w:rsidRPr="005469D5">
        <w:rPr>
          <w:rFonts w:ascii="Calibri" w:eastAsia="宋体" w:hAnsi="Calibri" w:cs="Calibri"/>
          <w:color w:val="000000"/>
        </w:rPr>
        <w:t>Flow-regime variability adds another dimension to farm-scale power representation, as wind farms operate under both free-stream and wake-influenced inflow conditions with distinct drivers of power production.</w:t>
      </w:r>
      <w:r>
        <w:rPr>
          <w:rFonts w:ascii="Calibri" w:eastAsia="宋体" w:hAnsi="Calibri" w:cs="Calibri"/>
          <w:color w:val="000000"/>
        </w:rPr>
        <w:t xml:space="preserve"> </w:t>
      </w:r>
      <w:r w:rsidR="0093274C" w:rsidRPr="003F68B5">
        <w:rPr>
          <w:rFonts w:ascii="Calibri" w:eastAsia="宋体" w:hAnsi="Calibri" w:cs="Calibri"/>
          <w:color w:val="000000"/>
        </w:rPr>
        <w:t>Wake interactions can cause 10–20% power losses and elevate</w:t>
      </w:r>
      <w:r w:rsidR="0093274C">
        <w:rPr>
          <w:rFonts w:ascii="Calibri" w:eastAsia="宋体" w:hAnsi="Calibri" w:cs="Calibri"/>
          <w:color w:val="000000"/>
        </w:rPr>
        <w:t xml:space="preserve"> turbulence intensity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sidR="0093274C">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of</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the</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art models. Observed power losses due solely to wakes are approximately 10% on average. Thes</w:instrText>
      </w:r>
      <w:r w:rsidR="0093274C">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3274C">
        <w:rPr>
          <w:rFonts w:ascii="Calibri" w:eastAsia="宋体" w:hAnsi="Calibri" w:cs="Calibri" w:hint="eastAsia"/>
          <w:color w:val="000000"/>
        </w:rPr>
        <w:instrText>:"M. N."},{"family":"Pryor","given":"S. C."},{"family":"Rethore","given":"P.</w:instrText>
      </w:r>
      <w:r w:rsidR="0093274C">
        <w:rPr>
          <w:rFonts w:ascii="Calibri" w:eastAsia="宋体" w:hAnsi="Calibri" w:cs="Calibri" w:hint="eastAsia"/>
          <w:color w:val="000000"/>
        </w:rPr>
        <w:instrText>‐</w:instrText>
      </w:r>
      <w:r w:rsidR="0093274C">
        <w:rPr>
          <w:rFonts w:ascii="Calibri" w:eastAsia="宋体" w:hAnsi="Calibri" w:cs="Calibri" w:hint="eastAsia"/>
          <w:color w:val="000000"/>
        </w:rPr>
        <w:instrText>E."},{"family":"Jørgensen","given":"H. E."}],"issued":{"date-parts":[["2007",11]]}}},{"id":1748,"uris":["http://zotero.org/users/14274501/items/IK6DQM6L"],"itemData":{"id":1748,"</w:instrText>
      </w:r>
      <w:r w:rsidR="0093274C">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(Barthelmie et al., 2007; Feroz et al., 2020)</w:t>
      </w:r>
      <w:r w:rsidR="0093274C">
        <w:rPr>
          <w:rFonts w:ascii="Calibri" w:eastAsia="宋体" w:hAnsi="Calibri" w:cs="Calibri"/>
          <w:color w:val="000000"/>
        </w:rPr>
        <w:fldChar w:fldCharType="end"/>
      </w:r>
      <w:r w:rsidR="0093274C">
        <w:rPr>
          <w:rFonts w:ascii="Calibri" w:eastAsia="宋体" w:hAnsi="Calibri" w:cs="Calibri"/>
          <w:color w:val="000000"/>
        </w:rPr>
        <w:t>, implying that the physical controls on power output vary dynamically with flow regime and atmospheric stability.</w:t>
      </w:r>
      <w:r w:rsidR="0093274C">
        <w:t xml:space="preserve"> </w:t>
      </w:r>
      <w:r w:rsidR="0093274C">
        <w:rPr>
          <w:rFonts w:ascii="Calibri" w:eastAsia="宋体" w:hAnsi="Calibri" w:cs="Calibri"/>
          <w:color w:val="000000"/>
        </w:rPr>
        <w:t xml:space="preserve">Recent explainable-AI analyses also rank turbulence-related variables, including turbulent kinetic energy and turbulence intensity, among the most informative predictors of farm-scale power, second only to wind speed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(Optis &amp; Perr-Sauer, 2019; Kim &amp; Kim, 2023)</w:t>
      </w:r>
      <w:r w:rsidR="0093274C">
        <w:rPr>
          <w:rFonts w:ascii="Calibri" w:eastAsia="宋体" w:hAnsi="Calibri" w:cs="Calibri"/>
          <w:color w:val="000000"/>
        </w:rPr>
        <w:fldChar w:fldCharType="end"/>
      </w:r>
      <w:r w:rsidR="0093274C">
        <w:rPr>
          <w:rFonts w:ascii="Calibri" w:eastAsia="宋体" w:hAnsi="Calibri" w:cs="Calibri"/>
          <w:color w:val="000000"/>
        </w:rPr>
        <w:t xml:space="preserve">, </w:t>
      </w:r>
      <w:r w:rsidR="007D11D0" w:rsidRPr="007D11D0">
        <w:rPr>
          <w:rFonts w:ascii="Calibri" w:eastAsia="宋体" w:hAnsi="Calibri" w:cs="Calibri"/>
          <w:color w:val="000000"/>
        </w:rPr>
        <w:t>further suggesting regime-dependent inflow–power modulation</w:t>
      </w:r>
      <w:r w:rsidR="0093274C">
        <w:rPr>
          <w:rFonts w:ascii="Calibri" w:eastAsia="宋体" w:hAnsi="Calibri" w:cs="Calibri"/>
          <w:color w:val="000000"/>
        </w:rPr>
        <w:t>.</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Yet data-driven forecasting models commonly incorporate multi-height meteorological inputs as homogeneous predictors, without explicitly accounting for flow-regime-dependent mechanisms.</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 xml:space="preserve">When distinct flow regimes are </w:t>
      </w:r>
      <w:r w:rsidR="0093274C">
        <w:rPr>
          <w:rFonts w:ascii="Calibri" w:eastAsia="宋体" w:hAnsi="Calibri" w:cs="Calibri"/>
          <w:color w:val="000000"/>
          <w:lang w:eastAsia="zh-CN"/>
        </w:rPr>
        <w:lastRenderedPageBreak/>
        <w:t>aggregated, underlying physical differences can manifest as persistent empirical correlations that lack clear physical interpretation.</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lang w:eastAsia="zh-CN"/>
        </w:rPr>
        <w:t>One such example is the consistently reported high correlation between near-surface wind speeds (e.g., 10-m wind) and total wind-farm power output</w:t>
      </w:r>
      <w:r w:rsidR="0093274C">
        <w:rPr>
          <w:rFonts w:ascii="Calibri" w:eastAsia="宋体" w:hAnsi="Calibri" w:cs="Calibri" w:hint="eastAsia"/>
          <w:color w:val="000000"/>
          <w:lang w:eastAsia="zh-CN"/>
        </w:rPr>
        <w:t xml:space="preserve"> </w:t>
      </w:r>
      <w:r w:rsidR="0093274C">
        <w:rPr>
          <w:rFonts w:ascii="Calibri" w:eastAsia="宋体" w:hAnsi="Calibri" w:cs="Calibri"/>
          <w:color w:val="000000"/>
        </w:rPr>
        <w:fldChar w:fldCharType="begin"/>
      </w:r>
      <w:r w:rsidR="0093274C">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93274C">
        <w:rPr>
          <w:rFonts w:ascii="Calibri" w:eastAsia="宋体" w:hAnsi="Calibri" w:cs="Calibri"/>
          <w:color w:val="000000"/>
        </w:rPr>
        <w:fldChar w:fldCharType="separate"/>
      </w:r>
      <w:r w:rsidR="0093274C">
        <w:rPr>
          <w:rFonts w:ascii="Calibri" w:eastAsia="宋体" w:hAnsi="Calibri" w:cs="Calibri"/>
          <w:color w:val="000000"/>
        </w:rPr>
        <w:t>(Rubanenko et al., 2020; Chen &amp; Xu, 2022)</w:t>
      </w:r>
      <w:r w:rsidR="0093274C">
        <w:rPr>
          <w:rFonts w:ascii="Calibri" w:eastAsia="宋体" w:hAnsi="Calibri" w:cs="Calibri"/>
          <w:color w:val="000000"/>
        </w:rPr>
        <w:fldChar w:fldCharType="end"/>
      </w:r>
      <w:r w:rsidR="0093274C">
        <w:rPr>
          <w:rFonts w:ascii="Calibri" w:eastAsia="宋体" w:hAnsi="Calibri" w:cs="Calibri"/>
          <w:color w:val="000000"/>
          <w:lang w:eastAsia="zh-CN"/>
        </w:rPr>
        <w:t>, whose physical basis remains unclear.</w:t>
      </w:r>
    </w:p>
    <w:bookmarkEnd w:id="6"/>
    <w:p w14:paraId="013969C6" w14:textId="592A9C49" w:rsidR="000A29B4" w:rsidRDefault="00F82261">
      <w:pPr>
        <w:pStyle w:val="Text"/>
        <w:rPr>
          <w:rFonts w:asciiTheme="minorHAnsi" w:hAnsiTheme="minorHAnsi" w:cstheme="minorHAnsi"/>
          <w:lang w:eastAsia="zh-CN"/>
        </w:rPr>
      </w:pPr>
      <w:r w:rsidRPr="00F82261">
        <w:rPr>
          <w:rFonts w:ascii="Calibri" w:eastAsia="宋体" w:hAnsi="Calibri" w:cs="Calibri"/>
          <w:color w:val="000000"/>
        </w:rPr>
        <w:t>Using multi-height observations from a flat-terrain wind farm, we link atmospheric flow physics to farm-scale power forecasting by partitioning inflow regimes and quantifying how vertical wind structure governs power variability under free-stream and wake-influenced conditions, thereby clarifying the physical origin of the persistent high correlation between near-surface winds and total farm power.</w:t>
      </w:r>
      <w:r>
        <w:rPr>
          <w:rFonts w:ascii="Calibri" w:eastAsia="宋体" w:hAnsi="Calibri" w:cs="Calibri"/>
          <w:color w:val="000000"/>
        </w:rPr>
        <w:t xml:space="preserve"> </w:t>
      </w:r>
      <w:r w:rsidR="0093274C">
        <w:rPr>
          <w:rFonts w:ascii="Calibri" w:eastAsia="宋体" w:hAnsi="Calibri" w:cs="Calibri"/>
          <w:color w:val="000000"/>
        </w:rPr>
        <w:t xml:space="preserve">We show that incorporating regime-dependent profile information outperforms both single hub-height input and undifferentiated multi-height predictors in observational power reconstruction and Numerical Weather Prediction (NWP)-driven day-ahead forecasting. </w:t>
      </w:r>
      <w:r w:rsidR="007D11D0" w:rsidRPr="007D11D0">
        <w:rPr>
          <w:rFonts w:ascii="Calibri" w:eastAsia="宋体" w:hAnsi="Calibri" w:cs="Calibri"/>
          <w:color w:val="000000"/>
        </w:rPr>
        <w:t>By revealing that governing atmospheric time scales and vertical coherence underpin the relevance of non-hub-height winds to farm-scale power, the results provide a mechanistic basis for improving wind-to-powe</w:t>
      </w:r>
      <w:r w:rsidR="007D11D0">
        <w:rPr>
          <w:rFonts w:ascii="Calibri" w:eastAsia="宋体" w:hAnsi="Calibri" w:cs="Calibri"/>
          <w:color w:val="000000"/>
        </w:rPr>
        <w:t>r representation in forecasting</w:t>
      </w:r>
      <w:r w:rsidR="0093274C">
        <w:rPr>
          <w:rFonts w:ascii="Calibri" w:eastAsia="宋体" w:hAnsi="Calibri" w:cs="Calibri"/>
          <w:color w:val="000000"/>
        </w:rPr>
        <w:t>.</w:t>
      </w:r>
    </w:p>
    <w:bookmarkEnd w:id="1"/>
    <w:p w14:paraId="129B8AA1" w14:textId="77777777" w:rsidR="000A29B4" w:rsidRDefault="0093274C">
      <w:pPr>
        <w:pStyle w:val="Heading-Main"/>
        <w:rPr>
          <w:rFonts w:asciiTheme="minorHAnsi" w:hAnsiTheme="minorHAnsi" w:cstheme="minorHAnsi"/>
          <w:lang w:eastAsia="zh-CN"/>
        </w:rPr>
      </w:pPr>
      <w:r>
        <w:rPr>
          <w:rFonts w:asciiTheme="minorHAnsi" w:hAnsiTheme="minorHAnsi" w:cstheme="minorHAnsi"/>
        </w:rPr>
        <w:t>2 Materials and Methods</w:t>
      </w:r>
    </w:p>
    <w:p w14:paraId="7421F0B8" w14:textId="77777777" w:rsidR="000A29B4" w:rsidRDefault="0093274C">
      <w:pPr>
        <w:pStyle w:val="Heading-Secondary"/>
        <w:rPr>
          <w:rFonts w:asciiTheme="minorHAnsi" w:hAnsiTheme="minorHAnsi" w:cstheme="minorHAnsi"/>
          <w:lang w:eastAsia="zh-CN"/>
        </w:rPr>
      </w:pPr>
      <w:bookmarkStart w:id="7" w:name="OLE_LINK8"/>
      <w:bookmarkStart w:id="8" w:name="_GoBack"/>
      <w:bookmarkEnd w:id="8"/>
      <w:r>
        <w:rPr>
          <w:rFonts w:asciiTheme="minorHAnsi" w:hAnsiTheme="minorHAnsi" w:cstheme="minorHAnsi"/>
        </w:rPr>
        <w:t>2.1 Flow Regime Classification</w:t>
      </w:r>
    </w:p>
    <w:p w14:paraId="551CAAF5" w14:textId="20BA7A69" w:rsidR="000A29B4" w:rsidRDefault="0093274C">
      <w:pPr>
        <w:pStyle w:val="Text"/>
        <w:rPr>
          <w:rFonts w:asciiTheme="minorHAnsi" w:hAnsiTheme="minorHAnsi" w:cstheme="minorHAnsi"/>
          <w:lang w:eastAsia="zh-CN"/>
        </w:rPr>
      </w:pPr>
      <w:r>
        <w:rPr>
          <w:rFonts w:asciiTheme="minorHAnsi" w:hAnsiTheme="minorHAnsi" w:cstheme="minorHAnsi"/>
        </w:rPr>
        <w:t xml:space="preserve">Flow regimes were classified based on wind direction relative to the turbine layout </w:t>
      </w:r>
      <w:r w:rsidRPr="00EB1041">
        <w:rPr>
          <w:rFonts w:asciiTheme="minorHAnsi" w:hAnsiTheme="minorHAnsi" w:cstheme="minorHAnsi"/>
        </w:rPr>
        <w:t xml:space="preserve">(Figure </w:t>
      </w:r>
      <w:r w:rsidR="00DD02F7">
        <w:rPr>
          <w:rFonts w:asciiTheme="minorHAnsi" w:hAnsiTheme="minorHAnsi" w:cstheme="minorHAnsi"/>
        </w:rPr>
        <w:t>S</w:t>
      </w:r>
      <w:r w:rsidRPr="00EB1041">
        <w:rPr>
          <w:rFonts w:asciiTheme="minorHAnsi" w:hAnsiTheme="minorHAnsi" w:cstheme="minorHAnsi"/>
        </w:rPr>
        <w:t>1 shows the turbine layout and mast location).</w:t>
      </w:r>
      <w:r w:rsidRPr="00EB1041">
        <w:rPr>
          <w:rFonts w:asciiTheme="minorHAnsi" w:hAnsiTheme="minorHAnsi" w:cstheme="minorHAnsi" w:hint="eastAsia"/>
          <w:lang w:eastAsia="zh-CN"/>
        </w:rPr>
        <w:t xml:space="preserve"> </w:t>
      </w:r>
      <w:r w:rsidRPr="00EB1041">
        <w:rPr>
          <w:rFonts w:asciiTheme="minorHAnsi" w:hAnsiTheme="minorHAnsi" w:cstheme="minorHAnsi"/>
          <w:lang w:eastAsia="zh-CN"/>
        </w:rPr>
        <w:t>Westerly winds (225°–315°) are classified as free-stream conditions, under which measurements represent background atmospheric flow upstream of the turbine array</w:t>
      </w:r>
      <w:r>
        <w:rPr>
          <w:rFonts w:asciiTheme="minorHAnsi" w:hAnsiTheme="minorHAnsi" w:cstheme="minorHAnsi"/>
          <w:lang w:eastAsia="zh-CN"/>
        </w:rPr>
        <w:t>.</w:t>
      </w:r>
      <w:r>
        <w:rPr>
          <w:rFonts w:asciiTheme="minorHAnsi" w:hAnsiTheme="minorHAnsi" w:cstheme="minorHAnsi"/>
        </w:rPr>
        <w:t xml:space="preserve"> In contrast, easterly winds (45°–135°) traverse the turbine array before reaching the mast and are therefore classified as wake-influenced conditions, under which wind profiles are affected by turbine-induced momentum deficits and enhanced turbulence </w:t>
      </w:r>
      <w:r>
        <w:rPr>
          <w:rFonts w:asciiTheme="minorHAnsi" w:hAnsiTheme="minorHAnsi" w:cstheme="minorHAnsi"/>
        </w:rPr>
        <w:fldChar w:fldCharType="begin"/>
      </w:r>
      <w:r>
        <w:rPr>
          <w:rFonts w:asciiTheme="minorHAnsi" w:hAnsiTheme="minorHAnsi" w:cstheme="minorHAnsi"/>
        </w:rPr>
        <w:instrText xml:space="preserve"> ADDIN ZOTERO_ITEM CSL_CITATION {"citationID":"19pO9kRa","properties":{"formattedCitation":"(Port\\uc0\\u233{}-Agel et al., 2020)","plainCitation":"(Porté-Agel et al., 2020)","noteIndex":0},"citationItems":[{"id":2038,"uris":["http://zotero.org/users/14274501/items/QQDP2J4Q"],"itemData":{"id":2038,"type":"article-journal","abstract":"Wind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ﬂuid mechanical perspective, these interactions are complicated by the high Reynolds number of the ABL ﬂow, its inherent unsteadiness due to the diurnal cycle and synoptic-forcing variability, the ubiquitous nature of thermal effects, and the heterogeneity of the terrain. Particularly important is the effect of ABL turbulence on wind-turbine wake ﬂows and their superposition, as they are responsible for considerable turbine power losses and fatigue loads in wind farms. These ﬂow interactions affect, in turn, the structure of the ABL and the turbulent ﬂuxes of momentum and scalars. This review summarizes recent experimental, computational, and theoretical research efforts that have contributed to improving our understanding and ability to predict the interactions of ABL ﬂow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Pr>
          <w:rFonts w:asciiTheme="minorHAnsi" w:hAnsiTheme="minorHAnsi" w:cstheme="minorHAnsi"/>
        </w:rPr>
        <w:fldChar w:fldCharType="separate"/>
      </w:r>
      <w:r>
        <w:rPr>
          <w:rFonts w:ascii="Calibri" w:eastAsia="宋体" w:hAnsiTheme="minorHAnsi" w:cs="Calibri"/>
        </w:rPr>
        <w:t>(Porté-Agel et al., 2020)</w:t>
      </w:r>
      <w:r>
        <w:rPr>
          <w:rFonts w:asciiTheme="minorHAnsi" w:hAnsiTheme="minorHAnsi" w:cstheme="minorHAnsi"/>
        </w:rPr>
        <w:fldChar w:fldCharType="end"/>
      </w:r>
      <w:r>
        <w:rPr>
          <w:rFonts w:asciiTheme="minorHAnsi" w:hAnsiTheme="minorHAnsi" w:cstheme="minorHAnsi"/>
        </w:rPr>
        <w:t>.</w:t>
      </w:r>
      <w:bookmarkStart w:id="9" w:name="OLE_LINK9"/>
      <w:r>
        <w:rPr>
          <w:rFonts w:asciiTheme="minorHAnsi" w:hAnsiTheme="minorHAnsi" w:cstheme="minorHAnsi"/>
        </w:rPr>
        <w:t xml:space="preserve"> </w:t>
      </w:r>
      <w:bookmarkEnd w:id="9"/>
      <w:r>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Over the study period, the resulting dataset comprises 1,951 free-stream samples (3.7%) and 8,693 wake-influenced samples (16.6%), with the remaining observations excluded from regime-specific evaluation.</w:t>
      </w:r>
    </w:p>
    <w:p w14:paraId="47D74EA6" w14:textId="77777777" w:rsidR="000A29B4" w:rsidRDefault="0093274C">
      <w:pPr>
        <w:pStyle w:val="Heading-Secondary"/>
        <w:rPr>
          <w:rFonts w:asciiTheme="minorHAnsi" w:hAnsiTheme="minorHAnsi" w:cstheme="minorHAnsi"/>
          <w:lang w:eastAsia="zh-CN"/>
        </w:rPr>
      </w:pPr>
      <w:bookmarkStart w:id="10" w:name="_Hlk220792935"/>
      <w:bookmarkEnd w:id="7"/>
      <w:r>
        <w:rPr>
          <w:rFonts w:asciiTheme="minorHAnsi" w:hAnsiTheme="minorHAnsi" w:cstheme="minorHAnsi" w:hint="eastAsia"/>
          <w:lang w:eastAsia="zh-CN"/>
        </w:rPr>
        <w:t xml:space="preserve">2.2 </w:t>
      </w:r>
      <w:r>
        <w:rPr>
          <w:rFonts w:asciiTheme="minorHAnsi" w:hAnsiTheme="minorHAnsi" w:cstheme="minorHAnsi"/>
          <w:lang w:eastAsia="zh-CN"/>
        </w:rPr>
        <w:t>Data Analysis Methods</w:t>
      </w:r>
    </w:p>
    <w:p w14:paraId="29F10162" w14:textId="6AA86A08"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Complete Ensemble Empirical Mode Decomposition with Adaptive Noise (CEEMDAN;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{"citationID":"1VJxZ6VY","properties":{"formattedCitation":"(Torres et al., 2011)","plainCitation":"(Torres et al., 2011)","dontUpdate":true,"noteIndex":0},"citationItems":[{"id":1973,"uris":["http://zotero.org/users/14274501/items/WJRY4WH6"],"itemData":{"id":1973,"type":"paper-conference","abstract":"In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(ICASSP)","DOI":"10.1109/ICASSP.2011.5947265","event-place":"Prague, Czech Republic","event-title":"ICASSP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Torres et al., 2011)</w:t>
      </w:r>
      <w:r>
        <w:rPr>
          <w:rFonts w:asciiTheme="minorHAnsi" w:hAnsiTheme="minorHAnsi" w:cstheme="minorHAnsi"/>
          <w:lang w:eastAsia="zh-CN"/>
        </w:rPr>
        <w:fldChar w:fldCharType="end"/>
      </w:r>
      <w:r>
        <w:rPr>
          <w:rFonts w:asciiTheme="minorHAnsi" w:hAnsiTheme="minorHAnsi" w:cstheme="minorHAnsi"/>
          <w:lang w:eastAsia="zh-CN"/>
        </w:rPr>
        <w:t>, an improved variant of EEMD</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{"citationID":"POCJU4Sq","properties":{"formattedCitation":"(Wu &amp; Huang, 2009)","plainCitation":"(Wu &amp; Huang, 2009)","noteIndex":0},"citationItems":[{"id":1974,"uris":["http://zotero.org/users/14274501/items/92ZQTH82"],"itemData":{"id":1974,"type":"article-journal","container-title":"Advances in adaptive data analysis","DOI":"10.1142/S1793536909000047","ISSN":"1793-5369","issue":"1","journalAbbreviation":"Adv. adapt. data anal.","language":"en","note":"publisher: World Scientific","page":"1-41","title":"Ensemble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(Wu &amp; Huang, 2009)</w:t>
      </w:r>
      <w:r>
        <w:rPr>
          <w:rFonts w:asciiTheme="minorHAnsi" w:hAnsiTheme="minorHAnsi" w:cstheme="minorHAnsi"/>
          <w:lang w:eastAsia="zh-CN"/>
        </w:rPr>
        <w:fldChar w:fldCharType="end"/>
      </w:r>
      <w:r>
        <w:t xml:space="preserve"> </w:t>
      </w:r>
      <w:r>
        <w:rPr>
          <w:rFonts w:asciiTheme="minorHAnsi" w:hAnsiTheme="minorHAnsi" w:cstheme="minorHAnsi"/>
          <w:lang w:eastAsia="zh-CN"/>
        </w:rPr>
        <w:t>was applied to the continuous wind speed (at different heights) and total farm power time series to obtain intrinsic mode functions across temporal scales. Regime-dependent wind–power coupling was quantified by computing cross-scale correlations within subsets of timestamps classified into free-stream and wake-influenced conditions based on wind direction</w:t>
      </w:r>
      <w:r>
        <w:rPr>
          <w:rFonts w:asciiTheme="minorHAnsi" w:hAnsiTheme="minorHAnsi" w:cstheme="minorHAnsi" w:hint="eastAsia"/>
          <w:lang w:eastAsia="zh-CN"/>
        </w:rPr>
        <w:t xml:space="preserve"> </w:t>
      </w:r>
      <w:r>
        <w:rPr>
          <w:rFonts w:asciiTheme="minorHAnsi" w:hAnsiTheme="minorHAnsi" w:cstheme="minorHAnsi"/>
          <w:lang w:eastAsia="zh-CN"/>
        </w:rPr>
        <w:t>(Text S1).</w:t>
      </w:r>
      <w:r>
        <w:rPr>
          <w:rFonts w:asciiTheme="minorHAnsi" w:hAnsiTheme="minorHAnsi" w:cstheme="minorHAnsi" w:hint="eastAsia"/>
          <w:lang w:eastAsia="zh-CN"/>
        </w:rPr>
        <w:t xml:space="preserve"> </w:t>
      </w:r>
      <w:r>
        <w:rPr>
          <w:rFonts w:asciiTheme="minorHAnsi" w:hAnsiTheme="minorHAnsi" w:cstheme="minorHAnsi"/>
          <w:lang w:eastAsia="zh-CN"/>
        </w:rPr>
        <w:t>Empirical Orthogonal Function (EOF) analysis was performed on wind profiles to identify dominant modes of vertical structure variability</w:t>
      </w:r>
      <w:r>
        <w:rPr>
          <w:rFonts w:asciiTheme="minorHAnsi" w:hAnsiTheme="minorHAnsi" w:cstheme="minorHAnsi" w:hint="eastAsia"/>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{"citationID":"5Zxk0tj6","properties":{"formattedCitation":"(Wilson, 1996)","plainCitation":"(Wilson, 1996)","noteIndex":0},"citationItems":[{"id":"MPHYvanQ/H5Gx439j","uris":["http://zotero.org/users/14274501/items/J9DEMZR9"],"itemData":{"id":1804,"type":"article-journal","container-title":"Journal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(Wilson, 1996)</w:t>
      </w:r>
      <w:r>
        <w:rPr>
          <w:rFonts w:asciiTheme="minorHAnsi" w:hAnsiTheme="minorHAnsi" w:cstheme="minorHAnsi"/>
          <w:lang w:eastAsia="zh-CN"/>
        </w:rPr>
        <w:fldChar w:fldCharType="end"/>
      </w:r>
      <w:r>
        <w:rPr>
          <w:rFonts w:asciiTheme="minorHAnsi" w:hAnsiTheme="minorHAnsi" w:cstheme="minorHAnsi"/>
          <w:lang w:eastAsia="zh-CN"/>
        </w:rPr>
        <w:t xml:space="preserve">. </w:t>
      </w:r>
      <w:r w:rsidR="00221CF2" w:rsidRPr="00221CF2">
        <w:rPr>
          <w:rFonts w:asciiTheme="minorHAnsi" w:hAnsiTheme="minorHAnsi" w:cstheme="minorHAnsi"/>
          <w:lang w:eastAsia="zh-CN"/>
        </w:rPr>
        <w:t>The first EOF mode (EOF1) and its principal component time series (PC1) capture the leading spatial pattern and its temporal amplitude</w:t>
      </w:r>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{"citationID":"kFqnCTcX","properties":{"formattedCitation":"(Wilks, 2011)","plainCitation":"(Wilks, 2011)","noteIndex":0},"citationItems":[{"id":1966,"uris":["http://zotero.org/users/14274501/items/HX9Y5UX2"],"itemData":{"id":1966,"type":"book","ISBN":"0-12-385023-1","language":"en","publisher":"Academic press","title":"Statistical methods in the atmospheric sciences","volume":"100","author":[{"family":"Wilks","given":"Daniel S"}],"issued":{"date-parts":[["2011"]]}}}],"schema":"https://github.com/citation-style-language/schema/raw/master/csl-citation.json"}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(Wilks, 2011)</w:t>
      </w:r>
      <w:r>
        <w:rPr>
          <w:rFonts w:asciiTheme="minorHAnsi" w:hAnsiTheme="minorHAnsi" w:cstheme="minorHAnsi"/>
          <w:lang w:eastAsia="zh-CN"/>
        </w:rPr>
        <w:fldChar w:fldCharType="end"/>
      </w:r>
      <w:r>
        <w:rPr>
          <w:rFonts w:asciiTheme="minorHAnsi" w:hAnsiTheme="minorHAnsi" w:cstheme="minorHAnsi"/>
          <w:lang w:eastAsia="zh-CN"/>
        </w:rPr>
        <w:t xml:space="preserve">. </w:t>
      </w:r>
      <w:r w:rsidR="00221CF2" w:rsidRPr="00221CF2">
        <w:rPr>
          <w:rFonts w:asciiTheme="minorHAnsi" w:hAnsiTheme="minorHAnsi" w:cstheme="minorHAnsi"/>
          <w:lang w:eastAsia="zh-CN"/>
        </w:rPr>
        <w:t xml:space="preserve">Least-squares regression between PC1 and wind speeds at 10 m or 70 m </w:t>
      </w:r>
      <w:r w:rsidR="00221CF2" w:rsidRPr="00221CF2">
        <w:rPr>
          <w:rFonts w:asciiTheme="minorHAnsi" w:hAnsiTheme="minorHAnsi" w:cstheme="minorHAnsi"/>
          <w:lang w:eastAsia="zh-CN"/>
        </w:rPr>
        <w:lastRenderedPageBreak/>
        <w:t>quantifies how effectively each level captur</w:t>
      </w:r>
      <w:r w:rsidR="00221CF2">
        <w:rPr>
          <w:rFonts w:asciiTheme="minorHAnsi" w:hAnsiTheme="minorHAnsi" w:cstheme="minorHAnsi"/>
          <w:lang w:eastAsia="zh-CN"/>
        </w:rPr>
        <w:t>es vertical profile variability</w:t>
      </w:r>
      <w:r>
        <w:rPr>
          <w:rFonts w:asciiTheme="minorHAnsi" w:hAnsiTheme="minorHAnsi" w:cstheme="minorHAnsi"/>
          <w:lang w:eastAsia="zh-CN"/>
        </w:rPr>
        <w:t>. Further details on the decomposition and EOF methodologies are provided in Texts S1 and S2.</w:t>
      </w:r>
    </w:p>
    <w:bookmarkEnd w:id="10"/>
    <w:p w14:paraId="1DCEE698"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2.3 Power Reconstruction Experiment</w:t>
      </w:r>
    </w:p>
    <w:p w14:paraId="25710E77" w14:textId="37253728" w:rsidR="000A29B4" w:rsidRDefault="00EA7AAF">
      <w:pPr>
        <w:pStyle w:val="Text"/>
        <w:rPr>
          <w:rFonts w:asciiTheme="minorHAnsi" w:hAnsiTheme="minorHAnsi" w:cstheme="minorHAnsi"/>
          <w:lang w:eastAsia="zh-CN"/>
        </w:rPr>
      </w:pPr>
      <w:bookmarkStart w:id="11" w:name="OLE_LINK10"/>
      <w:r w:rsidRPr="00EA7AAF">
        <w:rPr>
          <w:rFonts w:asciiTheme="minorHAnsi" w:hAnsiTheme="minorHAnsi" w:cstheme="minorHAnsi"/>
          <w:lang w:eastAsia="zh-CN"/>
        </w:rPr>
        <w:t xml:space="preserve">A power reconstruction experiment was conducted using a </w:t>
      </w:r>
      <w:proofErr w:type="spellStart"/>
      <w:r w:rsidRPr="00EA7AAF">
        <w:rPr>
          <w:rFonts w:asciiTheme="minorHAnsi" w:hAnsiTheme="minorHAnsi" w:cstheme="minorHAnsi"/>
          <w:lang w:eastAsia="zh-CN"/>
        </w:rPr>
        <w:t>LightGBM</w:t>
      </w:r>
      <w:proofErr w:type="spellEnd"/>
      <w:r w:rsidRPr="00EA7AAF">
        <w:rPr>
          <w:rFonts w:asciiTheme="minorHAnsi" w:hAnsiTheme="minorHAnsi" w:cstheme="minorHAnsi"/>
          <w:lang w:eastAsia="zh-CN"/>
        </w:rPr>
        <w:t xml:space="preserve"> regression model</w:t>
      </w:r>
      <w:r>
        <w:rPr>
          <w:rFonts w:asciiTheme="minorHAnsi" w:hAnsiTheme="minorHAnsi" w:cstheme="minorHAnsi"/>
          <w:lang w:eastAsia="zh-CN"/>
        </w:rPr>
        <w:t xml:space="preserve">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{"citationID":"W5NotuTd","properties":{"formattedCitation":"(Ke et al., 2017)","plainCitation":"(Ke et al., 2017)","noteIndex":0},"citationItems":[{"id":1970,"uris":["http://zotero.org/users/14274501/items/LEVXPNXT"],"itemData":{"id":1970,"type":"article-journal","container-title":"Advances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w:t>
      </w:r>
      <w:proofErr w:type="spellStart"/>
      <w:r w:rsidR="0093274C">
        <w:rPr>
          <w:rFonts w:asciiTheme="minorHAnsi" w:hAnsiTheme="minorHAnsi" w:cstheme="minorHAnsi"/>
          <w:lang w:eastAsia="zh-CN"/>
        </w:rPr>
        <w:t>Ke</w:t>
      </w:r>
      <w:proofErr w:type="spellEnd"/>
      <w:r w:rsidR="0093274C">
        <w:rPr>
          <w:rFonts w:asciiTheme="minorHAnsi" w:hAnsiTheme="minorHAnsi" w:cstheme="minorHAnsi"/>
          <w:lang w:eastAsia="zh-CN"/>
        </w:rPr>
        <w:t xml:space="preserve"> et al., 2017)</w:t>
      </w:r>
      <w:r w:rsidR="0093274C">
        <w:rPr>
          <w:rFonts w:asciiTheme="minorHAnsi" w:hAnsiTheme="minorHAnsi" w:cstheme="minorHAnsi"/>
          <w:lang w:eastAsia="zh-CN"/>
        </w:rPr>
        <w:fldChar w:fldCharType="end"/>
      </w:r>
      <w:r w:rsidR="0093274C">
        <w:rPr>
          <w:rFonts w:asciiTheme="minorHAnsi" w:hAnsiTheme="minorHAnsi" w:cstheme="minorHAnsi" w:hint="eastAsia"/>
          <w:lang w:eastAsia="zh-CN"/>
        </w:rPr>
        <w:t xml:space="preserve"> </w:t>
      </w:r>
      <w:r w:rsidR="00702B81" w:rsidRPr="00702B81">
        <w:rPr>
          <w:rFonts w:asciiTheme="minorHAnsi" w:hAnsiTheme="minorHAnsi" w:cstheme="minorHAnsi"/>
          <w:lang w:eastAsia="zh-CN"/>
        </w:rPr>
        <w:t>trained on observed meteorological variables and farm-scale power output.</w:t>
      </w:r>
      <w:r w:rsidR="0093274C">
        <w:rPr>
          <w:rFonts w:asciiTheme="minorHAnsi" w:hAnsiTheme="minorHAnsi" w:cstheme="minorHAnsi"/>
          <w:lang w:eastAsia="zh-CN"/>
        </w:rPr>
        <w:t xml:space="preserve"> Three input configurations were tested: hub-height wind speed only (HH, 70 m), Standard REWS integrating wind speeds within the rotor-swept layer (SR, 30–70 m), and Extended REWS incorporating surface-layer wind speed (ER, 10–70 m). </w:t>
      </w:r>
      <w:r w:rsidR="0093274C" w:rsidRPr="00B60316">
        <w:rPr>
          <w:rFonts w:asciiTheme="minorHAnsi" w:hAnsiTheme="minorHAnsi" w:cstheme="minorHAnsi"/>
          <w:lang w:eastAsia="zh-CN"/>
        </w:rPr>
        <w:t xml:space="preserve">Models were trained on a subset of the observational dataset and evaluated on withheld test samples. </w:t>
      </w:r>
      <w:r w:rsidR="00B60316" w:rsidRPr="00B60316">
        <w:rPr>
          <w:rFonts w:asciiTheme="minorHAnsi" w:hAnsiTheme="minorHAnsi" w:cstheme="minorHAnsi"/>
          <w:lang w:eastAsia="zh-CN"/>
        </w:rPr>
        <w:t>Performance was assessed on the full test set and separately on test samples under free-stream and wake-influenced conditions.</w:t>
      </w:r>
      <w:r w:rsidR="0093274C" w:rsidRPr="00B60316">
        <w:rPr>
          <w:rFonts w:asciiTheme="minorHAnsi" w:hAnsiTheme="minorHAnsi" w:cstheme="minorHAnsi" w:hint="eastAsia"/>
          <w:lang w:eastAsia="zh-CN"/>
        </w:rPr>
        <w:t xml:space="preserve"> </w:t>
      </w:r>
      <w:r w:rsidR="0093274C" w:rsidRPr="00B60316">
        <w:rPr>
          <w:rFonts w:asciiTheme="minorHAnsi" w:hAnsiTheme="minorHAnsi" w:cstheme="minorHAnsi"/>
          <w:lang w:eastAsia="zh-CN"/>
        </w:rPr>
        <w:t>Full implementation details, including model hyperparameters, data filtering, and train–test splitting procedures, are documented in Text S3.</w:t>
      </w:r>
      <w:r w:rsidR="0093274C" w:rsidRPr="00B60316">
        <w:rPr>
          <w:rFonts w:asciiTheme="minorHAnsi" w:hAnsiTheme="minorHAnsi" w:cstheme="minorHAnsi" w:hint="eastAsia"/>
          <w:lang w:eastAsia="zh-CN"/>
        </w:rPr>
        <w:t xml:space="preserve"> </w:t>
      </w:r>
      <w:r w:rsidR="0093274C" w:rsidRPr="00B60316">
        <w:rPr>
          <w:rFonts w:asciiTheme="minorHAnsi" w:hAnsiTheme="minorHAnsi" w:cstheme="minorHAnsi"/>
          <w:lang w:eastAsia="zh-CN"/>
        </w:rPr>
        <w:t>To examine whether the regression model exploits physically meaningful information rather than statistical</w:t>
      </w:r>
      <w:r w:rsidR="0093274C">
        <w:rPr>
          <w:rFonts w:asciiTheme="minorHAnsi" w:hAnsiTheme="minorHAnsi" w:cstheme="minorHAnsi"/>
          <w:lang w:eastAsia="zh-CN"/>
        </w:rPr>
        <w:t xml:space="preserve"> artifacts, </w:t>
      </w:r>
      <w:proofErr w:type="spellStart"/>
      <w:r w:rsidR="0093274C">
        <w:rPr>
          <w:rFonts w:asciiTheme="minorHAnsi" w:hAnsiTheme="minorHAnsi" w:cstheme="minorHAnsi"/>
          <w:lang w:eastAsia="zh-CN"/>
        </w:rPr>
        <w:t>SHapley</w:t>
      </w:r>
      <w:proofErr w:type="spellEnd"/>
      <w:r w:rsidR="0093274C">
        <w:rPr>
          <w:rFonts w:asciiTheme="minorHAnsi" w:hAnsiTheme="minorHAnsi" w:cstheme="minorHAnsi"/>
          <w:lang w:eastAsia="zh-CN"/>
        </w:rPr>
        <w:t xml:space="preserve"> Additive </w:t>
      </w:r>
      <w:proofErr w:type="spellStart"/>
      <w:r w:rsidR="0093274C">
        <w:rPr>
          <w:rFonts w:asciiTheme="minorHAnsi" w:hAnsiTheme="minorHAnsi" w:cstheme="minorHAnsi"/>
          <w:lang w:eastAsia="zh-CN"/>
        </w:rPr>
        <w:t>exPlanations</w:t>
      </w:r>
      <w:proofErr w:type="spellEnd"/>
      <w:r w:rsidR="0093274C">
        <w:rPr>
          <w:rFonts w:asciiTheme="minorHAnsi" w:hAnsiTheme="minorHAnsi" w:cstheme="minorHAnsi"/>
          <w:lang w:eastAsia="zh-CN"/>
        </w:rPr>
        <w:t xml:space="preserve"> (SHAP) were applied to quantify the contribution of each input variable</w:t>
      </w:r>
      <w:r w:rsidR="0093274C">
        <w:rPr>
          <w:rFonts w:asciiTheme="minorHAnsi" w:hAnsiTheme="minorHAnsi" w:cstheme="minorHAnsi" w:hint="eastAsia"/>
          <w:lang w:eastAsia="zh-CN"/>
        </w:rPr>
        <w:t xml:space="preserve">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2017)","noteIndex":0},"citationItems":[{"id":1971,"uris":["http://zotero.org/users/14274501/items/6ESH4HYK"],"itemData":{"id":1971,"type":"article-journal","container-title":"Advances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(Lundberg &amp; Lee, 2017)</w:t>
      </w:r>
      <w:r w:rsidR="0093274C">
        <w:rPr>
          <w:rFonts w:asciiTheme="minorHAnsi" w:hAnsiTheme="minorHAnsi" w:cstheme="minorHAnsi"/>
          <w:lang w:eastAsia="zh-CN"/>
        </w:rPr>
        <w:fldChar w:fldCharType="end"/>
      </w:r>
      <w:r w:rsidR="0093274C">
        <w:rPr>
          <w:rFonts w:asciiTheme="minorHAnsi" w:hAnsiTheme="minorHAnsi" w:cstheme="minorHAnsi"/>
          <w:lang w:eastAsia="zh-CN"/>
        </w:rPr>
        <w:t xml:space="preserve">. </w:t>
      </w:r>
      <w:r w:rsidR="00411940" w:rsidRPr="00411940">
        <w:rPr>
          <w:rFonts w:asciiTheme="minorHAnsi" w:hAnsiTheme="minorHAnsi" w:cstheme="minorHAnsi"/>
          <w:lang w:eastAsia="zh-CN"/>
        </w:rPr>
        <w:t>SHAP analysis was conducted separately for each regime to assess alignment with the regime-dependent vertical structure identified in Section 4.1.</w:t>
      </w:r>
    </w:p>
    <w:bookmarkEnd w:id="11"/>
    <w:p w14:paraId="7D44BC60"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2.4 Day-Ahead Forecast Experiment</w:t>
      </w:r>
    </w:p>
    <w:p w14:paraId="50FBA436" w14:textId="7777777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2012)","noteIndex":0},"citationItems":[{"id":2035,"uris":["http://zotero.org/users/14274501/items/ILLUG3IK"],"itemData":{"id":2035,"type":"article-journal","abstract":"Despite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ﬁltering technique, which combines recursively observations and model forecasts to minimise the corresponding biases. In meteorology, Kalman ﬁlters are widely used to improve the prediction of variables characterised by well-deﬁned cyclicities, whereas the evolution of wind speed is usually too irregular. In the present paper, the Kalman ﬁlter is analysed in order to ﬁnd the best conﬁguration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ﬁlter, this methodology is capable to provide signiﬁcant forecast improvement with respect to the wind speed model direct output, especially when used for very short-term forecast. In this conﬁguration, Kalman-ﬁltered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(Cassola &amp; Burlando, 2012)</w:t>
      </w:r>
      <w:r>
        <w:rPr>
          <w:rFonts w:asciiTheme="minorHAnsi" w:hAnsiTheme="minorHAnsi" w:cstheme="minorHAnsi"/>
          <w:lang w:eastAsia="zh-CN"/>
        </w:rPr>
        <w:fldChar w:fldCharType="end"/>
      </w:r>
      <w:r>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r>
        <w:rPr>
          <w:rFonts w:asciiTheme="minorHAnsi" w:hAnsiTheme="minorHAnsi" w:cstheme="minorHAnsi" w:hint="eastAsia"/>
          <w:lang w:eastAsia="zh-CN"/>
        </w:rPr>
        <w:t xml:space="preserve"> </w:t>
      </w:r>
      <w:r>
        <w:rPr>
          <w:rFonts w:asciiTheme="minorHAnsi" w:hAnsiTheme="minorHAnsi" w:cstheme="minorHAnsi"/>
          <w:lang w:eastAsia="zh-CN"/>
        </w:rPr>
        <w:t>(Text S4).</w:t>
      </w:r>
    </w:p>
    <w:p w14:paraId="1EBBA544" w14:textId="4FE13D25" w:rsidR="00F9727D" w:rsidRDefault="00F9727D">
      <w:pPr>
        <w:pStyle w:val="Text"/>
        <w:rPr>
          <w:rFonts w:asciiTheme="minorHAnsi" w:hAnsiTheme="minorHAnsi" w:cstheme="minorHAnsi"/>
          <w:lang w:eastAsia="zh-CN"/>
        </w:rPr>
      </w:pPr>
      <w:r w:rsidRPr="00F9727D">
        <w:rPr>
          <w:rFonts w:asciiTheme="minorHAnsi" w:hAnsiTheme="minorHAnsi" w:cstheme="minorHAnsi"/>
          <w:lang w:eastAsia="zh-CN"/>
        </w:rPr>
        <w:t xml:space="preserve">In addition to these baseline configurations, </w:t>
      </w:r>
      <w:r w:rsidR="00A46A14" w:rsidRPr="00A46A14">
        <w:rPr>
          <w:rFonts w:asciiTheme="minorHAnsi" w:hAnsiTheme="minorHAnsi" w:cstheme="minorHAnsi"/>
          <w:lang w:eastAsia="zh-CN"/>
        </w:rPr>
        <w:t>a wind-direction-aware (WDA) forecasting strategy was implemented to reflect regime-dependent behavior.</w:t>
      </w:r>
      <w:r w:rsidRPr="00F9727D">
        <w:rPr>
          <w:rFonts w:asciiTheme="minorHAnsi" w:hAnsiTheme="minorHAnsi" w:cstheme="minorHAnsi"/>
          <w:lang w:eastAsia="zh-CN"/>
        </w:rPr>
        <w:t xml:space="preserve"> Forecasts were partitioned into free-stream conditions (225°–315°), wake-influenced conditions (45°–135°), and transitional directions (remaining sectors) based on 70-m wind direction predicted by WRF. During forecasting, the sector was determined from the predicted wind direction, and the corresponding sector-specific model was applied. The input variables for each sector were determined based on SHAP-derived feature importance from the reconstruction experiment (Section 4.3): for the free-stream sector, wind speeds at 10 m, 50 m, and 70 m were used; for the wake-influenced sector, wind speeds at 10 m, 30 m, and 70 m were used; for the transitional sector, wind speeds at all four heights were used. In all sectors, 10-m temperature was included as an additional predictor. Full implementation details are documented in Text S4.</w:t>
      </w:r>
    </w:p>
    <w:p w14:paraId="1D9B4F6A" w14:textId="022457A8" w:rsidR="00A745FF" w:rsidRDefault="00A745FF">
      <w:pPr>
        <w:pStyle w:val="Text"/>
        <w:rPr>
          <w:rFonts w:asciiTheme="minorHAnsi" w:hAnsiTheme="minorHAnsi" w:cstheme="minorHAnsi"/>
          <w:highlight w:val="yellow"/>
          <w:lang w:eastAsia="zh-CN"/>
        </w:rPr>
      </w:pPr>
      <w:r w:rsidRPr="00A745FF">
        <w:rPr>
          <w:rFonts w:asciiTheme="minorHAnsi" w:hAnsiTheme="minorHAnsi" w:cstheme="minorHAnsi"/>
          <w:lang w:eastAsia="zh-CN"/>
        </w:rPr>
        <w:t>All</w:t>
      </w:r>
      <w:r w:rsidR="00EE2CA2">
        <w:rPr>
          <w:rFonts w:asciiTheme="minorHAnsi" w:hAnsiTheme="minorHAnsi" w:cstheme="minorHAnsi"/>
          <w:lang w:eastAsia="zh-CN"/>
        </w:rPr>
        <w:t xml:space="preserve"> four</w:t>
      </w:r>
      <w:r w:rsidRPr="00A745FF">
        <w:rPr>
          <w:rFonts w:asciiTheme="minorHAnsi" w:hAnsiTheme="minorHAnsi" w:cstheme="minorHAnsi"/>
          <w:lang w:eastAsia="zh-CN"/>
        </w:rPr>
        <w:t xml:space="preserve"> forecasting strategies followed a two-stage learning framework. In the first stage, each meteorological variable was individually bias-corrected using a </w:t>
      </w:r>
      <w:proofErr w:type="spellStart"/>
      <w:r w:rsidRPr="00A745FF">
        <w:rPr>
          <w:rFonts w:asciiTheme="minorHAnsi" w:hAnsiTheme="minorHAnsi" w:cstheme="minorHAnsi"/>
          <w:lang w:eastAsia="zh-CN"/>
        </w:rPr>
        <w:t>L</w:t>
      </w:r>
      <w:r w:rsidR="007E0B68">
        <w:rPr>
          <w:rFonts w:asciiTheme="minorHAnsi" w:hAnsiTheme="minorHAnsi" w:cstheme="minorHAnsi"/>
          <w:lang w:eastAsia="zh-CN"/>
        </w:rPr>
        <w:t>ightGBM</w:t>
      </w:r>
      <w:proofErr w:type="spellEnd"/>
      <w:r w:rsidR="007E0B68">
        <w:rPr>
          <w:rFonts w:asciiTheme="minorHAnsi" w:hAnsiTheme="minorHAnsi" w:cstheme="minorHAnsi"/>
          <w:lang w:eastAsia="zh-CN"/>
        </w:rPr>
        <w:t xml:space="preserve"> model trained to map WRF</w:t>
      </w:r>
      <w:r w:rsidRPr="00A745FF">
        <w:rPr>
          <w:rFonts w:asciiTheme="minorHAnsi" w:hAnsiTheme="minorHAnsi" w:cstheme="minorHAnsi"/>
          <w:lang w:eastAsia="zh-CN"/>
        </w:rPr>
        <w:t xml:space="preserve"> outputs to the corresponding observed variable. In the second stage, the bias-corrected meteorological variables were used as inputs to a separately trained </w:t>
      </w:r>
      <w:proofErr w:type="spellStart"/>
      <w:r w:rsidRPr="00A745FF">
        <w:rPr>
          <w:rFonts w:asciiTheme="minorHAnsi" w:hAnsiTheme="minorHAnsi" w:cstheme="minorHAnsi"/>
          <w:lang w:eastAsia="zh-CN"/>
        </w:rPr>
        <w:t>LightGBM</w:t>
      </w:r>
      <w:proofErr w:type="spellEnd"/>
      <w:r w:rsidRPr="00A745FF">
        <w:rPr>
          <w:rFonts w:asciiTheme="minorHAnsi" w:hAnsiTheme="minorHAnsi" w:cstheme="minorHAnsi"/>
          <w:lang w:eastAsia="zh-CN"/>
        </w:rPr>
        <w:t xml:space="preserve"> </w:t>
      </w:r>
      <w:r w:rsidRPr="00A745FF">
        <w:rPr>
          <w:rFonts w:asciiTheme="minorHAnsi" w:hAnsiTheme="minorHAnsi" w:cstheme="minorHAnsi"/>
          <w:lang w:eastAsia="zh-CN"/>
        </w:rPr>
        <w:lastRenderedPageBreak/>
        <w:t xml:space="preserve">power prediction model. </w:t>
      </w:r>
      <w:r w:rsidR="00B4613B" w:rsidRPr="00B4613B">
        <w:rPr>
          <w:rFonts w:asciiTheme="minorHAnsi" w:hAnsiTheme="minorHAnsi" w:cstheme="minorHAnsi"/>
          <w:lang w:eastAsia="zh-CN"/>
        </w:rPr>
        <w:t>For HH, SR, and ER, a single power model was trained on the full dataset. For WDA, three independent models were trained within each sector using sector-specific inputs, with the sector determined at prediction time from WRF-predicted 70-m wind direction.</w:t>
      </w:r>
    </w:p>
    <w:p w14:paraId="47AEAD5F"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2.5 Statistical Testing</w:t>
      </w:r>
    </w:p>
    <w:p w14:paraId="133DEDEE" w14:textId="474369F9"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Model performance was evaluated using coefficient of determination (R²), root mean square error (RMSE), and Spearman correlation coefficient computed against observed farm-scale power output. Statistical significance of performance differences between modeling strategies was assessed using the Diebold-Mariano test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1995)","noteIndex":0},"citationItems":[{"id":"MPHYvanQ/rktDV0Si","uris":["http://zotero.org/users/14274501/items/EE5UVVJG"],"itemData":{"id":1807,"type":"article-journal","container-title":"Journal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(Diebold &amp; Mariano, 1995)</w:t>
      </w:r>
      <w:r>
        <w:rPr>
          <w:rFonts w:asciiTheme="minorHAnsi" w:hAnsiTheme="minorHAnsi" w:cstheme="minorHAnsi"/>
          <w:lang w:eastAsia="zh-CN"/>
        </w:rPr>
        <w:fldChar w:fldCharType="end"/>
      </w:r>
      <w:r>
        <w:rPr>
          <w:rFonts w:asciiTheme="minorHAnsi" w:hAnsiTheme="minorHAnsi" w:cstheme="minorHAnsi"/>
          <w:lang w:eastAsia="zh-CN"/>
        </w:rPr>
        <w:t xml:space="preserve">, </w:t>
      </w:r>
      <w:r w:rsidR="00E63FA2" w:rsidRPr="00E63FA2">
        <w:rPr>
          <w:rFonts w:asciiTheme="minorHAnsi" w:hAnsiTheme="minorHAnsi" w:cstheme="minorHAnsi"/>
          <w:lang w:eastAsia="zh-CN"/>
        </w:rPr>
        <w:t>which accounts for temporal aut</w:t>
      </w:r>
      <w:r w:rsidR="00E63FA2">
        <w:rPr>
          <w:rFonts w:asciiTheme="minorHAnsi" w:hAnsiTheme="minorHAnsi" w:cstheme="minorHAnsi"/>
          <w:lang w:eastAsia="zh-CN"/>
        </w:rPr>
        <w:t>ocorrelation in forecast errors</w:t>
      </w:r>
      <w:r>
        <w:rPr>
          <w:rFonts w:asciiTheme="minorHAnsi" w:hAnsiTheme="minorHAnsi" w:cstheme="minorHAnsi"/>
          <w:lang w:eastAsia="zh-CN"/>
        </w:rPr>
        <w:t>.</w:t>
      </w:r>
    </w:p>
    <w:p w14:paraId="49DD83D3" w14:textId="77777777" w:rsidR="000A29B4" w:rsidRDefault="0093274C">
      <w:pPr>
        <w:pStyle w:val="Heading-Main"/>
        <w:rPr>
          <w:rFonts w:asciiTheme="minorHAnsi" w:hAnsiTheme="minorHAnsi" w:cstheme="minorHAnsi"/>
          <w:lang w:eastAsia="zh-CN"/>
        </w:rPr>
      </w:pPr>
      <w:r>
        <w:rPr>
          <w:rFonts w:asciiTheme="minorHAnsi" w:hAnsiTheme="minorHAnsi" w:cstheme="minorHAnsi"/>
        </w:rPr>
        <w:t>3 Data</w:t>
      </w:r>
    </w:p>
    <w:p w14:paraId="5217109D"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3.1 Site and Observational Data</w:t>
      </w:r>
    </w:p>
    <w:p w14:paraId="59E54481" w14:textId="7FA0CC8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Observational data were collected from a 201 MW wind farm located on flat terrain in the desert Gobi of the Hexi Corridor, Gansu, China (96.8114°E, 40.2053°N). The farm comprises 134 wind turbines, each with a rated capacity of 1.5 MW, a hub height of 61.5 m, and a rotor diameter of </w:t>
      </w:r>
      <w:r w:rsidRPr="00B60316">
        <w:rPr>
          <w:rFonts w:asciiTheme="minorHAnsi" w:hAnsiTheme="minorHAnsi" w:cstheme="minorHAnsi"/>
          <w:lang w:eastAsia="zh-CN"/>
        </w:rPr>
        <w:t xml:space="preserve">82 m. </w:t>
      </w:r>
      <w:r w:rsidR="009E2954" w:rsidRPr="009E2954">
        <w:rPr>
          <w:rFonts w:asciiTheme="minorHAnsi" w:hAnsiTheme="minorHAnsi" w:cstheme="minorHAnsi"/>
          <w:lang w:eastAsia="zh-CN"/>
        </w:rPr>
        <w:t>A 70-m meteorological mast is situated 586 m west of the farm's western boundary (Figure S1).</w:t>
      </w:r>
      <w:r w:rsidR="009E2954">
        <w:rPr>
          <w:rFonts w:asciiTheme="minorHAnsi" w:hAnsiTheme="minorHAnsi" w:cstheme="minorHAnsi"/>
          <w:lang w:eastAsia="zh-CN"/>
        </w:rPr>
        <w:t xml:space="preserve"> </w:t>
      </w:r>
      <w:r w:rsidRPr="00B60316">
        <w:rPr>
          <w:rFonts w:asciiTheme="minorHAnsi" w:hAnsiTheme="minorHAnsi" w:cstheme="minorHAnsi"/>
          <w:lang w:eastAsia="zh-CN"/>
        </w:rPr>
        <w:t>Vertical</w:t>
      </w:r>
      <w:r>
        <w:rPr>
          <w:rFonts w:asciiTheme="minorHAnsi" w:hAnsiTheme="minorHAnsi" w:cstheme="minorHAnsi"/>
          <w:lang w:eastAsia="zh-CN"/>
        </w:rPr>
        <w:t xml:space="preserve"> wind profiles were characterized using wind speed measurements from cup anemometers at four heights (10 m, 30 m, 50 m, and 70 m), provided by the operator, from May 2021 to October 2022 at 15-minute intervals. In this study, the 10 m measurement represents the surface layer, while the 70 m level is used as a near-hub-height reference because it is the closest available measurement height to the turbine hub height.</w:t>
      </w:r>
    </w:p>
    <w:p w14:paraId="4B81F12A" w14:textId="15DA6F77" w:rsidR="000A29B4" w:rsidRDefault="007C752F">
      <w:pPr>
        <w:pStyle w:val="Text"/>
        <w:rPr>
          <w:rFonts w:asciiTheme="minorHAnsi" w:hAnsiTheme="minorHAnsi" w:cstheme="minorHAnsi"/>
          <w:lang w:eastAsia="zh-CN"/>
        </w:rPr>
      </w:pPr>
      <w:r w:rsidRPr="007C752F">
        <w:rPr>
          <w:rFonts w:asciiTheme="minorHAnsi" w:hAnsiTheme="minorHAnsi" w:cstheme="minorHAnsi"/>
          <w:lang w:eastAsia="zh-CN"/>
        </w:rPr>
        <w:t>All observational data underwent standardized quality-control consistent with Xia et al.</w:t>
      </w:r>
      <w:r w:rsidR="0093274C">
        <w:rPr>
          <w:rFonts w:asciiTheme="minorHAnsi" w:hAnsiTheme="minorHAnsi" w:cstheme="minorHAnsi"/>
          <w:lang w:eastAsia="zh-CN"/>
        </w:rPr>
        <w:t xml:space="preserve">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{"citationID":"zJ39nmx5","properties":{"formattedCitation":"(2026; 2026)","plainCitation":"(2026; 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label":"page","suppress-author":true},{"id":2034,"uris":["http://zotero.org/users/14274501/items/ZCWVXAUW"],"itemData":{"id":2034,"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label":"page","suppress-author":true}],"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(2026a; 2026b)</w:t>
      </w:r>
      <w:r w:rsidR="0093274C">
        <w:rPr>
          <w:rFonts w:asciiTheme="minorHAnsi" w:hAnsiTheme="minorHAnsi" w:cstheme="minorHAnsi"/>
          <w:lang w:eastAsia="zh-CN"/>
        </w:rPr>
        <w:fldChar w:fldCharType="end"/>
      </w:r>
      <w:r w:rsidR="00A31919" w:rsidRPr="00A31919">
        <w:rPr>
          <w:rFonts w:asciiTheme="minorHAnsi" w:hAnsiTheme="minorHAnsi" w:cstheme="minorHAnsi"/>
          <w:lang w:eastAsia="zh-CN"/>
        </w:rPr>
        <w:t xml:space="preserve">, including removal of missing, invalid, and physically implausible values </w:t>
      </w:r>
      <w:r w:rsidR="00A31919">
        <w:rPr>
          <w:rFonts w:asciiTheme="minorHAnsi" w:hAnsiTheme="minorHAnsi" w:cstheme="minorHAnsi"/>
          <w:lang w:eastAsia="zh-CN"/>
        </w:rPr>
        <w:t>(outside 0–30 m s</w:t>
      </w:r>
      <w:r w:rsidR="00A31919">
        <w:rPr>
          <w:rFonts w:asciiTheme="minorHAnsi" w:hAnsiTheme="minorHAnsi" w:cstheme="minorHAnsi"/>
          <w:vertAlign w:val="superscript"/>
          <w:lang w:eastAsia="zh-CN"/>
        </w:rPr>
        <w:t>-1</w:t>
      </w:r>
      <w:r w:rsidR="00A31919">
        <w:rPr>
          <w:rFonts w:asciiTheme="minorHAnsi" w:hAnsiTheme="minorHAnsi" w:cstheme="minorHAnsi"/>
          <w:lang w:eastAsia="zh-CN"/>
        </w:rPr>
        <w:t>)</w:t>
      </w:r>
      <w:r w:rsidR="00A31919" w:rsidRPr="00A31919">
        <w:rPr>
          <w:rFonts w:asciiTheme="minorHAnsi" w:hAnsiTheme="minorHAnsi" w:cstheme="minorHAnsi"/>
          <w:lang w:eastAsia="zh-CN"/>
        </w:rPr>
        <w:t>, interpolation of short gaps (≤2 consecutive time steps), and exclusion of statistical outliers exceeding three standard deviations from monthly means. Records were temporally synchronized with WRF outputs, and no additional filtering was applied to preserve realistic operational variability.</w:t>
      </w:r>
    </w:p>
    <w:p w14:paraId="530DAC1A" w14:textId="77777777" w:rsidR="000A29B4" w:rsidRDefault="0093274C">
      <w:pPr>
        <w:pStyle w:val="Heading-Secondary"/>
        <w:rPr>
          <w:rFonts w:asciiTheme="minorHAnsi" w:hAnsiTheme="minorHAnsi" w:cstheme="minorHAnsi"/>
          <w:lang w:eastAsia="zh-CN"/>
        </w:rPr>
      </w:pPr>
      <w:r>
        <w:rPr>
          <w:rFonts w:asciiTheme="minorHAnsi" w:hAnsiTheme="minorHAnsi" w:cstheme="minorHAnsi"/>
          <w:lang w:eastAsia="zh-CN"/>
        </w:rPr>
        <w:t>3.2 NWP Data</w:t>
      </w:r>
    </w:p>
    <w:p w14:paraId="4E904519" w14:textId="60E0CE22" w:rsidR="000A29B4" w:rsidRDefault="00950A53">
      <w:pPr>
        <w:pStyle w:val="Text"/>
        <w:rPr>
          <w:rFonts w:asciiTheme="minorHAnsi" w:hAnsiTheme="minorHAnsi" w:cstheme="minorHAnsi"/>
          <w:lang w:eastAsia="zh-CN"/>
        </w:rPr>
      </w:pPr>
      <w:r w:rsidRPr="00950A53">
        <w:rPr>
          <w:rFonts w:asciiTheme="minorHAnsi" w:hAnsiTheme="minorHAnsi" w:cstheme="minorHAnsi"/>
          <w:lang w:eastAsia="zh-CN"/>
        </w:rPr>
        <w:t>Day-ahead forecasting employed two WRF version 4.2 dynamical downscaling datasets: one driven by the ECMWF Integrated Forecasting System (EC-WRF) and one by the NCEP Global Forecast System (GFS-WRF), both using identical WRF configurations to ensure comparability.</w:t>
      </w:r>
      <w:r w:rsidR="0096468A" w:rsidRPr="0096468A">
        <w:t xml:space="preserve"> </w:t>
      </w:r>
      <w:r w:rsidR="0096468A" w:rsidRPr="0096468A">
        <w:rPr>
          <w:rFonts w:asciiTheme="minorHAnsi" w:hAnsiTheme="minorHAnsi" w:cstheme="minorHAnsi"/>
          <w:lang w:eastAsia="zh-CN"/>
        </w:rPr>
        <w:t xml:space="preserve">Following operational requirements, forecasts targeting Day+1 (00:00–23:45 Beijing Time) were initialized daily at 20:00 Beijing Time, with the first 28 hours treated as spin-up. Forecast hours 28–52 were extracted, </w:t>
      </w:r>
      <w:proofErr w:type="spellStart"/>
      <w:r w:rsidR="0096468A" w:rsidRPr="0096468A">
        <w:rPr>
          <w:rFonts w:asciiTheme="minorHAnsi" w:hAnsiTheme="minorHAnsi" w:cstheme="minorHAnsi"/>
          <w:lang w:eastAsia="zh-CN"/>
        </w:rPr>
        <w:t>bilinearly</w:t>
      </w:r>
      <w:proofErr w:type="spellEnd"/>
      <w:r w:rsidR="0096468A" w:rsidRPr="0096468A">
        <w:rPr>
          <w:rFonts w:asciiTheme="minorHAnsi" w:hAnsiTheme="minorHAnsi" w:cstheme="minorHAnsi"/>
          <w:lang w:eastAsia="zh-CN"/>
        </w:rPr>
        <w:t xml:space="preserve"> interpolated to the mast location, and vertically interpolated t</w:t>
      </w:r>
      <w:r w:rsidR="0096468A">
        <w:rPr>
          <w:rFonts w:asciiTheme="minorHAnsi" w:hAnsiTheme="minorHAnsi" w:cstheme="minorHAnsi"/>
          <w:lang w:eastAsia="zh-CN"/>
        </w:rPr>
        <w:t>o the four observation heights</w:t>
      </w:r>
      <w:r w:rsidR="0093274C">
        <w:rPr>
          <w:rFonts w:asciiTheme="minorHAnsi" w:hAnsiTheme="minorHAnsi" w:cstheme="minorHAnsi"/>
          <w:lang w:eastAsia="zh-CN"/>
        </w:rPr>
        <w:t>.</w:t>
      </w:r>
      <w:r w:rsidR="0093274C">
        <w:rPr>
          <w:rFonts w:asciiTheme="minorHAnsi" w:hAnsiTheme="minorHAnsi" w:cstheme="minorHAnsi" w:hint="eastAsia"/>
          <w:lang w:eastAsia="zh-CN"/>
        </w:rPr>
        <w:t xml:space="preserve"> </w:t>
      </w:r>
      <w:r w:rsidR="0096468A" w:rsidRPr="0096468A">
        <w:rPr>
          <w:rFonts w:asciiTheme="minorHAnsi" w:hAnsiTheme="minorHAnsi" w:cstheme="minorHAnsi"/>
          <w:lang w:eastAsia="zh-CN"/>
        </w:rPr>
        <w:t>Full WRF configuration and validat</w:t>
      </w:r>
      <w:r w:rsidR="0096468A">
        <w:rPr>
          <w:rFonts w:asciiTheme="minorHAnsi" w:hAnsiTheme="minorHAnsi" w:cstheme="minorHAnsi"/>
          <w:lang w:eastAsia="zh-CN"/>
        </w:rPr>
        <w:t xml:space="preserve">ion are documented </w:t>
      </w:r>
      <w:r w:rsidR="0093274C">
        <w:rPr>
          <w:rFonts w:asciiTheme="minorHAnsi" w:hAnsiTheme="minorHAnsi" w:cstheme="minorHAnsi"/>
          <w:lang w:eastAsia="zh-CN"/>
        </w:rPr>
        <w:t xml:space="preserve">in Xia et al. </w:t>
      </w:r>
      <w:r w:rsidR="0093274C">
        <w:rPr>
          <w:rFonts w:asciiTheme="minorHAnsi" w:hAnsiTheme="minorHAnsi" w:cstheme="minorHAnsi"/>
          <w:lang w:eastAsia="zh-CN"/>
        </w:rPr>
        <w:fldChar w:fldCharType="begin"/>
      </w:r>
      <w:r w:rsidR="0093274C">
        <w:rPr>
          <w:rFonts w:asciiTheme="minorHAnsi" w:hAnsiTheme="minorHAnsi" w:cstheme="minorHAnsi"/>
          <w:lang w:eastAsia="zh-CN"/>
        </w:rPr>
        <w:instrText xml:space="preserve"> ADDIN ZOTERO_ITEM CSL_CITATION {"citationID":"YhDNwsq6","properties":{"formattedCitation":"(2026)","plainCitation":"(2026)","noteIndex":0},"citationItems":[{"id":2061,"uris":["http://zotero.org/users/14274501/items/XKBA5IZS"],"itemData":{"id":2061,"type":"article-journal","abstract":"Accurate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0093274C">
        <w:rPr>
          <w:rFonts w:asciiTheme="minorHAnsi" w:hAnsiTheme="minorHAnsi" w:cstheme="minorHAnsi"/>
          <w:lang w:eastAsia="zh-CN"/>
        </w:rPr>
        <w:fldChar w:fldCharType="separate"/>
      </w:r>
      <w:r w:rsidR="0093274C">
        <w:rPr>
          <w:rFonts w:asciiTheme="minorHAnsi" w:hAnsiTheme="minorHAnsi" w:cstheme="minorHAnsi"/>
          <w:lang w:eastAsia="zh-CN"/>
        </w:rPr>
        <w:t>(2026a)</w:t>
      </w:r>
      <w:r w:rsidR="0093274C">
        <w:rPr>
          <w:rFonts w:asciiTheme="minorHAnsi" w:hAnsiTheme="minorHAnsi" w:cstheme="minorHAnsi"/>
          <w:lang w:eastAsia="zh-CN"/>
        </w:rPr>
        <w:fldChar w:fldCharType="end"/>
      </w:r>
      <w:r w:rsidR="0093274C">
        <w:rPr>
          <w:rFonts w:asciiTheme="minorHAnsi" w:hAnsiTheme="minorHAnsi" w:cstheme="minorHAnsi"/>
          <w:lang w:eastAsia="zh-CN"/>
        </w:rPr>
        <w:t xml:space="preserve">. </w:t>
      </w:r>
    </w:p>
    <w:p w14:paraId="0FB7C041" w14:textId="77777777" w:rsidR="000A29B4" w:rsidRDefault="0093274C">
      <w:pPr>
        <w:pStyle w:val="Heading-Main"/>
        <w:rPr>
          <w:rFonts w:asciiTheme="minorHAnsi" w:hAnsiTheme="minorHAnsi" w:cstheme="minorHAnsi"/>
          <w:lang w:eastAsia="zh-CN"/>
        </w:rPr>
      </w:pPr>
      <w:r>
        <w:rPr>
          <w:rFonts w:asciiTheme="minorHAnsi" w:hAnsiTheme="minorHAnsi" w:cstheme="minorHAnsi"/>
        </w:rPr>
        <w:lastRenderedPageBreak/>
        <w:t xml:space="preserve">4 Results </w:t>
      </w:r>
      <w:r>
        <w:rPr>
          <w:rFonts w:asciiTheme="minorHAnsi" w:hAnsiTheme="minorHAnsi" w:cstheme="minorHAnsi"/>
          <w:lang w:eastAsia="zh-CN"/>
        </w:rPr>
        <w:t>and Discussion</w:t>
      </w:r>
    </w:p>
    <w:p w14:paraId="17572DDF" w14:textId="77777777" w:rsidR="000A29B4" w:rsidRDefault="0093274C">
      <w:pPr>
        <w:pStyle w:val="Heading-Secondary"/>
        <w:rPr>
          <w:rFonts w:ascii="Arial" w:eastAsia="宋体" w:hAnsi="Arial" w:cs="Arial"/>
          <w:b/>
          <w:color w:val="1A1C1E"/>
          <w:sz w:val="21"/>
          <w:szCs w:val="21"/>
          <w:lang w:eastAsia="zh-CN"/>
        </w:rPr>
      </w:pPr>
      <w:r>
        <w:rPr>
          <w:rFonts w:asciiTheme="minorHAnsi" w:hAnsiTheme="minorHAnsi" w:cstheme="minorHAnsi"/>
        </w:rPr>
        <w:t>4.1. Observational Evidence: Vertical Correlation Structure and Flow-Regime Dependency</w:t>
      </w:r>
    </w:p>
    <w:p w14:paraId="06877698" w14:textId="59640033" w:rsidR="000A29B4" w:rsidRDefault="0093274C">
      <w:pPr>
        <w:pStyle w:val="Text"/>
        <w:rPr>
          <w:rFonts w:asciiTheme="minorHAnsi" w:hAnsiTheme="minorHAnsi" w:cstheme="minorHAnsi"/>
          <w:lang w:eastAsia="zh-CN"/>
        </w:rPr>
      </w:pPr>
      <w:bookmarkStart w:id="12" w:name="OLE_LINK2"/>
      <w:r>
        <w:rPr>
          <w:rFonts w:asciiTheme="minorHAnsi" w:hAnsiTheme="minorHAnsi" w:cstheme="minorHAnsi"/>
          <w:lang w:eastAsia="zh-CN"/>
        </w:rPr>
        <w:t xml:space="preserve">The meteorological mast, </w:t>
      </w:r>
      <w:r w:rsidR="00614EE6" w:rsidRPr="00614EE6">
        <w:rPr>
          <w:rFonts w:asciiTheme="minorHAnsi" w:hAnsiTheme="minorHAnsi" w:cstheme="minorHAnsi"/>
          <w:lang w:eastAsia="zh-CN"/>
        </w:rPr>
        <w:t>positioned 586 m west of the we</w:t>
      </w:r>
      <w:r w:rsidR="00614EE6">
        <w:rPr>
          <w:rFonts w:asciiTheme="minorHAnsi" w:hAnsiTheme="minorHAnsi" w:cstheme="minorHAnsi"/>
          <w:lang w:eastAsia="zh-CN"/>
        </w:rPr>
        <w:t>stern boundary of the wind farm</w:t>
      </w:r>
      <w:r>
        <w:rPr>
          <w:rFonts w:asciiTheme="minorHAnsi" w:hAnsiTheme="minorHAnsi" w:cstheme="minorHAnsi"/>
          <w:lang w:eastAsia="zh-CN"/>
        </w:rPr>
        <w:t>, captures two distinct inflow regimes determined by wind direction</w:t>
      </w:r>
      <w:r w:rsidR="007140BD">
        <w:rPr>
          <w:rFonts w:asciiTheme="minorHAnsi" w:hAnsiTheme="minorHAnsi" w:cstheme="minorHAnsi"/>
          <w:lang w:eastAsia="zh-CN"/>
        </w:rPr>
        <w:t xml:space="preserve"> (Figure 1A)</w:t>
      </w:r>
      <w:r w:rsidR="00007441">
        <w:rPr>
          <w:rFonts w:asciiTheme="minorHAnsi" w:hAnsiTheme="minorHAnsi" w:cstheme="minorHAnsi"/>
          <w:lang w:eastAsia="zh-CN"/>
        </w:rPr>
        <w:t>:</w:t>
      </w:r>
      <w:r>
        <w:rPr>
          <w:rFonts w:asciiTheme="minorHAnsi" w:hAnsiTheme="minorHAnsi" w:cstheme="minorHAnsi"/>
          <w:lang w:eastAsia="zh-CN"/>
        </w:rPr>
        <w:t xml:space="preserve"> westerly winds represent free-stream conditions, whereas easterly winds correspond to wake-influenced conditions. This configuration provides a natural experimental setting for studying the relationship between vertical wind measurements and farm-scale power generation.</w:t>
      </w:r>
    </w:p>
    <w:p w14:paraId="15DD49A3" w14:textId="0CABB999"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Pr>
          <w:rFonts w:asciiTheme="minorHAnsi" w:hAnsiTheme="minorHAnsi" w:cstheme="minorHAnsi" w:hint="eastAsia"/>
          <w:lang w:eastAsia="zh-CN"/>
        </w:rPr>
        <w:t>≈</w:t>
      </w:r>
      <w:r>
        <w:rPr>
          <w:rFonts w:asciiTheme="minorHAnsi" w:hAnsiTheme="minorHAnsi" w:cstheme="minorHAnsi"/>
          <w:lang w:eastAsia="zh-CN"/>
        </w:rPr>
        <w:t xml:space="preserve"> 0.81) than hub-height wind speed at 70 m (r </w:t>
      </w:r>
      <w:r>
        <w:rPr>
          <w:rFonts w:asciiTheme="minorHAnsi" w:hAnsiTheme="minorHAnsi" w:cstheme="minorHAnsi" w:hint="eastAsia"/>
          <w:lang w:eastAsia="zh-CN"/>
        </w:rPr>
        <w:t>≈</w:t>
      </w:r>
      <w:r>
        <w:rPr>
          <w:rFonts w:asciiTheme="minorHAnsi" w:hAnsiTheme="minorHAnsi" w:cstheme="minorHAnsi"/>
          <w:lang w:eastAsia="zh-CN"/>
        </w:rPr>
        <w:t xml:space="preserve"> 0.79) (Figure </w:t>
      </w:r>
      <w:r w:rsidR="006F776D">
        <w:rPr>
          <w:rFonts w:asciiTheme="minorHAnsi" w:hAnsiTheme="minorHAnsi" w:cstheme="minorHAnsi"/>
          <w:lang w:eastAsia="zh-CN"/>
        </w:rPr>
        <w:t>1</w:t>
      </w:r>
      <w:r>
        <w:rPr>
          <w:rFonts w:asciiTheme="minorHAnsi" w:hAnsiTheme="minorHAnsi" w:cstheme="minorHAnsi"/>
          <w:lang w:eastAsia="zh-CN"/>
        </w:rPr>
        <w:t xml:space="preserve">B, black line). </w:t>
      </w:r>
      <w:r w:rsidR="00A91D88" w:rsidRPr="00A91D88">
        <w:rPr>
          <w:rFonts w:asciiTheme="minorHAnsi" w:hAnsiTheme="minorHAnsi" w:cstheme="minorHAnsi"/>
          <w:lang w:eastAsia="zh-CN"/>
        </w:rPr>
        <w:t>This result challenges the conventional reliance on hub-height or rotor-layer wind speed for farm-scale power representation</w:t>
      </w:r>
      <w:r w:rsidR="00A91D88">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(Mahoney et al., 2012; Wagner et al., 2009; Ye et al., 2017)</w:t>
      </w:r>
      <w:r>
        <w:rPr>
          <w:rFonts w:asciiTheme="minorHAnsi" w:hAnsiTheme="minorHAnsi" w:cstheme="minorHAnsi"/>
          <w:lang w:eastAsia="zh-CN"/>
        </w:rPr>
        <w:fldChar w:fldCharType="end"/>
      </w:r>
      <w:r>
        <w:rPr>
          <w:rFonts w:asciiTheme="minorHAnsi" w:hAnsiTheme="minorHAnsi" w:cstheme="minorHAnsi"/>
          <w:lang w:eastAsia="zh-CN"/>
        </w:rPr>
        <w:t>. The complete pairwise Spearman correlation matrix, including inter-height correlations, is provided in Figure S</w:t>
      </w:r>
      <w:r w:rsidR="006F776D">
        <w:rPr>
          <w:rFonts w:asciiTheme="minorHAnsi" w:hAnsiTheme="minorHAnsi" w:cstheme="minorHAnsi"/>
          <w:lang w:eastAsia="zh-CN"/>
        </w:rPr>
        <w:t>2</w:t>
      </w:r>
      <w:r>
        <w:rPr>
          <w:rFonts w:asciiTheme="minorHAnsi" w:hAnsiTheme="minorHAnsi" w:cstheme="minorHAnsi"/>
          <w:lang w:eastAsia="zh-CN"/>
        </w:rPr>
        <w:t>.</w:t>
      </w:r>
    </w:p>
    <w:p w14:paraId="655EB054" w14:textId="0C4171E5" w:rsidR="000A29B4" w:rsidRDefault="0093274C">
      <w:pPr>
        <w:pStyle w:val="Text"/>
        <w:rPr>
          <w:rFonts w:asciiTheme="minorHAnsi" w:hAnsiTheme="minorHAnsi" w:cstheme="minorHAnsi"/>
          <w:lang w:eastAsia="zh-CN"/>
        </w:rPr>
      </w:pPr>
      <w:r>
        <w:rPr>
          <w:rFonts w:asciiTheme="minorHAnsi" w:hAnsiTheme="minorHAnsi" w:cstheme="minorHAnsi"/>
        </w:rPr>
        <w:t xml:space="preserve">When partitioned by flow regime, this apparent anomaly is resolved. Under free-stream conditions (Figure </w:t>
      </w:r>
      <w:r w:rsidR="00C71846">
        <w:rPr>
          <w:rFonts w:asciiTheme="minorHAnsi" w:hAnsiTheme="minorHAnsi" w:cstheme="minorHAnsi"/>
        </w:rPr>
        <w:t>1</w:t>
      </w:r>
      <w:r>
        <w:rPr>
          <w:rFonts w:asciiTheme="minorHAnsi" w:hAnsiTheme="minorHAnsi" w:cstheme="minorHAnsi"/>
        </w:rPr>
        <w:t xml:space="preserve">B, red line), correlation increases with height and peaks at 70 m (r </w:t>
      </w:r>
      <w:r>
        <w:rPr>
          <w:rFonts w:asciiTheme="minorHAnsi" w:hAnsiTheme="minorHAnsi" w:cstheme="minorHAnsi" w:hint="eastAsia"/>
        </w:rPr>
        <w:t>≈</w:t>
      </w:r>
      <w:r>
        <w:rPr>
          <w:rFonts w:asciiTheme="minorHAnsi" w:hAnsiTheme="minorHAnsi" w:cstheme="minorHAnsi"/>
        </w:rPr>
        <w:t xml:space="preserve"> 0.83), consistent with expectations based on vertical shear structure. Under wake-influenced</w:t>
      </w:r>
      <w:r>
        <w:rPr>
          <w:rFonts w:asciiTheme="minorHAnsi" w:hAnsiTheme="minorHAnsi" w:cstheme="minorHAnsi" w:hint="eastAsia"/>
          <w:lang w:eastAsia="zh-CN"/>
        </w:rPr>
        <w:t xml:space="preserve"> </w:t>
      </w:r>
      <w:r>
        <w:rPr>
          <w:rFonts w:asciiTheme="minorHAnsi" w:hAnsiTheme="minorHAnsi" w:cstheme="minorHAnsi"/>
        </w:rPr>
        <w:t xml:space="preserve">conditions (Figure </w:t>
      </w:r>
      <w:r w:rsidR="00C71846">
        <w:rPr>
          <w:rFonts w:asciiTheme="minorHAnsi" w:hAnsiTheme="minorHAnsi" w:cstheme="minorHAnsi"/>
        </w:rPr>
        <w:t>1</w:t>
      </w:r>
      <w:r>
        <w:rPr>
          <w:rFonts w:asciiTheme="minorHAnsi" w:hAnsiTheme="minorHAnsi" w:cstheme="minorHAnsi"/>
        </w:rPr>
        <w:t xml:space="preserve">B, blue line), however, correlation at 70 m decreases substantially (r </w:t>
      </w:r>
      <w:r>
        <w:rPr>
          <w:rFonts w:asciiTheme="minorHAnsi" w:hAnsiTheme="minorHAnsi" w:cstheme="minorHAnsi" w:hint="eastAsia"/>
        </w:rPr>
        <w:t>≈</w:t>
      </w:r>
      <w:r>
        <w:rPr>
          <w:rFonts w:asciiTheme="minorHAnsi" w:hAnsiTheme="minorHAnsi" w:cstheme="minorHAnsi"/>
        </w:rPr>
        <w:t xml:space="preserve"> 0.70), while correlation at 10 m remains high (r </w:t>
      </w:r>
      <w:r>
        <w:rPr>
          <w:rFonts w:asciiTheme="minorHAnsi" w:hAnsiTheme="minorHAnsi" w:cstheme="minorHAnsi" w:hint="eastAsia"/>
        </w:rPr>
        <w:t>≈</w:t>
      </w:r>
      <w:r>
        <w:rPr>
          <w:rFonts w:asciiTheme="minorHAnsi" w:hAnsiTheme="minorHAnsi" w:cstheme="minorHAnsi"/>
        </w:rPr>
        <w:t xml:space="preserve"> 0.78). </w:t>
      </w:r>
      <w:r w:rsidR="00543CC4" w:rsidRPr="00543CC4">
        <w:rPr>
          <w:rFonts w:asciiTheme="minorHAnsi" w:hAnsiTheme="minorHAnsi" w:cstheme="minorHAnsi"/>
        </w:rPr>
        <w:t>The higher overall correlation at 10 m therefore reflects hub-height signal degradation under wake-influenced conditions, not enhanced near-surface predictive power.</w:t>
      </w:r>
    </w:p>
    <w:p w14:paraId="7C9F769B" w14:textId="2CF96B12"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This regime-dependent difference is also reflected in the vertical wind profiles (Figure </w:t>
      </w:r>
      <w:r w:rsidR="00C71846">
        <w:rPr>
          <w:rFonts w:asciiTheme="minorHAnsi" w:hAnsiTheme="minorHAnsi" w:cstheme="minorHAnsi"/>
          <w:lang w:eastAsia="zh-CN"/>
        </w:rPr>
        <w:t>1</w:t>
      </w:r>
      <w:r>
        <w:rPr>
          <w:rFonts w:asciiTheme="minorHAnsi" w:hAnsiTheme="minorHAnsi" w:cstheme="minorHAnsi"/>
          <w:lang w:eastAsia="zh-CN"/>
        </w:rPr>
        <w:t xml:space="preserve">C and </w:t>
      </w:r>
      <w:r w:rsidR="00C71846">
        <w:rPr>
          <w:rFonts w:asciiTheme="minorHAnsi" w:hAnsiTheme="minorHAnsi" w:cstheme="minorHAnsi"/>
          <w:lang w:eastAsia="zh-CN"/>
        </w:rPr>
        <w:t>1</w:t>
      </w:r>
      <w:r>
        <w:rPr>
          <w:rFonts w:asciiTheme="minorHAnsi" w:hAnsiTheme="minorHAnsi" w:cstheme="minorHAnsi"/>
          <w:lang w:eastAsia="zh-CN"/>
        </w:rPr>
        <w:t xml:space="preserve">D). Under free-stream conditions, wind speed increases smoothly from the surface to hub height, consistent with a typical shear structure. Under wake-influenced conditions, wind speeds between 30 m and 70 m are reduced and exhibit larger variability compared with free-stream flow. </w:t>
      </w:r>
      <w:r w:rsidR="002B713B" w:rsidRPr="002B713B">
        <w:rPr>
          <w:rFonts w:asciiTheme="minorHAnsi" w:hAnsiTheme="minorHAnsi" w:cstheme="minorHAnsi"/>
          <w:lang w:eastAsia="zh-CN"/>
        </w:rPr>
        <w:t>These changes reflect turbine-induced momentum extraction and enhanced turbulence</w:t>
      </w:r>
      <w:r>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state‐of‐the‐art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C."},{"family":"Rethore","given":"P.‐E."},{"family":"Jørgensen","given":"H. E."}],"issued":{"date-parts":[["2007",11]]}}},{"id":1748,"uris":["http://zotero.org/users/14274501/items/IK6DQM6L"],"itemData":{"id":1748,"type":"article-journal","abstract":"Forecasting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t>
      </w:r>
      <w:proofErr w:type="spellStart"/>
      <w:r>
        <w:rPr>
          <w:rFonts w:asciiTheme="minorHAnsi" w:hAnsiTheme="minorHAnsi" w:cstheme="minorHAnsi"/>
          <w:lang w:eastAsia="zh-CN"/>
        </w:rPr>
        <w:t>Barthelmie</w:t>
      </w:r>
      <w:proofErr w:type="spellEnd"/>
      <w:r>
        <w:rPr>
          <w:rFonts w:asciiTheme="minorHAnsi" w:hAnsiTheme="minorHAnsi" w:cstheme="minorHAnsi"/>
          <w:lang w:eastAsia="zh-CN"/>
        </w:rPr>
        <w:t xml:space="preserve"> et al., 2007; Feroz et al., 2020)</w:t>
      </w:r>
      <w:r>
        <w:rPr>
          <w:rFonts w:asciiTheme="minorHAnsi" w:hAnsiTheme="minorHAnsi" w:cstheme="minorHAnsi"/>
          <w:lang w:eastAsia="zh-CN"/>
        </w:rPr>
        <w:fldChar w:fldCharType="end"/>
      </w:r>
      <w:r>
        <w:rPr>
          <w:rFonts w:asciiTheme="minorHAnsi" w:hAnsiTheme="minorHAnsi" w:cstheme="minorHAnsi"/>
          <w:lang w:eastAsia="zh-CN"/>
        </w:rPr>
        <w:t xml:space="preserve">. In contrast, the distribution of 10-m wind speed is nearly identical between free-stream and wake-influenced conditions, suggesting that this level </w:t>
      </w:r>
      <w:r w:rsidR="009315BB">
        <w:rPr>
          <w:rFonts w:asciiTheme="minorHAnsi" w:hAnsiTheme="minorHAnsi" w:cstheme="minorHAnsi" w:hint="eastAsia"/>
          <w:lang w:eastAsia="zh-CN"/>
        </w:rPr>
        <w:t>is much less influenced by the</w:t>
      </w:r>
      <w:r w:rsidR="009315BB">
        <w:rPr>
          <w:rFonts w:asciiTheme="minorHAnsi" w:hAnsiTheme="minorHAnsi" w:cstheme="minorHAnsi"/>
          <w:lang w:eastAsia="zh-CN"/>
        </w:rPr>
        <w:t xml:space="preserve"> wake</w:t>
      </w:r>
      <w:r w:rsidR="009315BB">
        <w:rPr>
          <w:rFonts w:asciiTheme="minorHAnsi" w:hAnsiTheme="minorHAnsi" w:cstheme="minorHAnsi" w:hint="eastAsia"/>
          <w:lang w:eastAsia="zh-CN"/>
        </w:rPr>
        <w:t xml:space="preserve"> than the above </w:t>
      </w:r>
      <w:r>
        <w:rPr>
          <w:rFonts w:asciiTheme="minorHAnsi" w:hAnsiTheme="minorHAnsi" w:cstheme="minorHAnsi"/>
          <w:lang w:eastAsia="zh-CN"/>
        </w:rPr>
        <w:t>layer and continues to reflect the background atmospheric inflow.</w:t>
      </w:r>
    </w:p>
    <w:p w14:paraId="73B03CEC" w14:textId="5177A66E"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Collectively, these observations (Figure </w:t>
      </w:r>
      <w:r w:rsidR="00C71846">
        <w:rPr>
          <w:rFonts w:asciiTheme="minorHAnsi" w:hAnsiTheme="minorHAnsi" w:cstheme="minorHAnsi"/>
          <w:lang w:eastAsia="zh-CN"/>
        </w:rPr>
        <w:t>1</w:t>
      </w:r>
      <w:r>
        <w:rPr>
          <w:rFonts w:asciiTheme="minorHAnsi" w:hAnsiTheme="minorHAnsi" w:cstheme="minorHAnsi"/>
          <w:lang w:eastAsia="zh-CN"/>
        </w:rPr>
        <w:t>)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Pr>
          <w:rFonts w:asciiTheme="minorHAnsi" w:hAnsiTheme="minorHAnsi" w:cstheme="minorHAnsi"/>
          <w:lang w:eastAsia="zh-CN"/>
        </w:rPr>
        <w:t xml:space="preserve">This observational evidence provides justification for transitioning from single hub-height measurements to a multi-height representation that includes surface-layer measurements, consistent with the recognition in rotor-equivalent wind speed studies that vertical profile information is essential for accurate power characterization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hub‐height wind speeds between 6 m s\n              −1\n              and 8 m s\n              −1\n              are normalized at 7 m s\n              −1\n              and grouped to a number of mean shear profiles. The energy in the profiles varies considerably for the same hub‐height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(Wagner et al., 2009; Sasser et al., 2022)</w:t>
      </w:r>
      <w:r>
        <w:rPr>
          <w:rFonts w:asciiTheme="minorHAnsi" w:hAnsiTheme="minorHAnsi" w:cstheme="minorHAnsi"/>
          <w:lang w:eastAsia="zh-CN"/>
        </w:rPr>
        <w:fldChar w:fldCharType="end"/>
      </w:r>
      <w:r>
        <w:rPr>
          <w:rFonts w:asciiTheme="minorHAnsi" w:hAnsiTheme="minorHAnsi" w:cstheme="minorHAnsi"/>
          <w:lang w:eastAsia="zh-CN"/>
        </w:rPr>
        <w:t xml:space="preserve">. However, conventional REWS approaches integrate wind speeds only within the rotor-swept area (typically 30–70 m), neglecting the role of surface-layer observations. </w:t>
      </w:r>
      <w:bookmarkEnd w:id="12"/>
      <w:r w:rsidR="00A00514" w:rsidRPr="00A00514">
        <w:rPr>
          <w:rFonts w:asciiTheme="minorHAnsi" w:hAnsiTheme="minorHAnsi" w:cstheme="minorHAnsi"/>
          <w:lang w:eastAsia="zh-CN"/>
        </w:rPr>
        <w:t xml:space="preserve">These findings </w:t>
      </w:r>
      <w:r w:rsidR="00A00514" w:rsidRPr="00A00514">
        <w:rPr>
          <w:rFonts w:asciiTheme="minorHAnsi" w:hAnsiTheme="minorHAnsi" w:cstheme="minorHAnsi"/>
          <w:lang w:eastAsia="zh-CN"/>
        </w:rPr>
        <w:lastRenderedPageBreak/>
        <w:t>motivate an extended profile incorporating 10-m measurements, as surface-layer wind can represent farm-scale power variability throug</w:t>
      </w:r>
      <w:r w:rsidR="00A00514">
        <w:rPr>
          <w:rFonts w:asciiTheme="minorHAnsi" w:hAnsiTheme="minorHAnsi" w:cstheme="minorHAnsi"/>
          <w:lang w:eastAsia="zh-CN"/>
        </w:rPr>
        <w:t>h vertical atmospheric coupling</w:t>
      </w:r>
      <w:r>
        <w:rPr>
          <w:rFonts w:asciiTheme="minorHAnsi" w:hAnsiTheme="minorHAnsi" w:cstheme="minorHAnsi"/>
          <w:lang w:eastAsia="zh-CN"/>
        </w:rPr>
        <w:t>.</w:t>
      </w:r>
    </w:p>
    <w:p w14:paraId="4B1E2178" w14:textId="77777777" w:rsidR="000A29B4" w:rsidRDefault="0093274C">
      <w:pPr>
        <w:pStyle w:val="Heading-Secondary"/>
        <w:rPr>
          <w:rFonts w:asciiTheme="minorHAnsi" w:hAnsiTheme="minorHAnsi" w:cstheme="minorHAnsi"/>
          <w:lang w:eastAsia="zh-CN"/>
        </w:rPr>
      </w:pPr>
      <w:bookmarkStart w:id="13" w:name="OLE_LINK3"/>
      <w:r>
        <w:rPr>
          <w:rFonts w:asciiTheme="minorHAnsi" w:hAnsiTheme="minorHAnsi" w:cstheme="minorHAnsi" w:hint="eastAsia"/>
          <w:lang w:eastAsia="zh-CN"/>
        </w:rPr>
        <w:t>4</w:t>
      </w:r>
      <w:r>
        <w:rPr>
          <w:rFonts w:asciiTheme="minorHAnsi" w:hAnsiTheme="minorHAnsi" w:cstheme="minorHAnsi"/>
        </w:rPr>
        <w:t>.2. Scale-Dependent Coupling</w:t>
      </w:r>
      <w:r>
        <w:rPr>
          <w:rFonts w:asciiTheme="minorHAnsi" w:hAnsiTheme="minorHAnsi" w:cstheme="minorHAnsi" w:hint="eastAsia"/>
          <w:lang w:eastAsia="zh-CN"/>
        </w:rPr>
        <w:t xml:space="preserve"> </w:t>
      </w:r>
      <w:r>
        <w:rPr>
          <w:rFonts w:asciiTheme="minorHAnsi" w:hAnsiTheme="minorHAnsi" w:cstheme="minorHAnsi"/>
        </w:rPr>
        <w:t>and Vertical Structure Consistency</w:t>
      </w:r>
    </w:p>
    <w:p w14:paraId="5DF6DC9F" w14:textId="76389DE1"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w:t>
      </w:r>
      <w:r w:rsidR="00472837" w:rsidRPr="00472837">
        <w:rPr>
          <w:rFonts w:asciiTheme="minorHAnsi" w:hAnsiTheme="minorHAnsi" w:cstheme="minorHAnsi"/>
          <w:lang w:eastAsia="zh-CN"/>
        </w:rPr>
        <w:t xml:space="preserve">(quantified </w:t>
      </w:r>
      <w:r w:rsidR="00472837">
        <w:rPr>
          <w:rFonts w:asciiTheme="minorHAnsi" w:hAnsiTheme="minorHAnsi" w:cstheme="minorHAnsi"/>
          <w:lang w:eastAsia="zh-CN"/>
        </w:rPr>
        <w:t>as the Spearman correlation</w:t>
      </w:r>
      <w:r w:rsidR="00472837" w:rsidRPr="00472837">
        <w:rPr>
          <w:rFonts w:asciiTheme="minorHAnsi" w:hAnsiTheme="minorHAnsi" w:cstheme="minorHAnsi"/>
          <w:lang w:eastAsia="zh-CN"/>
        </w:rPr>
        <w:t>)</w:t>
      </w:r>
      <w:r w:rsidR="00472837">
        <w:rPr>
          <w:rFonts w:asciiTheme="minorHAnsi" w:hAnsiTheme="minorHAnsi" w:cstheme="minorHAnsi"/>
          <w:lang w:eastAsia="zh-CN"/>
        </w:rPr>
        <w:t xml:space="preserve"> </w:t>
      </w:r>
      <w:r>
        <w:rPr>
          <w:rFonts w:asciiTheme="minorHAnsi" w:hAnsiTheme="minorHAnsi" w:cstheme="minorHAnsi"/>
          <w:lang w:eastAsia="zh-CN"/>
        </w:rPr>
        <w:t>across heights. If farm-scale power is dominated by variability at time scales where 10-m and rotor-layer winds evolve coherently, then surface-layer wind may capture the relevant atmospheric signal.</w:t>
      </w:r>
    </w:p>
    <w:p w14:paraId="1734FA29" w14:textId="7EADB687"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Scale-resolved variance analysis (Figure </w:t>
      </w:r>
      <w:r w:rsidR="00BD0065">
        <w:rPr>
          <w:rFonts w:asciiTheme="minorHAnsi" w:hAnsiTheme="minorHAnsi" w:cstheme="minorHAnsi"/>
          <w:lang w:eastAsia="zh-CN"/>
        </w:rPr>
        <w:t>2</w:t>
      </w:r>
      <w:r>
        <w:rPr>
          <w:rFonts w:asciiTheme="minorHAnsi" w:hAnsiTheme="minorHAnsi" w:cstheme="minorHAnsi"/>
          <w:lang w:eastAsia="zh-CN"/>
        </w:rPr>
        <w:t xml:space="preserve">A) distinguishes </w:t>
      </w:r>
      <w:r w:rsidR="000526A1" w:rsidRPr="000526A1">
        <w:rPr>
          <w:rFonts w:asciiTheme="minorHAnsi" w:hAnsiTheme="minorHAnsi" w:cstheme="minorHAnsi"/>
          <w:lang w:eastAsia="zh-CN"/>
        </w:rPr>
        <w:t xml:space="preserve">sub-daily </w:t>
      </w:r>
      <w:r>
        <w:rPr>
          <w:rFonts w:asciiTheme="minorHAnsi" w:hAnsiTheme="minorHAnsi" w:cstheme="minorHAnsi"/>
          <w:lang w:eastAsia="zh-CN"/>
        </w:rPr>
        <w:t xml:space="preserve">wake-related variability from </w:t>
      </w:r>
      <w:r w:rsidR="000526A1" w:rsidRPr="000526A1">
        <w:rPr>
          <w:rFonts w:asciiTheme="minorHAnsi" w:hAnsiTheme="minorHAnsi" w:cstheme="minorHAnsi"/>
          <w:lang w:eastAsia="zh-CN"/>
        </w:rPr>
        <w:t>synoptic-scale</w:t>
      </w:r>
      <w:r w:rsidR="000526A1">
        <w:rPr>
          <w:rFonts w:asciiTheme="minorHAnsi" w:hAnsiTheme="minorHAnsi" w:cstheme="minorHAnsi"/>
          <w:lang w:eastAsia="zh-CN"/>
        </w:rPr>
        <w:t xml:space="preserve"> </w:t>
      </w:r>
      <w:r>
        <w:rPr>
          <w:rFonts w:asciiTheme="minorHAnsi" w:hAnsiTheme="minorHAnsi" w:cstheme="minorHAnsi"/>
          <w:lang w:eastAsia="zh-CN"/>
        </w:rPr>
        <w:t xml:space="preserve">atmospheric variability. At </w:t>
      </w:r>
      <w:r w:rsidR="003166A2">
        <w:rPr>
          <w:rFonts w:asciiTheme="minorHAnsi" w:hAnsiTheme="minorHAnsi" w:cstheme="minorHAnsi"/>
          <w:lang w:eastAsia="zh-CN"/>
        </w:rPr>
        <w:t xml:space="preserve">sub-daily </w:t>
      </w:r>
      <w:r>
        <w:rPr>
          <w:rFonts w:asciiTheme="minorHAnsi" w:hAnsiTheme="minorHAnsi" w:cstheme="minorHAnsi"/>
          <w:lang w:eastAsia="zh-CN"/>
        </w:rPr>
        <w:t>periods</w:t>
      </w:r>
      <w:r w:rsidR="003166A2">
        <w:rPr>
          <w:rFonts w:asciiTheme="minorHAnsi" w:hAnsiTheme="minorHAnsi" w:cstheme="minorHAnsi"/>
          <w:lang w:eastAsia="zh-CN"/>
        </w:rPr>
        <w:t>,</w:t>
      </w:r>
      <w:r>
        <w:rPr>
          <w:rFonts w:asciiTheme="minorHAnsi" w:hAnsiTheme="minorHAnsi" w:cstheme="minorHAnsi"/>
          <w:lang w:eastAsia="zh-CN"/>
        </w:rPr>
        <w:t xml:space="preserve"> wind-speed variance at 70 m is </w:t>
      </w:r>
      <w:r w:rsidR="002715F4" w:rsidRPr="002715F4">
        <w:rPr>
          <w:rFonts w:asciiTheme="minorHAnsi" w:hAnsiTheme="minorHAnsi" w:cstheme="minorHAnsi"/>
          <w:lang w:eastAsia="zh-CN"/>
        </w:rPr>
        <w:t>notably</w:t>
      </w:r>
      <w:r w:rsidR="002715F4">
        <w:rPr>
          <w:rFonts w:asciiTheme="minorHAnsi" w:hAnsiTheme="minorHAnsi" w:cstheme="minorHAnsi"/>
          <w:lang w:eastAsia="zh-CN"/>
        </w:rPr>
        <w:t xml:space="preserve"> </w:t>
      </w:r>
      <w:r>
        <w:rPr>
          <w:rFonts w:asciiTheme="minorHAnsi" w:hAnsiTheme="minorHAnsi" w:cstheme="minorHAnsi"/>
          <w:lang w:eastAsia="zh-CN"/>
        </w:rPr>
        <w:t xml:space="preserve">higher under wake-influenced conditions than under free-stream conditions, reflecting additional variability introduced by turbine interactions. In contrast, </w:t>
      </w:r>
      <w:r w:rsidR="000526A1">
        <w:rPr>
          <w:rFonts w:asciiTheme="minorHAnsi" w:hAnsiTheme="minorHAnsi" w:cstheme="minorHAnsi"/>
          <w:lang w:eastAsia="zh-CN"/>
        </w:rPr>
        <w:t>at synoptic and longer periods</w:t>
      </w:r>
      <w:r>
        <w:rPr>
          <w:rFonts w:asciiTheme="minorHAnsi" w:hAnsiTheme="minorHAnsi" w:cstheme="minorHAnsi"/>
          <w:lang w:eastAsia="zh-CN"/>
        </w:rPr>
        <w:t>,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w:t>
      </w:r>
      <w:r w:rsidR="005A7C39">
        <w:rPr>
          <w:rFonts w:asciiTheme="minorHAnsi" w:hAnsiTheme="minorHAnsi" w:cstheme="minorHAnsi"/>
          <w:lang w:eastAsia="zh-CN"/>
        </w:rPr>
        <w:t xml:space="preserve"> </w:t>
      </w:r>
      <w:r w:rsidR="005A7C39" w:rsidRPr="005A7C39">
        <w:rPr>
          <w:rFonts w:asciiTheme="minorHAnsi" w:hAnsiTheme="minorHAnsi" w:cstheme="minorHAnsi"/>
          <w:lang w:eastAsia="zh-CN"/>
        </w:rPr>
        <w:t>(see Text S1 for a discussion of limitations at the longest periods)</w:t>
      </w:r>
      <w:r>
        <w:rPr>
          <w:rFonts w:asciiTheme="minorHAnsi" w:hAnsiTheme="minorHAnsi" w:cstheme="minorHAnsi"/>
          <w:lang w:eastAsia="zh-CN"/>
        </w:rPr>
        <w:t>.</w:t>
      </w:r>
    </w:p>
    <w:p w14:paraId="18532E81" w14:textId="54290A08"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Vertical coherence analysis (Figure </w:t>
      </w:r>
      <w:r w:rsidR="00BD0065">
        <w:rPr>
          <w:rFonts w:asciiTheme="minorHAnsi" w:hAnsiTheme="minorHAnsi" w:cstheme="minorHAnsi"/>
          <w:lang w:eastAsia="zh-CN"/>
        </w:rPr>
        <w:t>2</w:t>
      </w:r>
      <w:r>
        <w:rPr>
          <w:rFonts w:asciiTheme="minorHAnsi" w:hAnsiTheme="minorHAnsi" w:cstheme="minorHAnsi"/>
          <w:lang w:eastAsia="zh-CN"/>
        </w:rPr>
        <w:t xml:space="preserve">B, upper panels) further supports this separation. </w:t>
      </w:r>
      <w:r w:rsidR="00F02ECE" w:rsidRPr="00F02ECE">
        <w:rPr>
          <w:rFonts w:asciiTheme="minorHAnsi" w:hAnsiTheme="minorHAnsi" w:cstheme="minorHAnsi"/>
          <w:lang w:eastAsia="zh-CN"/>
        </w:rPr>
        <w:t xml:space="preserve">At short time scales, coherence between 10 m and 70 m is reduced under wake-influenced conditions but increases steadily toward similar values at synoptic time </w:t>
      </w:r>
      <w:proofErr w:type="spellStart"/>
      <w:proofErr w:type="gramStart"/>
      <w:r w:rsidR="00F02ECE" w:rsidRPr="00F02ECE">
        <w:rPr>
          <w:rFonts w:asciiTheme="minorHAnsi" w:hAnsiTheme="minorHAnsi" w:cstheme="minorHAnsi"/>
          <w:lang w:eastAsia="zh-CN"/>
        </w:rPr>
        <w:t>scales.</w:t>
      </w:r>
      <w:r w:rsidR="00406D48" w:rsidRPr="00406D48">
        <w:rPr>
          <w:rFonts w:asciiTheme="minorHAnsi" w:hAnsiTheme="minorHAnsi" w:cstheme="minorHAnsi"/>
          <w:lang w:eastAsia="zh-CN"/>
        </w:rPr>
        <w:t>The</w:t>
      </w:r>
      <w:proofErr w:type="spellEnd"/>
      <w:proofErr w:type="gramEnd"/>
      <w:r w:rsidR="00406D48" w:rsidRPr="00406D48">
        <w:rPr>
          <w:rFonts w:asciiTheme="minorHAnsi" w:hAnsiTheme="minorHAnsi" w:cstheme="minorHAnsi"/>
          <w:lang w:eastAsia="zh-CN"/>
        </w:rPr>
        <w:t xml:space="preserve"> correlation with power output (Figure 2B, lower panels) shows a consistent pattern: weak at hourly scales but increasing substantially toward one t</w:t>
      </w:r>
      <w:r w:rsidR="00406D48">
        <w:rPr>
          <w:rFonts w:asciiTheme="minorHAnsi" w:hAnsiTheme="minorHAnsi" w:cstheme="minorHAnsi"/>
          <w:lang w:eastAsia="zh-CN"/>
        </w:rPr>
        <w:t>o three days under both regimes</w:t>
      </w:r>
      <w:r>
        <w:rPr>
          <w:rFonts w:asciiTheme="minorHAnsi" w:hAnsiTheme="minorHAnsi" w:cstheme="minorHAnsi"/>
          <w:lang w:eastAsia="zh-CN"/>
        </w:rPr>
        <w:t>. These results indicate that farm-scale power variability is primarily associated with synoptic-scale atmospheric forcing rather than short-scale wake-driven fluctuations.</w:t>
      </w:r>
    </w:p>
    <w:p w14:paraId="0E98DA18" w14:textId="29378D24" w:rsidR="000A29B4" w:rsidRDefault="00F02ECE">
      <w:pPr>
        <w:pStyle w:val="Text"/>
        <w:rPr>
          <w:rFonts w:asciiTheme="minorHAnsi" w:hAnsiTheme="minorHAnsi" w:cstheme="minorHAnsi"/>
          <w:lang w:eastAsia="zh-CN"/>
        </w:rPr>
      </w:pPr>
      <w:r w:rsidRPr="00F02ECE">
        <w:rPr>
          <w:rFonts w:asciiTheme="minorHAnsi" w:hAnsiTheme="minorHAnsi" w:cstheme="minorHAnsi"/>
          <w:lang w:eastAsia="zh-CN"/>
        </w:rPr>
        <w:t>EOF analysis addresses whether vertical structure coherence persists across regimes despite the large separation between 10 m and the rotor-swept layer.</w:t>
      </w:r>
      <w:r w:rsidR="0093274C">
        <w:rPr>
          <w:rFonts w:asciiTheme="minorHAnsi" w:hAnsiTheme="minorHAnsi" w:cstheme="minorHAnsi"/>
          <w:lang w:eastAsia="zh-CN"/>
        </w:rPr>
        <w:t xml:space="preserve"> The first EOF mode explains more than 93% of total vertical variance in all cases (Figure </w:t>
      </w:r>
      <w:r w:rsidR="00BD0065">
        <w:rPr>
          <w:rFonts w:asciiTheme="minorHAnsi" w:hAnsiTheme="minorHAnsi" w:cstheme="minorHAnsi"/>
          <w:lang w:eastAsia="zh-CN"/>
        </w:rPr>
        <w:t>2</w:t>
      </w:r>
      <w:r w:rsidR="0093274C">
        <w:rPr>
          <w:rFonts w:asciiTheme="minorHAnsi" w:hAnsiTheme="minorHAnsi" w:cstheme="minorHAnsi"/>
          <w:lang w:eastAsia="zh-CN"/>
        </w:rPr>
        <w:t>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w:t>
      </w:r>
      <w:r w:rsidR="006C06A7">
        <w:rPr>
          <w:rFonts w:asciiTheme="minorHAnsi" w:hAnsiTheme="minorHAnsi" w:cstheme="minorHAnsi"/>
          <w:lang w:eastAsia="zh-CN"/>
        </w:rPr>
        <w:t xml:space="preserve"> conditions</w:t>
      </w:r>
      <w:r w:rsidR="0093274C">
        <w:rPr>
          <w:rFonts w:asciiTheme="minorHAnsi" w:hAnsiTheme="minorHAnsi" w:cstheme="minorHAnsi"/>
          <w:lang w:eastAsia="zh-CN"/>
        </w:rPr>
        <w:t>.</w:t>
      </w:r>
    </w:p>
    <w:p w14:paraId="18F38F0E" w14:textId="4BB88F8A" w:rsidR="000A29B4" w:rsidRDefault="00406D48">
      <w:pPr>
        <w:pStyle w:val="Text"/>
        <w:rPr>
          <w:rFonts w:asciiTheme="minorHAnsi" w:hAnsiTheme="minorHAnsi" w:cstheme="minorHAnsi"/>
          <w:lang w:eastAsia="zh-CN"/>
        </w:rPr>
      </w:pPr>
      <w:r w:rsidRPr="00406D48">
        <w:rPr>
          <w:rFonts w:asciiTheme="minorHAnsi" w:hAnsiTheme="minorHAnsi" w:cstheme="minorHAnsi"/>
          <w:lang w:eastAsia="zh-CN"/>
        </w:rPr>
        <w:t>The ability of surface-layer wind to scale profile intensity is examined through its regression with PC1 amplitude.</w:t>
      </w:r>
      <w:r>
        <w:rPr>
          <w:rFonts w:asciiTheme="minorHAnsi" w:hAnsiTheme="minorHAnsi" w:cstheme="minorHAnsi"/>
          <w:lang w:eastAsia="zh-CN"/>
        </w:rPr>
        <w:t xml:space="preserve"> </w:t>
      </w:r>
      <w:r w:rsidR="0093274C">
        <w:rPr>
          <w:rFonts w:asciiTheme="minorHAnsi" w:hAnsiTheme="minorHAnsi" w:cstheme="minorHAnsi"/>
          <w:lang w:eastAsia="zh-CN"/>
        </w:rPr>
        <w:t xml:space="preserve">Strong linear correlations are observed between 10-m wind speed and PC1, with nearly identical regression slopes under free-stream and wake-influenced conditions (0.65 and 0.66; Figure </w:t>
      </w:r>
      <w:r w:rsidR="00BD0065">
        <w:rPr>
          <w:rFonts w:asciiTheme="minorHAnsi" w:hAnsiTheme="minorHAnsi" w:cstheme="minorHAnsi"/>
          <w:lang w:eastAsia="zh-CN"/>
        </w:rPr>
        <w:t>2</w:t>
      </w:r>
      <w:r w:rsidR="0093274C">
        <w:rPr>
          <w:rFonts w:asciiTheme="minorHAnsi" w:hAnsiTheme="minorHAnsi" w:cstheme="minorHAnsi"/>
          <w:lang w:eastAsia="zh-CN"/>
        </w:rPr>
        <w:t xml:space="preserve">D). In contrast, the regression slope between 70-m wind speed and PC1 differs more substantially between regimes (0.54 to 0.62), indicating that wake effects alter the scaling capability of hub-height wind. </w:t>
      </w:r>
      <w:r w:rsidR="00154041" w:rsidRPr="00154041">
        <w:rPr>
          <w:rFonts w:asciiTheme="minorHAnsi" w:hAnsiTheme="minorHAnsi" w:cstheme="minorHAnsi"/>
          <w:lang w:eastAsia="zh-CN"/>
        </w:rPr>
        <w:t>This relationship remains stable across regimes.</w:t>
      </w:r>
    </w:p>
    <w:p w14:paraId="52C3D8BD" w14:textId="4D3F6862" w:rsidR="000A29B4" w:rsidRDefault="0093274C">
      <w:pPr>
        <w:pStyle w:val="Text"/>
        <w:rPr>
          <w:rFonts w:asciiTheme="minorHAnsi" w:hAnsiTheme="minorHAnsi" w:cstheme="minorHAnsi"/>
          <w:lang w:eastAsia="zh-CN"/>
        </w:rPr>
      </w:pPr>
      <w:r>
        <w:rPr>
          <w:rFonts w:asciiTheme="minorHAnsi" w:hAnsiTheme="minorHAnsi" w:cstheme="minorHAnsi"/>
          <w:lang w:eastAsia="zh-CN"/>
        </w:rPr>
        <w:lastRenderedPageBreak/>
        <w:t>Taken together, these results show that farm-scale power variability is controlled primarily by synoptic-scale atmospheric forcing.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p>
    <w:bookmarkEnd w:id="13"/>
    <w:p w14:paraId="3E5E9D88"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.3. Evaluation of the Extended Profile Representation</w:t>
      </w:r>
      <w:r>
        <w:rPr>
          <w:rFonts w:asciiTheme="minorHAnsi" w:hAnsiTheme="minorHAnsi" w:cstheme="minorHAnsi" w:hint="eastAsia"/>
          <w:lang w:eastAsia="zh-CN"/>
        </w:rPr>
        <w:t xml:space="preserve"> </w:t>
      </w:r>
      <w:r>
        <w:rPr>
          <w:rFonts w:asciiTheme="minorHAnsi" w:hAnsiTheme="minorHAnsi" w:cstheme="minorHAnsi"/>
        </w:rPr>
        <w:t>via Power Reconstruction</w:t>
      </w:r>
    </w:p>
    <w:p w14:paraId="4ECE4033" w14:textId="39D9C313"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Sections 4.1 and 4.2 established the physical basis for extending vertical wind representation beyond the rotor-swept layer. </w:t>
      </w:r>
      <w:r w:rsidR="008F2F03" w:rsidRPr="008F2F03">
        <w:rPr>
          <w:rFonts w:asciiTheme="minorHAnsi" w:hAnsiTheme="minorHAnsi" w:cstheme="minorHAnsi"/>
          <w:lang w:eastAsia="zh-CN"/>
        </w:rPr>
        <w:t xml:space="preserve">To test whether this representation improves farm-scale power prediction, a </w:t>
      </w:r>
      <w:proofErr w:type="spellStart"/>
      <w:r w:rsidR="008F2F03" w:rsidRPr="008F2F03">
        <w:rPr>
          <w:rFonts w:asciiTheme="minorHAnsi" w:hAnsiTheme="minorHAnsi" w:cstheme="minorHAnsi"/>
          <w:lang w:eastAsia="zh-CN"/>
        </w:rPr>
        <w:t>LightGBM</w:t>
      </w:r>
      <w:proofErr w:type="spellEnd"/>
      <w:r w:rsidR="008F2F03" w:rsidRPr="008F2F03">
        <w:rPr>
          <w:rFonts w:asciiTheme="minorHAnsi" w:hAnsiTheme="minorHAnsi" w:cstheme="minorHAnsi"/>
          <w:lang w:eastAsia="zh-CN"/>
        </w:rPr>
        <w:t xml:space="preserve"> model is used to reconstruct total power from the three input configurations (HH, S</w:t>
      </w:r>
      <w:r w:rsidR="008F2F03">
        <w:rPr>
          <w:rFonts w:asciiTheme="minorHAnsi" w:hAnsiTheme="minorHAnsi" w:cstheme="minorHAnsi"/>
          <w:lang w:eastAsia="zh-CN"/>
        </w:rPr>
        <w:t>R, ER) described in Section 2.3</w:t>
      </w:r>
      <w:r>
        <w:rPr>
          <w:rFonts w:asciiTheme="minorHAnsi" w:hAnsiTheme="minorHAnsi" w:cstheme="minorHAnsi"/>
          <w:lang w:eastAsia="zh-CN"/>
        </w:rPr>
        <w:t>.</w:t>
      </w:r>
    </w:p>
    <w:p w14:paraId="5981BD8A" w14:textId="6649B5C0"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Figure </w:t>
      </w:r>
      <w:r w:rsidR="00F133FD">
        <w:rPr>
          <w:rFonts w:asciiTheme="minorHAnsi" w:hAnsiTheme="minorHAnsi" w:cstheme="minorHAnsi"/>
          <w:lang w:eastAsia="zh-CN"/>
        </w:rPr>
        <w:t>3</w:t>
      </w:r>
      <w:r>
        <w:rPr>
          <w:rFonts w:asciiTheme="minorHAnsi" w:hAnsiTheme="minorHAnsi" w:cstheme="minorHAnsi"/>
          <w:lang w:eastAsia="zh-CN"/>
        </w:rPr>
        <w:t xml:space="preserve">A shows that reconstruction accuracy improves systematically from HH (R² = 0.61) to SR (R² = 0.64) and further to ER (R² = 0.72). Including surface-layer wind therefore yields a clear improvement over models using only rotor-layer measurements. To assess robustness across flow regimes, the test dataset is partitioned into free-stream and wake-influenced conditions. Figure </w:t>
      </w:r>
      <w:r w:rsidR="00F133FD">
        <w:rPr>
          <w:rFonts w:asciiTheme="minorHAnsi" w:hAnsiTheme="minorHAnsi" w:cstheme="minorHAnsi"/>
          <w:lang w:eastAsia="zh-CN"/>
        </w:rPr>
        <w:t>3</w:t>
      </w:r>
      <w:r>
        <w:rPr>
          <w:rFonts w:asciiTheme="minorHAnsi" w:hAnsiTheme="minorHAnsi" w:cstheme="minorHAnsi"/>
          <w:lang w:eastAsia="zh-CN"/>
        </w:rPr>
        <w:t xml:space="preserve">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w:t>
      </w:r>
      <w:r w:rsidR="00A7025C" w:rsidRPr="00A7025C">
        <w:rPr>
          <w:rFonts w:asciiTheme="minorHAnsi" w:hAnsiTheme="minorHAnsi" w:cstheme="minorHAnsi"/>
          <w:lang w:eastAsia="zh-CN"/>
        </w:rPr>
        <w:t>This pattern indicates that surface-layer wind compensates for the degraded rotor-layer signal under wake-influenced conditions.</w:t>
      </w:r>
    </w:p>
    <w:p w14:paraId="61514F3E" w14:textId="59D23711" w:rsidR="000A29B4" w:rsidRDefault="0093274C">
      <w:pPr>
        <w:pStyle w:val="Text"/>
        <w:rPr>
          <w:rFonts w:asciiTheme="minorHAnsi" w:hAnsiTheme="minorHAnsi" w:cstheme="minorHAnsi"/>
          <w:lang w:eastAsia="zh-CN"/>
        </w:rPr>
      </w:pPr>
      <w:r>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Pr>
          <w:rFonts w:asciiTheme="minorHAnsi" w:hAnsiTheme="minorHAnsi" w:cstheme="minorHAnsi"/>
          <w:lang w:eastAsia="zh-CN"/>
        </w:rPr>
        <w:t xml:space="preserve">is </w:t>
      </w:r>
      <w:r>
        <w:rPr>
          <w:rFonts w:asciiTheme="minorHAnsi" w:hAnsiTheme="minorHAnsi" w:cstheme="minorHAnsi" w:hint="eastAsia"/>
          <w:lang w:eastAsia="zh-CN"/>
        </w:rPr>
        <w:t>a</w:t>
      </w:r>
      <w:r>
        <w:rPr>
          <w:rFonts w:asciiTheme="minorHAnsi" w:hAnsiTheme="minorHAnsi" w:cstheme="minorHAnsi"/>
          <w:lang w:eastAsia="zh-CN"/>
        </w:rPr>
        <w:t xml:space="preserve">pplied to the corresponding test sets. Figure </w:t>
      </w:r>
      <w:r w:rsidR="00F133FD">
        <w:rPr>
          <w:rFonts w:asciiTheme="minorHAnsi" w:hAnsiTheme="minorHAnsi" w:cstheme="minorHAnsi"/>
          <w:lang w:eastAsia="zh-CN"/>
        </w:rPr>
        <w:t>3</w:t>
      </w:r>
      <w:r>
        <w:rPr>
          <w:rFonts w:asciiTheme="minorHAnsi" w:hAnsiTheme="minorHAnsi" w:cstheme="minorHAnsi"/>
          <w:lang w:eastAsia="zh-CN"/>
        </w:rPr>
        <w:t>C reveals clear regime-dependent feature behavior.</w:t>
      </w:r>
      <w:r>
        <w:t xml:space="preserve"> </w:t>
      </w:r>
      <w:r>
        <w:rPr>
          <w:rFonts w:asciiTheme="minorHAnsi" w:hAnsiTheme="minorHAnsi" w:cstheme="minorHAnsi"/>
          <w:lang w:eastAsia="zh-CN"/>
        </w:rPr>
        <w:t>Under free-stream conditions, 10-m wind speed exhibits the largest SHAP contribution, followed closely by 70-m wind speed. Wind speeds at 30 m and 50 m contribute less and show similar magnitudes, indicating partial redundancy within the rotor-swept layer</w:t>
      </w:r>
      <w:r w:rsidRPr="00B95DC4">
        <w:rPr>
          <w:rFonts w:asciiTheme="minorHAnsi" w:hAnsiTheme="minorHAnsi" w:cstheme="minorHAnsi"/>
          <w:lang w:eastAsia="zh-CN"/>
        </w:rPr>
        <w:t xml:space="preserve">.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 </w:t>
      </w:r>
      <w:r>
        <w:rPr>
          <w:rFonts w:asciiTheme="minorHAnsi" w:hAnsiTheme="minorHAnsi" w:cstheme="minorHAnsi"/>
          <w:lang w:eastAsia="zh-CN"/>
        </w:rPr>
        <w:t xml:space="preserve">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w:t>
      </w:r>
      <w:r w:rsidR="00B95DC4" w:rsidRPr="00B95DC4">
        <w:rPr>
          <w:rFonts w:asciiTheme="minorHAnsi" w:hAnsiTheme="minorHAnsi" w:cstheme="minorHAnsi"/>
          <w:lang w:eastAsia="zh-CN"/>
        </w:rPr>
        <w:t>This shift is consistent with the findings in Sections 4.1 and 4.2.</w:t>
      </w:r>
    </w:p>
    <w:p w14:paraId="0759DDE3" w14:textId="752C8FFB"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w:t>
      </w:r>
      <w:r w:rsidR="00FA5E01" w:rsidRPr="00FA5E01">
        <w:rPr>
          <w:rFonts w:asciiTheme="minorHAnsi" w:hAnsiTheme="minorHAnsi" w:cstheme="minorHAnsi"/>
          <w:lang w:eastAsia="zh-CN"/>
        </w:rPr>
        <w:t>SHAP-derived feature importance aligns with the physically established relationships above, supporting its interpretability in diagnosing model behavior</w:t>
      </w:r>
      <w:r w:rsidR="00FA5E01">
        <w:rPr>
          <w:rFonts w:asciiTheme="minorHAnsi" w:hAnsiTheme="minorHAnsi" w:cstheme="minorHAnsi"/>
          <w:lang w:eastAsia="zh-CN"/>
        </w:rPr>
        <w:t xml:space="preserve">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2024)","noteIndex":0},"citationItems":[{"id":1827,"uris":["http://zotero.org/users/14274501/items/89TP87SW"],"itemData":{"id":1827,"type":"article-journal","abstract":"Advanced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(Liao et al., 2024)</w:t>
      </w:r>
      <w:r>
        <w:rPr>
          <w:rFonts w:asciiTheme="minorHAnsi" w:hAnsiTheme="minorHAnsi" w:cstheme="minorHAnsi"/>
          <w:lang w:eastAsia="zh-CN"/>
        </w:rPr>
        <w:fldChar w:fldCharType="end"/>
      </w:r>
      <w:r>
        <w:rPr>
          <w:rFonts w:asciiTheme="minorHAnsi" w:hAnsiTheme="minorHAnsi" w:cstheme="minorHAnsi"/>
          <w:lang w:eastAsia="zh-CN"/>
        </w:rPr>
        <w:t xml:space="preserve">. </w:t>
      </w:r>
      <w:r w:rsidR="005B6E8D" w:rsidRPr="005B6E8D">
        <w:rPr>
          <w:rFonts w:asciiTheme="minorHAnsi" w:hAnsiTheme="minorHAnsi" w:cstheme="minorHAnsi"/>
          <w:lang w:eastAsia="zh-CN"/>
        </w:rPr>
        <w:t xml:space="preserve">Taken together, these results indicate that Extended REWS performance gains arise from </w:t>
      </w:r>
      <w:r w:rsidR="005B6E8D" w:rsidRPr="005B6E8D">
        <w:rPr>
          <w:rFonts w:asciiTheme="minorHAnsi" w:hAnsiTheme="minorHAnsi" w:cstheme="minorHAnsi"/>
          <w:lang w:eastAsia="zh-CN"/>
        </w:rPr>
        <w:lastRenderedPageBreak/>
        <w:t>physically meaningful atmospheric information rather than statistical artifacts, supporting the validity of extending vertical wind representati</w:t>
      </w:r>
      <w:r w:rsidR="005B6E8D">
        <w:rPr>
          <w:rFonts w:asciiTheme="minorHAnsi" w:hAnsiTheme="minorHAnsi" w:cstheme="minorHAnsi"/>
          <w:lang w:eastAsia="zh-CN"/>
        </w:rPr>
        <w:t>on beyond the rotor-swept layer</w:t>
      </w:r>
      <w:r>
        <w:rPr>
          <w:rFonts w:asciiTheme="minorHAnsi" w:hAnsiTheme="minorHAnsi" w:cstheme="minorHAnsi"/>
          <w:lang w:eastAsia="zh-CN"/>
        </w:rPr>
        <w:t>.</w:t>
      </w:r>
    </w:p>
    <w:p w14:paraId="1DA1F135" w14:textId="77777777" w:rsidR="000A29B4" w:rsidRDefault="0093274C">
      <w:pPr>
        <w:pStyle w:val="Heading-Secondary"/>
        <w:rPr>
          <w:rFonts w:asciiTheme="minorHAnsi" w:hAnsiTheme="minorHAnsi" w:cstheme="minorHAnsi"/>
        </w:rPr>
      </w:pPr>
      <w:r>
        <w:rPr>
          <w:rFonts w:asciiTheme="minorHAnsi" w:hAnsiTheme="minorHAnsi" w:cstheme="minorHAnsi" w:hint="eastAsia"/>
          <w:lang w:eastAsia="zh-CN"/>
        </w:rPr>
        <w:t>4.</w:t>
      </w:r>
      <w:r>
        <w:rPr>
          <w:rFonts w:asciiTheme="minorHAnsi" w:hAnsiTheme="minorHAnsi" w:cstheme="minorHAnsi"/>
        </w:rPr>
        <w:t>4. Operational Implications: Wind-Direction-Aware Strategy</w:t>
      </w:r>
    </w:p>
    <w:p w14:paraId="68AF4A61" w14:textId="27305B3B" w:rsidR="000A29B4" w:rsidRDefault="0095482A">
      <w:pPr>
        <w:pStyle w:val="Text"/>
        <w:rPr>
          <w:rFonts w:asciiTheme="minorHAnsi" w:hAnsiTheme="minorHAnsi" w:cstheme="minorHAnsi"/>
          <w:lang w:eastAsia="zh-CN"/>
        </w:rPr>
      </w:pPr>
      <w:r w:rsidRPr="0095482A">
        <w:rPr>
          <w:rFonts w:asciiTheme="minorHAnsi" w:hAnsiTheme="minorHAnsi" w:cstheme="minorHAnsi"/>
          <w:lang w:eastAsia="zh-CN"/>
        </w:rPr>
        <w:t>Section 4.3 demonstrated that extended vertical wind representation improves power reconstruction. In operational forecasting, however, NWP-provided inputs vary in reliability across flow conditions, suggesting that a fixed input set may not be optimal under all inflow regimes.</w:t>
      </w:r>
    </w:p>
    <w:p w14:paraId="27C55A0F" w14:textId="04BBCDC1" w:rsidR="000A29B4" w:rsidRDefault="0093274C">
      <w:pPr>
        <w:pStyle w:val="Text"/>
        <w:rPr>
          <w:rFonts w:asciiTheme="minorHAnsi" w:hAnsiTheme="minorHAnsi" w:cstheme="minorHAnsi"/>
          <w:lang w:eastAsia="zh-CN"/>
        </w:rPr>
      </w:pPr>
      <w:r>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w:t>
      </w:r>
      <w:r w:rsidR="008472D3">
        <w:rPr>
          <w:rFonts w:asciiTheme="minorHAnsi" w:hAnsiTheme="minorHAnsi" w:cstheme="minorHAnsi"/>
          <w:lang w:eastAsia="zh-CN"/>
        </w:rPr>
        <w:t>tion predicted by WRF</w:t>
      </w:r>
      <w:r>
        <w:rPr>
          <w:rFonts w:asciiTheme="minorHAnsi" w:hAnsiTheme="minorHAnsi" w:cstheme="minorHAnsi"/>
          <w:lang w:eastAsia="zh-CN"/>
        </w:rPr>
        <w:t>. During forecasting, the sector is determined using the predicted wind direction, and the corresponding sector-specific model is applied.</w:t>
      </w:r>
    </w:p>
    <w:p w14:paraId="591CBDBA" w14:textId="03348A38" w:rsidR="000A29B4" w:rsidRDefault="00CD59BD">
      <w:pPr>
        <w:pStyle w:val="Text"/>
        <w:rPr>
          <w:rFonts w:asciiTheme="minorHAnsi" w:hAnsiTheme="minorHAnsi" w:cstheme="minorHAnsi"/>
          <w:lang w:eastAsia="zh-CN"/>
        </w:rPr>
      </w:pPr>
      <w:r w:rsidRPr="00CD59BD">
        <w:rPr>
          <w:rFonts w:asciiTheme="minorHAnsi" w:hAnsiTheme="minorHAnsi" w:cstheme="minorHAnsi"/>
          <w:lang w:eastAsia="zh-CN"/>
        </w:rPr>
        <w:t>Figures 4A and 4C present EC-WRF and GFS-WRF day-ahead for</w:t>
      </w:r>
      <w:r>
        <w:rPr>
          <w:rFonts w:asciiTheme="minorHAnsi" w:hAnsiTheme="minorHAnsi" w:cstheme="minorHAnsi"/>
          <w:lang w:eastAsia="zh-CN"/>
        </w:rPr>
        <w:t>ecast performance, respectively</w:t>
      </w:r>
      <w:r w:rsidR="0093274C">
        <w:rPr>
          <w:rFonts w:asciiTheme="minorHAnsi" w:hAnsiTheme="minorHAnsi" w:cstheme="minorHAnsi"/>
          <w:lang w:eastAsia="zh-CN"/>
        </w:rPr>
        <w:t xml:space="preserve">.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00CC7039" w:rsidRPr="00CC7039">
        <w:rPr>
          <w:rFonts w:asciiTheme="minorHAnsi" w:hAnsiTheme="minorHAnsi" w:cstheme="minorHAnsi"/>
          <w:lang w:eastAsia="zh-CN"/>
        </w:rPr>
        <w:t>By adopting sector-specific input configurations informed by SHAP analysis—using three wind speed levels for free-stream and wake-influenced sectors while retaining all four levels for transitional sectors—WDA reduces redundant and wake-contaminated predictors and outperforms ER.</w:t>
      </w:r>
    </w:p>
    <w:p w14:paraId="35F2EDC4" w14:textId="4281453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Regime-resolved results (Figure </w:t>
      </w:r>
      <w:r w:rsidR="00F133FD">
        <w:rPr>
          <w:rFonts w:asciiTheme="minorHAnsi" w:hAnsiTheme="minorHAnsi" w:cstheme="minorHAnsi"/>
          <w:lang w:eastAsia="zh-CN"/>
        </w:rPr>
        <w:t>4</w:t>
      </w:r>
      <w:r>
        <w:rPr>
          <w:rFonts w:asciiTheme="minorHAnsi" w:hAnsiTheme="minorHAnsi" w:cstheme="minorHAnsi"/>
          <w:lang w:eastAsia="zh-CN"/>
        </w:rPr>
        <w:t xml:space="preserve">B and </w:t>
      </w:r>
      <w:r w:rsidR="00F133FD">
        <w:rPr>
          <w:rFonts w:asciiTheme="minorHAnsi" w:hAnsiTheme="minorHAnsi" w:cstheme="minorHAnsi"/>
          <w:lang w:eastAsia="zh-CN"/>
        </w:rPr>
        <w:t>4</w:t>
      </w:r>
      <w:r>
        <w:rPr>
          <w:rFonts w:asciiTheme="minorHAnsi" w:hAnsiTheme="minorHAnsi" w:cstheme="minorHAnsi"/>
          <w:lang w:eastAsia="zh-CN"/>
        </w:rPr>
        <w:t xml:space="preserve">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w:t>
      </w:r>
      <w:r w:rsidR="00BD594B" w:rsidRPr="00BD594B">
        <w:rPr>
          <w:rFonts w:asciiTheme="minorHAnsi" w:hAnsiTheme="minorHAnsi" w:cstheme="minorHAnsi"/>
          <w:lang w:eastAsia="zh-CN"/>
        </w:rPr>
        <w:t>This is consistent with earlier findings on wake-relate</w:t>
      </w:r>
      <w:r w:rsidR="00BD594B">
        <w:rPr>
          <w:rFonts w:asciiTheme="minorHAnsi" w:hAnsiTheme="minorHAnsi" w:cstheme="minorHAnsi"/>
          <w:lang w:eastAsia="zh-CN"/>
        </w:rPr>
        <w:t>d hub-height signal degradation</w:t>
      </w:r>
      <w:r>
        <w:rPr>
          <w:rFonts w:asciiTheme="minorHAnsi" w:hAnsiTheme="minorHAnsi" w:cstheme="minorHAnsi"/>
          <w:lang w:eastAsia="zh-CN"/>
        </w:rPr>
        <w:t xml:space="preserve">. Allowing input usage to vary with flow regime therefore yields the largest benefit under wake-influenced conditions. These results demonstrate that the physical understanding of scale-dependent vertical coupling can be translated into a simple operational strategy.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2026)","noteIndex":0},"citationItems":[{"id":2052,"uris":["http://zotero.org/users/14274501/items/ENGBUWPD"],"itemData":{"id":2052,"type":"article-journal","abstract":"This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Pr>
          <w:rFonts w:asciiTheme="minorHAnsi" w:hAnsiTheme="minorHAnsi" w:cstheme="minorHAnsi"/>
          <w:lang w:eastAsia="zh-CN"/>
        </w:rPr>
        <w:t>.</w:t>
      </w:r>
    </w:p>
    <w:p w14:paraId="43984F58" w14:textId="7449AAAB" w:rsidR="000A29B4" w:rsidRDefault="0093274C">
      <w:pPr>
        <w:pStyle w:val="Text"/>
        <w:rPr>
          <w:rFonts w:asciiTheme="minorHAnsi" w:hAnsiTheme="minorHAnsi" w:cstheme="minorHAnsi"/>
          <w:lang w:eastAsia="zh-CN"/>
        </w:rPr>
      </w:pPr>
      <w:r>
        <w:rPr>
          <w:rFonts w:asciiTheme="minorHAnsi" w:hAnsiTheme="minorHAnsi" w:cstheme="minorHAnsi"/>
          <w:lang w:eastAsia="zh-CN"/>
        </w:rPr>
        <w:t>Several limitations should be noted. First, the analysis is based on a single wind farm in flat terrain, where vertical coupling between surface and rotor layers is relatively strong. The applicability of this strategy to complex terrain requires further multi-site evaluation. Second, the observational dataset is limited to mast measurements from 10 to 70 m, extending up to hub height but not above it. As a result, the role of wind structure in the upper part of the rotor-swept layer remains unexamined. This aspect warrants future investigation using scanning or profiling lidars, which can provide continuous wind profiles above hub height and across the full rotor layer. Third, implementation depends on the availability of multi-height observations and reliable wind-direction forecasts, which may vary across operational settings.</w:t>
      </w:r>
    </w:p>
    <w:p w14:paraId="4528C653" w14:textId="77777777" w:rsidR="000A29B4" w:rsidRDefault="0093274C">
      <w:pPr>
        <w:pStyle w:val="Heading-Main"/>
        <w:rPr>
          <w:rFonts w:asciiTheme="minorHAnsi" w:hAnsiTheme="minorHAnsi" w:cstheme="minorHAnsi"/>
          <w:lang w:eastAsia="zh-CN"/>
        </w:rPr>
      </w:pPr>
      <w:r>
        <w:rPr>
          <w:rFonts w:asciiTheme="minorHAnsi" w:hAnsiTheme="minorHAnsi" w:cstheme="minorHAnsi"/>
        </w:rPr>
        <w:lastRenderedPageBreak/>
        <w:t>5 Conclusions</w:t>
      </w:r>
    </w:p>
    <w:p w14:paraId="484D3272" w14:textId="3F5647CC" w:rsidR="000A29B4" w:rsidRDefault="000F3622">
      <w:pPr>
        <w:pStyle w:val="Text"/>
        <w:rPr>
          <w:rFonts w:asciiTheme="minorHAnsi" w:hAnsiTheme="minorHAnsi" w:cstheme="minorHAnsi"/>
          <w:lang w:eastAsia="zh-CN"/>
        </w:rPr>
      </w:pPr>
      <w:r w:rsidRPr="000F3622">
        <w:rPr>
          <w:rFonts w:asciiTheme="minorHAnsi" w:hAnsiTheme="minorHAnsi" w:cstheme="minorHAnsi"/>
          <w:lang w:eastAsia="zh-CN"/>
        </w:rPr>
        <w:t>This study finds that 10-m surface-layer wind speed maintains a stronger correlation with farm-scale power than hub-height wind speed under wake-influenced conditions, explains the physical mechanisms underlying this observation, and proposes an extended profile forecasting approach grounded in this understanding</w:t>
      </w:r>
      <w:r w:rsidR="0093274C">
        <w:rPr>
          <w:rFonts w:asciiTheme="minorHAnsi" w:hAnsiTheme="minorHAnsi" w:cstheme="minorHAnsi"/>
          <w:lang w:eastAsia="zh-CN"/>
        </w:rPr>
        <w:t xml:space="preserve">. </w:t>
      </w:r>
      <w:r w:rsidR="00817B6F" w:rsidRPr="00817B6F">
        <w:rPr>
          <w:rFonts w:asciiTheme="minorHAnsi" w:hAnsiTheme="minorHAnsi" w:cstheme="minorHAnsi"/>
          <w:lang w:eastAsia="zh-CN"/>
        </w:rPr>
        <w:t>While REWS approaches recognize the importance of vertical structure, this study establishes that the relevant profile must extend below the rotor-swept layer under certain flow conditions.</w:t>
      </w:r>
    </w:p>
    <w:p w14:paraId="78F36D64" w14:textId="6498FA2A" w:rsidR="000A29B4" w:rsidRDefault="0093274C">
      <w:pPr>
        <w:pStyle w:val="Text"/>
        <w:rPr>
          <w:rFonts w:asciiTheme="minorHAnsi" w:hAnsiTheme="minorHAnsi" w:cstheme="minorHAnsi"/>
          <w:lang w:eastAsia="zh-CN"/>
        </w:rPr>
      </w:pPr>
      <w:r>
        <w:rPr>
          <w:rFonts w:asciiTheme="minorHAnsi" w:hAnsiTheme="minorHAnsi" w:cstheme="minorHAnsi"/>
          <w:lang w:eastAsia="zh-CN"/>
        </w:rPr>
        <w:t xml:space="preserve">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w:t>
      </w:r>
      <w:r w:rsidR="00D24F8C" w:rsidRPr="00D24F8C">
        <w:rPr>
          <w:rFonts w:asciiTheme="minorHAnsi" w:hAnsiTheme="minorHAnsi" w:cstheme="minorHAnsi"/>
          <w:lang w:eastAsia="zh-CN"/>
        </w:rPr>
        <w:t>Under wake-influenced conditions, the 10-m level remains largely unaffected by wakes and serves as a key indicator of overall inflow profile intensity.</w:t>
      </w:r>
      <w:r w:rsidR="00D24F8C">
        <w:rPr>
          <w:rFonts w:asciiTheme="minorHAnsi" w:hAnsiTheme="minorHAnsi" w:cstheme="minorHAnsi"/>
          <w:lang w:eastAsia="zh-CN"/>
        </w:rPr>
        <w:t xml:space="preserve"> </w:t>
      </w:r>
      <w:r w:rsidR="0038558D" w:rsidRPr="0038558D">
        <w:rPr>
          <w:rFonts w:asciiTheme="minorHAnsi" w:hAnsiTheme="minorHAnsi" w:cstheme="minorHAnsi"/>
          <w:lang w:eastAsia="zh-CN"/>
        </w:rPr>
        <w:t>Scale-resolved analysis reveals that wind speeds vary coherently across the vertical column at synoptic timescales over flat terrain.</w:t>
      </w:r>
      <w:r w:rsidR="0038558D">
        <w:rPr>
          <w:rFonts w:asciiTheme="minorHAnsi" w:hAnsiTheme="minorHAnsi" w:cstheme="minorHAnsi"/>
          <w:lang w:eastAsia="zh-CN"/>
        </w:rPr>
        <w:t xml:space="preserve"> </w:t>
      </w:r>
      <w:r w:rsidR="00AF0877" w:rsidRPr="00AF0877">
        <w:rPr>
          <w:rFonts w:asciiTheme="minorHAnsi" w:hAnsiTheme="minorHAnsi" w:cstheme="minorHAnsi"/>
          <w:lang w:eastAsia="zh-CN"/>
        </w:rPr>
        <w:t>EOF analysis shows that a single mode captures over 93% of vertical variance, enabling 10-m wind to serve as a consistent scaling factor for inflow profile intensity.</w:t>
      </w:r>
      <w:r>
        <w:rPr>
          <w:rFonts w:asciiTheme="minorHAnsi" w:hAnsiTheme="minorHAnsi" w:cstheme="minorHAnsi"/>
          <w:lang w:eastAsia="zh-CN"/>
        </w:rPr>
        <w:t xml:space="preserve"> Through this mechanism, near-surface observations provide a reliable reference for the atmospheric state driving power potential, even when rotor-layer measurements are degraded by wake effects.</w:t>
      </w:r>
    </w:p>
    <w:p w14:paraId="405F2867" w14:textId="1764CF95" w:rsidR="000A29B4" w:rsidRPr="002F1643" w:rsidRDefault="00CC04F6" w:rsidP="002F1643">
      <w:pPr>
        <w:pStyle w:val="Text"/>
        <w:rPr>
          <w:rFonts w:asciiTheme="minorHAnsi" w:hAnsiTheme="minorHAnsi" w:cstheme="minorHAnsi"/>
          <w:lang w:eastAsia="zh-CN"/>
        </w:rPr>
      </w:pPr>
      <w:r w:rsidRPr="00CC04F6">
        <w:rPr>
          <w:rFonts w:asciiTheme="minorHAnsi" w:hAnsiTheme="minorHAnsi" w:cstheme="minorHAnsi"/>
          <w:lang w:eastAsia="zh-CN"/>
        </w:rPr>
        <w:t>Building on this physical understanding, the extended profile representation integrates surface-layer and rotor-layer wind information to improve power reconstruction accuracy. When further combined with regime-specific feature selection, a wind-direction-aware strategy yields systematic improvements in</w:t>
      </w:r>
      <w:r>
        <w:rPr>
          <w:rFonts w:asciiTheme="minorHAnsi" w:hAnsiTheme="minorHAnsi" w:cstheme="minorHAnsi"/>
          <w:lang w:eastAsia="zh-CN"/>
        </w:rPr>
        <w:t xml:space="preserve"> NWP-driven day-ahead forecasts</w:t>
      </w:r>
      <w:r w:rsidR="0093274C">
        <w:rPr>
          <w:rFonts w:asciiTheme="minorHAnsi" w:hAnsiTheme="minorHAnsi" w:cstheme="minorHAnsi"/>
          <w:lang w:eastAsia="zh-CN"/>
        </w:rPr>
        <w:t xml:space="preserve">. </w:t>
      </w:r>
      <w:r w:rsidR="00AF0877" w:rsidRPr="00AF0877">
        <w:rPr>
          <w:rFonts w:asciiTheme="minorHAnsi" w:hAnsiTheme="minorHAnsi" w:cstheme="minorHAnsi"/>
          <w:lang w:eastAsia="zh-CN"/>
        </w:rPr>
        <w:t>These results indicate that input selection should follow governing atmospheric scales and flow regimes, not solely measurement height proximit</w:t>
      </w:r>
      <w:r w:rsidR="00AF0877">
        <w:rPr>
          <w:rFonts w:asciiTheme="minorHAnsi" w:hAnsiTheme="minorHAnsi" w:cstheme="minorHAnsi"/>
          <w:lang w:eastAsia="zh-CN"/>
        </w:rPr>
        <w:t>y to the rotor</w:t>
      </w:r>
      <w:r w:rsidR="00AB6AF9" w:rsidRPr="00AB6AF9">
        <w:rPr>
          <w:rFonts w:asciiTheme="minorHAnsi" w:hAnsiTheme="minorHAnsi" w:cstheme="minorHAnsi"/>
          <w:lang w:eastAsia="zh-CN"/>
        </w:rPr>
        <w:t>.</w:t>
      </w:r>
      <w:r w:rsidR="00AB6AF9">
        <w:rPr>
          <w:rFonts w:asciiTheme="minorHAnsi" w:hAnsiTheme="minorHAnsi" w:cstheme="minorHAnsi"/>
          <w:lang w:eastAsia="zh-CN"/>
        </w:rPr>
        <w:t xml:space="preserve"> </w:t>
      </w:r>
      <w:r w:rsidR="00EE1177" w:rsidRPr="00EE1177">
        <w:rPr>
          <w:rFonts w:asciiTheme="minorHAnsi" w:hAnsiTheme="minorHAnsi" w:cstheme="minorHAnsi"/>
          <w:lang w:eastAsia="zh-CN"/>
        </w:rPr>
        <w:t>Exploiting vertical coupling between surface and rotor layers—drawing on widely available surface-layer observations—provides a physically grounded pathway for improving farm-scale NWP-driven wind power forecasting.</w:t>
      </w:r>
    </w:p>
    <w:p w14:paraId="1D9DCB57" w14:textId="3391DE53"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Open Research</w:t>
      </w:r>
    </w:p>
    <w:p w14:paraId="7CBEE654" w14:textId="6ABBDA68" w:rsidR="000A29B4" w:rsidRDefault="0093274C" w:rsidP="00BA2F28">
      <w:pPr>
        <w:shd w:val="clear" w:color="auto" w:fill="FFFFFF"/>
        <w:spacing w:before="120"/>
        <w:ind w:firstLine="720"/>
        <w:rPr>
          <w:rFonts w:asciiTheme="minorHAnsi" w:eastAsia="Times New Roman" w:hAnsiTheme="minorHAnsi" w:cstheme="minorHAnsi"/>
          <w:sz w:val="24"/>
          <w:szCs w:val="24"/>
          <w:lang w:eastAsia="zh-CN"/>
        </w:rPr>
      </w:pPr>
      <w:r w:rsidRPr="000F3E71">
        <w:rPr>
          <w:rFonts w:asciiTheme="minorHAnsi" w:eastAsia="Times New Roman" w:hAnsiTheme="minorHAnsi" w:cstheme="minorHAnsi"/>
          <w:color w:val="262626"/>
          <w:sz w:val="24"/>
          <w:szCs w:val="24"/>
        </w:rPr>
        <w:t>The</w:t>
      </w:r>
      <w:r w:rsidRPr="000F3E71">
        <w:rPr>
          <w:rFonts w:asciiTheme="minorHAnsi" w:eastAsia="Times New Roman" w:hAnsiTheme="minorHAnsi" w:cstheme="minorHAnsi"/>
          <w:sz w:val="24"/>
          <w:szCs w:val="24"/>
          <w:lang w:eastAsia="zh-CN"/>
        </w:rPr>
        <w:t xml:space="preserve"> observational wind speed and power data, together with the EC-WRF and GFS-WRF dynamical downscaling outputs used in this study, are archived at </w:t>
      </w:r>
      <w:proofErr w:type="spellStart"/>
      <w:r w:rsidRPr="000F3E71">
        <w:rPr>
          <w:rFonts w:asciiTheme="minorHAnsi" w:eastAsia="Times New Roman" w:hAnsiTheme="minorHAnsi" w:cstheme="minorHAnsi"/>
          <w:sz w:val="24"/>
          <w:szCs w:val="24"/>
          <w:lang w:eastAsia="zh-CN"/>
        </w:rPr>
        <w:t>Zenodo</w:t>
      </w:r>
      <w:proofErr w:type="spellEnd"/>
      <w:r w:rsidRPr="000F3E71">
        <w:rPr>
          <w:rFonts w:asciiTheme="minorHAnsi" w:eastAsia="Times New Roman" w:hAnsiTheme="minorHAnsi" w:cstheme="minorHAnsi"/>
          <w:sz w:val="24"/>
          <w:szCs w:val="24"/>
          <w:lang w:eastAsia="zh-CN"/>
        </w:rPr>
        <w:t xml:space="preserve"> (</w:t>
      </w:r>
      <w:hyperlink r:id="rId16" w:history="1">
        <w:r w:rsidRPr="000F3E71">
          <w:rPr>
            <w:rStyle w:val="af3"/>
            <w:rFonts w:asciiTheme="minorHAnsi" w:eastAsia="Times New Roman" w:hAnsiTheme="minorHAnsi" w:cstheme="minorHAnsi"/>
            <w:sz w:val="24"/>
            <w:szCs w:val="24"/>
            <w:lang w:eastAsia="zh-CN"/>
          </w:rPr>
          <w:t>https://doi.org/10.5281/zenodo.18671960</w:t>
        </w:r>
      </w:hyperlink>
      <w:r w:rsidRPr="000F3E71">
        <w:rPr>
          <w:rFonts w:asciiTheme="minorHAnsi" w:eastAsia="Times New Roman" w:hAnsiTheme="minorHAnsi" w:cstheme="minorHAnsi"/>
          <w:sz w:val="24"/>
          <w:szCs w:val="24"/>
          <w:lang w:eastAsia="zh-CN"/>
        </w:rPr>
        <w:t>). The analysis and visualization code is publicly available at GitHub (</w:t>
      </w:r>
      <w:hyperlink r:id="rId17" w:history="1">
        <w:r w:rsidRPr="000F3E71">
          <w:rPr>
            <w:rStyle w:val="af3"/>
            <w:rFonts w:asciiTheme="minorHAnsi" w:eastAsia="Times New Roman" w:hAnsiTheme="minorHAnsi" w:cstheme="minorHAnsi"/>
            <w:sz w:val="24"/>
            <w:szCs w:val="24"/>
            <w:lang w:eastAsia="zh-CN"/>
          </w:rPr>
          <w:t>https://github.com/Xiax24/ExtendedProfile-WindPower-Forecasting</w:t>
        </w:r>
      </w:hyperlink>
      <w:r w:rsidRPr="000F3E71">
        <w:rPr>
          <w:rFonts w:asciiTheme="minorHAnsi" w:eastAsia="Times New Roman" w:hAnsiTheme="minorHAnsi" w:cstheme="minorHAnsi"/>
          <w:sz w:val="24"/>
          <w:szCs w:val="24"/>
          <w:lang w:eastAsia="zh-CN"/>
        </w:rPr>
        <w:t xml:space="preserve">). ECMWF IFS HRES forecasts are publicly available from </w:t>
      </w:r>
      <w:hyperlink r:id="rId18" w:history="1">
        <w:r w:rsidRPr="000F3E71">
          <w:rPr>
            <w:rStyle w:val="af3"/>
            <w:rFonts w:asciiTheme="minorHAnsi" w:eastAsia="Times New Roman" w:hAnsiTheme="minorHAnsi" w:cstheme="minorHAnsi"/>
            <w:sz w:val="24"/>
            <w:szCs w:val="24"/>
            <w:lang w:eastAsia="zh-CN"/>
          </w:rPr>
          <w:t>https://www.ecmwf.int/en/forecasts/datasets/set-i</w:t>
        </w:r>
      </w:hyperlink>
      <w:r w:rsidRPr="000F3E71">
        <w:rPr>
          <w:rFonts w:asciiTheme="minorHAnsi" w:eastAsia="Times New Roman" w:hAnsiTheme="minorHAnsi" w:cstheme="minorHAnsi"/>
          <w:sz w:val="24"/>
          <w:szCs w:val="24"/>
          <w:lang w:eastAsia="zh-CN"/>
        </w:rPr>
        <w:t xml:space="preserve">. NCEP GFS forecasts are publicly accessible from </w:t>
      </w:r>
      <w:hyperlink r:id="rId19" w:history="1">
        <w:r w:rsidRPr="000F3E71">
          <w:rPr>
            <w:rStyle w:val="af3"/>
            <w:rFonts w:asciiTheme="minorHAnsi" w:eastAsia="Times New Roman" w:hAnsiTheme="minorHAnsi" w:cstheme="minorHAnsi"/>
            <w:sz w:val="24"/>
            <w:szCs w:val="24"/>
            <w:lang w:eastAsia="zh-CN"/>
          </w:rPr>
          <w:t>https://www.ncei.noaa.gov/products/weather-climate-models/global-forecast</w:t>
        </w:r>
      </w:hyperlink>
      <w:r w:rsidRPr="000F3E71">
        <w:rPr>
          <w:rFonts w:asciiTheme="minorHAnsi" w:eastAsia="Times New Roman" w:hAnsiTheme="minorHAnsi" w:cstheme="minorHAnsi"/>
          <w:sz w:val="24"/>
          <w:szCs w:val="24"/>
          <w:lang w:eastAsia="zh-CN"/>
        </w:rPr>
        <w:t xml:space="preserve">. The WRF model version 4.2 is openly accessible from </w:t>
      </w:r>
      <w:hyperlink r:id="rId20" w:history="1">
        <w:r w:rsidRPr="000F3E71">
          <w:rPr>
            <w:rStyle w:val="af3"/>
            <w:rFonts w:asciiTheme="minorHAnsi" w:eastAsia="Times New Roman" w:hAnsiTheme="minorHAnsi" w:cstheme="minorHAnsi"/>
            <w:sz w:val="24"/>
            <w:szCs w:val="24"/>
            <w:lang w:eastAsia="zh-CN"/>
          </w:rPr>
          <w:t>https://www2.mmm.ucar.edu/wrf/users/download/get_source.html</w:t>
        </w:r>
      </w:hyperlink>
      <w:r w:rsidRPr="000F3E71">
        <w:rPr>
          <w:rFonts w:asciiTheme="minorHAnsi" w:eastAsia="Times New Roman" w:hAnsiTheme="minorHAnsi" w:cstheme="minorHAnsi"/>
          <w:sz w:val="24"/>
          <w:szCs w:val="24"/>
          <w:lang w:eastAsia="zh-CN"/>
        </w:rPr>
        <w:t xml:space="preserve">. The </w:t>
      </w:r>
      <w:proofErr w:type="spellStart"/>
      <w:r w:rsidRPr="000F3E71">
        <w:rPr>
          <w:rFonts w:asciiTheme="minorHAnsi" w:eastAsia="Times New Roman" w:hAnsiTheme="minorHAnsi" w:cstheme="minorHAnsi"/>
          <w:sz w:val="24"/>
          <w:szCs w:val="24"/>
          <w:lang w:eastAsia="zh-CN"/>
        </w:rPr>
        <w:t>LightGBM</w:t>
      </w:r>
      <w:proofErr w:type="spellEnd"/>
      <w:r w:rsidRPr="000F3E71">
        <w:rPr>
          <w:rFonts w:asciiTheme="minorHAnsi" w:eastAsia="Times New Roman" w:hAnsiTheme="minorHAnsi" w:cstheme="minorHAnsi"/>
          <w:sz w:val="24"/>
          <w:szCs w:val="24"/>
          <w:lang w:eastAsia="zh-CN"/>
        </w:rPr>
        <w:t xml:space="preserve"> package used for machine learning experiments is available from </w:t>
      </w:r>
      <w:hyperlink r:id="rId21" w:history="1">
        <w:r w:rsidRPr="000F3E71">
          <w:rPr>
            <w:rStyle w:val="af3"/>
            <w:rFonts w:asciiTheme="minorHAnsi" w:eastAsia="Times New Roman" w:hAnsiTheme="minorHAnsi" w:cstheme="minorHAnsi"/>
            <w:sz w:val="24"/>
            <w:szCs w:val="24"/>
            <w:lang w:eastAsia="zh-CN"/>
          </w:rPr>
          <w:t>https://github.com/microsoft/LightGBM</w:t>
        </w:r>
      </w:hyperlink>
      <w:r w:rsidRPr="000F3E71">
        <w:rPr>
          <w:rFonts w:asciiTheme="minorHAnsi" w:eastAsia="Times New Roman" w:hAnsiTheme="minorHAnsi" w:cstheme="minorHAnsi"/>
          <w:sz w:val="24"/>
          <w:szCs w:val="24"/>
          <w:lang w:eastAsia="zh-CN"/>
        </w:rPr>
        <w:t>.</w:t>
      </w:r>
    </w:p>
    <w:p w14:paraId="429721DF"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Conflict of Interest Disclosure</w:t>
      </w:r>
    </w:p>
    <w:p w14:paraId="5373615E" w14:textId="76D4AF21" w:rsidR="000A29B4" w:rsidRDefault="0093274C" w:rsidP="00BA2F28">
      <w:pPr>
        <w:pStyle w:val="Text"/>
        <w:rPr>
          <w:rFonts w:asciiTheme="minorHAnsi" w:hAnsiTheme="minorHAnsi" w:cstheme="minorHAnsi"/>
          <w:lang w:eastAsia="zh-CN"/>
        </w:rPr>
      </w:pPr>
      <w:r w:rsidRPr="000F3E71">
        <w:rPr>
          <w:rFonts w:asciiTheme="minorHAnsi" w:hAnsiTheme="minorHAnsi" w:cstheme="minorHAnsi"/>
          <w:lang w:eastAsia="zh-CN"/>
        </w:rPr>
        <w:t>The authors declare there are no conflicts of interest for this manuscript.</w:t>
      </w:r>
    </w:p>
    <w:p w14:paraId="56329083" w14:textId="57971222" w:rsidR="0095183A" w:rsidRDefault="0095183A" w:rsidP="0095183A">
      <w:pPr>
        <w:pStyle w:val="Heading-Main"/>
        <w:rPr>
          <w:rFonts w:asciiTheme="minorHAnsi" w:hAnsiTheme="minorHAnsi" w:cstheme="minorHAnsi"/>
          <w:lang w:eastAsia="zh-CN"/>
        </w:rPr>
      </w:pPr>
      <w:r>
        <w:rPr>
          <w:rFonts w:asciiTheme="minorHAnsi" w:hAnsiTheme="minorHAnsi" w:cstheme="minorHAnsi" w:hint="eastAsia"/>
          <w:lang w:eastAsia="zh-CN"/>
        </w:rPr>
        <w:lastRenderedPageBreak/>
        <w:t>Au</w:t>
      </w:r>
      <w:r>
        <w:rPr>
          <w:rFonts w:asciiTheme="minorHAnsi" w:hAnsiTheme="minorHAnsi" w:cstheme="minorHAnsi"/>
          <w:lang w:eastAsia="zh-CN"/>
        </w:rPr>
        <w:t>thor contribution</w:t>
      </w:r>
    </w:p>
    <w:p w14:paraId="265F5C40" w14:textId="63AEDC7A" w:rsidR="0095183A" w:rsidRPr="00BA2F28" w:rsidRDefault="005D6F00" w:rsidP="005D6F00">
      <w:pPr>
        <w:pStyle w:val="Text"/>
        <w:rPr>
          <w:rFonts w:asciiTheme="minorHAnsi" w:hAnsiTheme="minorHAnsi" w:cstheme="minorHAnsi"/>
          <w:lang w:eastAsia="zh-CN"/>
        </w:rPr>
      </w:pPr>
      <w:r w:rsidRPr="005D6F00">
        <w:rPr>
          <w:rFonts w:asciiTheme="minorHAnsi" w:hAnsiTheme="minorHAnsi" w:cstheme="minorHAnsi"/>
          <w:b/>
          <w:bCs/>
          <w:lang w:eastAsia="zh-CN"/>
        </w:rPr>
        <w:t>Xin Xia:</w:t>
      </w:r>
      <w:r w:rsidRPr="005D6F00">
        <w:rPr>
          <w:rFonts w:asciiTheme="minorHAnsi" w:hAnsiTheme="minorHAnsi" w:cstheme="minorHAnsi"/>
          <w:lang w:eastAsia="zh-CN"/>
        </w:rPr>
        <w:t xml:space="preserve"> Writing – original draft, Writing – review &amp; editing, Conceptualization, Data curation, Formal analysis, Methodology, Visualization. </w:t>
      </w:r>
      <w:r w:rsidRPr="00C70851">
        <w:rPr>
          <w:rFonts w:asciiTheme="minorHAnsi" w:hAnsiTheme="minorHAnsi" w:cstheme="minorHAnsi"/>
          <w:b/>
          <w:bCs/>
          <w:lang w:eastAsia="zh-CN"/>
        </w:rPr>
        <w:t xml:space="preserve">Yong Luo: </w:t>
      </w:r>
      <w:r w:rsidRPr="005D6F00">
        <w:rPr>
          <w:rFonts w:asciiTheme="minorHAnsi" w:hAnsiTheme="minorHAnsi" w:cstheme="minorHAnsi"/>
          <w:lang w:eastAsia="zh-CN"/>
        </w:rPr>
        <w:t xml:space="preserve">Writing – review &amp; editing, Data curation, Resources, Validation, Supervision. </w:t>
      </w:r>
      <w:r w:rsidRPr="005D6F00">
        <w:rPr>
          <w:rFonts w:asciiTheme="minorHAnsi" w:hAnsiTheme="minorHAnsi" w:cstheme="minorHAnsi"/>
          <w:b/>
          <w:bCs/>
          <w:lang w:eastAsia="zh-CN"/>
        </w:rPr>
        <w:t>Rui Chang:</w:t>
      </w:r>
      <w:r w:rsidRPr="005D6F00">
        <w:rPr>
          <w:rFonts w:asciiTheme="minorHAnsi" w:hAnsiTheme="minorHAnsi" w:cstheme="minorHAnsi"/>
          <w:lang w:eastAsia="zh-CN"/>
        </w:rPr>
        <w:t xml:space="preserve"> Validation, Data Curation. </w:t>
      </w:r>
      <w:r w:rsidRPr="005D6F00">
        <w:rPr>
          <w:rFonts w:asciiTheme="minorHAnsi" w:hAnsiTheme="minorHAnsi" w:cstheme="minorHAnsi"/>
          <w:b/>
          <w:bCs/>
          <w:lang w:eastAsia="zh-CN"/>
        </w:rPr>
        <w:t xml:space="preserve">Martin </w:t>
      </w:r>
      <w:proofErr w:type="spellStart"/>
      <w:r w:rsidRPr="005D6F00">
        <w:rPr>
          <w:rFonts w:asciiTheme="minorHAnsi" w:hAnsiTheme="minorHAnsi" w:cstheme="minorHAnsi"/>
          <w:b/>
          <w:bCs/>
          <w:lang w:eastAsia="zh-CN"/>
        </w:rPr>
        <w:t>Dörenkämper</w:t>
      </w:r>
      <w:proofErr w:type="spellEnd"/>
      <w:r w:rsidRPr="005D6F00">
        <w:rPr>
          <w:rFonts w:asciiTheme="minorHAnsi" w:hAnsiTheme="minorHAnsi" w:cstheme="minorHAnsi"/>
          <w:b/>
          <w:bCs/>
          <w:lang w:eastAsia="zh-CN"/>
        </w:rPr>
        <w:t>:</w:t>
      </w:r>
      <w:r w:rsidRPr="005D6F00">
        <w:rPr>
          <w:rFonts w:asciiTheme="minorHAnsi" w:hAnsiTheme="minorHAnsi" w:cstheme="minorHAnsi"/>
          <w:lang w:eastAsia="zh-CN"/>
        </w:rPr>
        <w:t xml:space="preserve"> Writing – review &amp; editing, Validation. </w:t>
      </w:r>
      <w:r w:rsidRPr="005D6F00">
        <w:rPr>
          <w:rFonts w:asciiTheme="minorHAnsi" w:hAnsiTheme="minorHAnsi" w:cstheme="minorHAnsi"/>
          <w:b/>
          <w:bCs/>
          <w:lang w:eastAsia="zh-CN"/>
        </w:rPr>
        <w:t>Rong Zhu:</w:t>
      </w:r>
      <w:r w:rsidRPr="005D6F00">
        <w:rPr>
          <w:rFonts w:asciiTheme="minorHAnsi" w:hAnsiTheme="minorHAnsi" w:cstheme="minorHAnsi"/>
          <w:lang w:eastAsia="zh-CN"/>
        </w:rPr>
        <w:t xml:space="preserve"> Conceptualization, Validation. </w:t>
      </w:r>
      <w:r w:rsidRPr="005D6F00">
        <w:rPr>
          <w:rFonts w:asciiTheme="minorHAnsi" w:hAnsiTheme="minorHAnsi" w:cstheme="minorHAnsi"/>
          <w:b/>
          <w:bCs/>
          <w:lang w:eastAsia="zh-CN"/>
        </w:rPr>
        <w:t>Kun Yang:</w:t>
      </w:r>
      <w:r w:rsidRPr="005D6F00">
        <w:rPr>
          <w:rFonts w:asciiTheme="minorHAnsi" w:hAnsiTheme="minorHAnsi" w:cstheme="minorHAnsi"/>
          <w:lang w:eastAsia="zh-CN"/>
        </w:rPr>
        <w:t xml:space="preserve"> Writing – review &amp; editing, Validation. </w:t>
      </w:r>
      <w:proofErr w:type="spellStart"/>
      <w:r w:rsidRPr="005D6F00">
        <w:rPr>
          <w:rFonts w:asciiTheme="minorHAnsi" w:hAnsiTheme="minorHAnsi" w:cstheme="minorHAnsi"/>
          <w:b/>
          <w:bCs/>
          <w:lang w:eastAsia="zh-CN"/>
        </w:rPr>
        <w:t>Peidu</w:t>
      </w:r>
      <w:proofErr w:type="spellEnd"/>
      <w:r w:rsidRPr="005D6F00">
        <w:rPr>
          <w:rFonts w:asciiTheme="minorHAnsi" w:hAnsiTheme="minorHAnsi" w:cstheme="minorHAnsi"/>
          <w:b/>
          <w:bCs/>
          <w:lang w:eastAsia="zh-CN"/>
        </w:rPr>
        <w:t xml:space="preserve"> Li:</w:t>
      </w:r>
      <w:r w:rsidRPr="005D6F00">
        <w:rPr>
          <w:rFonts w:asciiTheme="minorHAnsi" w:hAnsiTheme="minorHAnsi" w:cstheme="minorHAnsi"/>
          <w:lang w:eastAsia="zh-CN"/>
        </w:rPr>
        <w:t xml:space="preserve"> Software, Visualization.</w:t>
      </w:r>
      <w:r w:rsidR="00B31A30" w:rsidRPr="00B31A30">
        <w:rPr>
          <w:rFonts w:asciiTheme="minorHAnsi" w:hAnsiTheme="minorHAnsi" w:cstheme="minorHAnsi"/>
          <w:b/>
          <w:bCs/>
          <w:lang w:eastAsia="zh-CN"/>
        </w:rPr>
        <w:t xml:space="preserve"> </w:t>
      </w:r>
      <w:r w:rsidR="00B31A30">
        <w:rPr>
          <w:rFonts w:asciiTheme="minorHAnsi" w:hAnsiTheme="minorHAnsi" w:cstheme="minorHAnsi"/>
          <w:b/>
          <w:bCs/>
          <w:lang w:eastAsia="zh-CN"/>
        </w:rPr>
        <w:t>Xiaoli Zhang</w:t>
      </w:r>
      <w:r w:rsidR="00B31A30" w:rsidRPr="005D6F00">
        <w:rPr>
          <w:rFonts w:asciiTheme="minorHAnsi" w:hAnsiTheme="minorHAnsi" w:cstheme="minorHAnsi"/>
          <w:b/>
          <w:bCs/>
          <w:lang w:eastAsia="zh-CN"/>
        </w:rPr>
        <w:t>:</w:t>
      </w:r>
      <w:r w:rsidR="00B31A30" w:rsidRPr="005D6F00">
        <w:rPr>
          <w:rFonts w:asciiTheme="minorHAnsi" w:hAnsiTheme="minorHAnsi" w:cstheme="minorHAnsi"/>
          <w:lang w:eastAsia="zh-CN"/>
        </w:rPr>
        <w:t xml:space="preserve"> Validation.</w:t>
      </w:r>
    </w:p>
    <w:p w14:paraId="0C6B3562" w14:textId="77777777" w:rsidR="000A29B4" w:rsidRDefault="0093274C" w:rsidP="000F3E71">
      <w:pPr>
        <w:pStyle w:val="Heading-Main"/>
        <w:rPr>
          <w:rFonts w:asciiTheme="minorHAnsi" w:hAnsiTheme="minorHAnsi" w:cstheme="minorHAnsi"/>
          <w:lang w:eastAsia="zh-CN"/>
        </w:rPr>
      </w:pPr>
      <w:r w:rsidRPr="000F3E71">
        <w:rPr>
          <w:rFonts w:asciiTheme="minorHAnsi" w:hAnsiTheme="minorHAnsi" w:cstheme="minorHAnsi"/>
          <w:lang w:eastAsia="zh-CN"/>
        </w:rPr>
        <w:t>References</w:t>
      </w:r>
    </w:p>
    <w:p w14:paraId="07EBA91A" w14:textId="77777777" w:rsidR="000A29B4" w:rsidRDefault="0093274C">
      <w:pPr>
        <w:pStyle w:val="11"/>
        <w:rPr>
          <w:rFonts w:ascii="Calibri" w:hAnsi="Calibri" w:cs="Calibri"/>
          <w:sz w:val="24"/>
        </w:rPr>
      </w:pPr>
      <w:r>
        <w:rPr>
          <w:rFonts w:asciiTheme="minorHAnsi" w:eastAsia="Times New Roman" w:hAnsiTheme="minorHAnsi" w:cstheme="minorHAnsi"/>
          <w:color w:val="262626"/>
        </w:rPr>
        <w:fldChar w:fldCharType="begin"/>
      </w:r>
      <w:r>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Pr>
          <w:rFonts w:ascii="Calibri" w:hAnsi="Calibri" w:cs="Calibri"/>
          <w:sz w:val="24"/>
        </w:rPr>
        <w:t xml:space="preserve">Abkar, M., &amp; Porté-Agel, F. (2015). Influence of atmospheric stability on wind-turbine wakes: a large-eddy simulation study. </w:t>
      </w:r>
      <w:r>
        <w:rPr>
          <w:rFonts w:ascii="Calibri" w:hAnsi="Calibri" w:cs="Calibri"/>
          <w:i/>
          <w:iCs/>
          <w:sz w:val="24"/>
        </w:rPr>
        <w:t>Physics of Fluids</w:t>
      </w:r>
      <w:r>
        <w:rPr>
          <w:rFonts w:ascii="Calibri" w:hAnsi="Calibri" w:cs="Calibri"/>
          <w:sz w:val="24"/>
        </w:rPr>
        <w:t xml:space="preserve">, </w:t>
      </w:r>
      <w:r>
        <w:rPr>
          <w:rFonts w:ascii="Calibri" w:hAnsi="Calibri" w:cs="Calibri"/>
          <w:i/>
          <w:iCs/>
          <w:sz w:val="24"/>
        </w:rPr>
        <w:t>27</w:t>
      </w:r>
      <w:r>
        <w:rPr>
          <w:rFonts w:ascii="Calibri" w:hAnsi="Calibri" w:cs="Calibri"/>
          <w:sz w:val="24"/>
        </w:rPr>
        <w:t>(3), 035104. https://doi.org/10.1063/1.4913695</w:t>
      </w:r>
    </w:p>
    <w:p w14:paraId="76C2FC45" w14:textId="77777777" w:rsidR="000A29B4" w:rsidRDefault="0093274C">
      <w:pPr>
        <w:pStyle w:val="11"/>
        <w:rPr>
          <w:rFonts w:ascii="Calibri" w:hAnsi="Calibri" w:cs="Calibri"/>
          <w:sz w:val="24"/>
        </w:rPr>
      </w:pPr>
      <w:r>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10</w:t>
      </w:r>
      <w:r>
        <w:rPr>
          <w:rFonts w:ascii="Calibri" w:hAnsi="Calibri" w:cs="Calibri"/>
          <w:sz w:val="24"/>
        </w:rPr>
        <w:t>(6), 517–528. https://doi.org/10.1002/we.238</w:t>
      </w:r>
    </w:p>
    <w:p w14:paraId="3154DB41" w14:textId="77777777" w:rsidR="000A29B4" w:rsidRDefault="0093274C">
      <w:pPr>
        <w:pStyle w:val="11"/>
        <w:rPr>
          <w:rFonts w:ascii="Calibri" w:hAnsi="Calibri" w:cs="Calibri"/>
          <w:sz w:val="24"/>
        </w:rPr>
      </w:pPr>
      <w:r>
        <w:rPr>
          <w:rFonts w:ascii="Calibri" w:hAnsi="Calibri" w:cs="Calibri"/>
          <w:sz w:val="24"/>
        </w:rPr>
        <w:t xml:space="preserve">Barthelmie, R. J., Pryor, S. C., Frandsen, S. T., Hansen, K. S., Schepers, J. G., Rados, K., et al. (2010). Quantifying the impact of wind turbine wakes on power output at offshore wind farms. </w:t>
      </w:r>
      <w:r>
        <w:rPr>
          <w:rFonts w:ascii="Calibri" w:hAnsi="Calibri" w:cs="Calibri"/>
          <w:i/>
          <w:iCs/>
          <w:sz w:val="24"/>
        </w:rPr>
        <w:t>Journal of Atmospheric and Oceanic Technology</w:t>
      </w:r>
      <w:r>
        <w:rPr>
          <w:rFonts w:ascii="Calibri" w:hAnsi="Calibri" w:cs="Calibri"/>
          <w:sz w:val="24"/>
        </w:rPr>
        <w:t xml:space="preserve">, </w:t>
      </w:r>
      <w:r>
        <w:rPr>
          <w:rFonts w:ascii="Calibri" w:hAnsi="Calibri" w:cs="Calibri"/>
          <w:i/>
          <w:iCs/>
          <w:sz w:val="24"/>
        </w:rPr>
        <w:t>27</w:t>
      </w:r>
      <w:r>
        <w:rPr>
          <w:rFonts w:ascii="Calibri" w:hAnsi="Calibri" w:cs="Calibri"/>
          <w:sz w:val="24"/>
        </w:rPr>
        <w:t>(8), 1302–1317. https://doi.org/10.1175/2010JTECHA1398.1</w:t>
      </w:r>
    </w:p>
    <w:p w14:paraId="1F6C0D94" w14:textId="77777777" w:rsidR="000A29B4" w:rsidRDefault="0093274C">
      <w:pPr>
        <w:pStyle w:val="11"/>
        <w:rPr>
          <w:rFonts w:ascii="Calibri" w:hAnsi="Calibri" w:cs="Calibri"/>
          <w:sz w:val="24"/>
        </w:rPr>
      </w:pPr>
      <w:r>
        <w:rPr>
          <w:rFonts w:ascii="Calibri" w:hAnsi="Calibri" w:cs="Calibri"/>
          <w:sz w:val="24"/>
        </w:rPr>
        <w:t xml:space="preserve">Bentsen, L. Ø., Warakagoda, N. D., Stenbro, R., &amp; Engelstad, P. (2023). Spatio-temporal wind speed forecasting using graph networks and novel Transformer architectures.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333</w:t>
      </w:r>
      <w:r>
        <w:rPr>
          <w:rFonts w:ascii="Calibri" w:hAnsi="Calibri" w:cs="Calibri"/>
          <w:sz w:val="24"/>
        </w:rPr>
        <w:t>, 120565. https://doi.org/10.1016/j.apenergy.2022.120565</w:t>
      </w:r>
    </w:p>
    <w:p w14:paraId="0F51ACC0" w14:textId="77777777" w:rsidR="000A29B4" w:rsidRDefault="0093274C">
      <w:pPr>
        <w:pStyle w:val="11"/>
        <w:rPr>
          <w:rFonts w:ascii="Calibri" w:hAnsi="Calibri" w:cs="Calibri"/>
          <w:sz w:val="24"/>
        </w:rPr>
      </w:pPr>
      <w:r>
        <w:rPr>
          <w:rFonts w:ascii="Calibri" w:hAnsi="Calibri" w:cs="Calibri"/>
          <w:sz w:val="24"/>
        </w:rPr>
        <w:t xml:space="preserve">Cassola, F., &amp; Burlando, M. (2012). Wind speed and wind energy forecast through Kalman filtering of Numerical Weather Prediction model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99</w:t>
      </w:r>
      <w:r>
        <w:rPr>
          <w:rFonts w:ascii="Calibri" w:hAnsi="Calibri" w:cs="Calibri"/>
          <w:sz w:val="24"/>
        </w:rPr>
        <w:t>, 154–166. https://doi.org/10.1016/j.apenergy.2012.03.054</w:t>
      </w:r>
    </w:p>
    <w:p w14:paraId="4B5D0E40" w14:textId="77777777" w:rsidR="000A29B4" w:rsidRDefault="0093274C">
      <w:pPr>
        <w:pStyle w:val="11"/>
        <w:rPr>
          <w:rFonts w:ascii="Calibri" w:hAnsi="Calibri" w:cs="Calibri"/>
          <w:sz w:val="24"/>
        </w:rPr>
      </w:pPr>
      <w:r>
        <w:rPr>
          <w:rFonts w:ascii="Calibri" w:hAnsi="Calibri" w:cs="Calibri"/>
          <w:sz w:val="24"/>
        </w:rPr>
        <w:t xml:space="preserve">Che, Y., A. Salazar, A., Peng, S., Zheng, J., Chen, Y., &amp; Yuan, L. (2022). A multi-scale model for day-ahead wind speed forecasting: A case study of the Houhoku wind farm, Japan.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52</w:t>
      </w:r>
      <w:r>
        <w:rPr>
          <w:rFonts w:ascii="Calibri" w:hAnsi="Calibri" w:cs="Calibri"/>
          <w:sz w:val="24"/>
        </w:rPr>
        <w:t>, 101995. https://doi.org/10.1016/j.seta.2022.101995</w:t>
      </w:r>
    </w:p>
    <w:p w14:paraId="4BF8988C" w14:textId="77777777" w:rsidR="000A29B4" w:rsidRDefault="0093274C">
      <w:pPr>
        <w:pStyle w:val="11"/>
        <w:rPr>
          <w:rFonts w:ascii="Calibri" w:hAnsi="Calibri" w:cs="Calibri"/>
          <w:sz w:val="24"/>
        </w:rPr>
      </w:pPr>
      <w:r>
        <w:rPr>
          <w:rFonts w:ascii="Calibri" w:hAnsi="Calibri" w:cs="Calibri"/>
          <w:sz w:val="24"/>
        </w:rPr>
        <w:t xml:space="preserve">Chen, Y., &amp; Xu, J. (2022). Solar and wind power data from the Chinese State Grid Renewable Energy Generation Forecasting Competition. </w:t>
      </w:r>
      <w:r>
        <w:rPr>
          <w:rFonts w:ascii="Calibri" w:hAnsi="Calibri" w:cs="Calibri"/>
          <w:i/>
          <w:iCs/>
          <w:sz w:val="24"/>
        </w:rPr>
        <w:t>Scientific Data</w:t>
      </w:r>
      <w:r>
        <w:rPr>
          <w:rFonts w:ascii="Calibri" w:hAnsi="Calibri" w:cs="Calibri"/>
          <w:sz w:val="24"/>
        </w:rPr>
        <w:t xml:space="preserve">, </w:t>
      </w:r>
      <w:r>
        <w:rPr>
          <w:rFonts w:ascii="Calibri" w:hAnsi="Calibri" w:cs="Calibri"/>
          <w:i/>
          <w:iCs/>
          <w:sz w:val="24"/>
        </w:rPr>
        <w:t>9</w:t>
      </w:r>
      <w:r>
        <w:rPr>
          <w:rFonts w:ascii="Calibri" w:hAnsi="Calibri" w:cs="Calibri"/>
          <w:sz w:val="24"/>
        </w:rPr>
        <w:t>(1), 577. https://doi.org/10.1038/s41597-022-01696-6</w:t>
      </w:r>
    </w:p>
    <w:p w14:paraId="1B0110E6" w14:textId="77777777" w:rsidR="000A29B4" w:rsidRDefault="0093274C">
      <w:pPr>
        <w:pStyle w:val="11"/>
        <w:rPr>
          <w:rFonts w:ascii="Calibri" w:hAnsi="Calibri" w:cs="Calibri"/>
          <w:sz w:val="24"/>
        </w:rPr>
      </w:pPr>
      <w:r>
        <w:rPr>
          <w:rFonts w:ascii="Calibri" w:hAnsi="Calibri" w:cs="Calibri"/>
          <w:sz w:val="24"/>
        </w:rPr>
        <w:t xml:space="preserve">Clifton, A., Kilcher, L., Lundquist, J. K., &amp; Fleming, P. (2013). Using machine learning to predict wind turbine power output.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8</w:t>
      </w:r>
      <w:r>
        <w:rPr>
          <w:rFonts w:ascii="Calibri" w:hAnsi="Calibri" w:cs="Calibri"/>
          <w:sz w:val="24"/>
        </w:rPr>
        <w:t>(2), 024009. https://doi.org/10.1088/1748-9326/8/2/024009</w:t>
      </w:r>
    </w:p>
    <w:p w14:paraId="12F1F976" w14:textId="77777777" w:rsidR="000A29B4" w:rsidRDefault="0093274C">
      <w:pPr>
        <w:pStyle w:val="11"/>
        <w:rPr>
          <w:rFonts w:ascii="Calibri" w:hAnsi="Calibri" w:cs="Calibri"/>
          <w:sz w:val="24"/>
        </w:rPr>
      </w:pPr>
      <w:r>
        <w:rPr>
          <w:rFonts w:ascii="Calibri" w:hAnsi="Calibri" w:cs="Calibri"/>
          <w:sz w:val="24"/>
        </w:rPr>
        <w:t xml:space="preserve">Diebold, F. X., &amp; Mariano, R. S. (1995). Comparing Predictive Accuracy. </w:t>
      </w:r>
      <w:r>
        <w:rPr>
          <w:rFonts w:ascii="Calibri" w:hAnsi="Calibri" w:cs="Calibri"/>
          <w:i/>
          <w:iCs/>
          <w:sz w:val="24"/>
        </w:rPr>
        <w:t>Journal of Business &amp; Economic Statistics</w:t>
      </w:r>
      <w:r>
        <w:rPr>
          <w:rFonts w:ascii="Calibri" w:hAnsi="Calibri" w:cs="Calibri"/>
          <w:sz w:val="24"/>
        </w:rPr>
        <w:t xml:space="preserve">, </w:t>
      </w:r>
      <w:r>
        <w:rPr>
          <w:rFonts w:ascii="Calibri" w:hAnsi="Calibri" w:cs="Calibri"/>
          <w:i/>
          <w:iCs/>
          <w:sz w:val="24"/>
        </w:rPr>
        <w:t>13</w:t>
      </w:r>
      <w:r>
        <w:rPr>
          <w:rFonts w:ascii="Calibri" w:hAnsi="Calibri" w:cs="Calibri"/>
          <w:sz w:val="24"/>
        </w:rPr>
        <w:t>(3), 253–263. https://doi.org/10.1080/07350015.1995.10524599</w:t>
      </w:r>
    </w:p>
    <w:p w14:paraId="67FBD64B" w14:textId="77777777" w:rsidR="000A29B4" w:rsidRDefault="0093274C">
      <w:pPr>
        <w:pStyle w:val="11"/>
        <w:rPr>
          <w:rFonts w:ascii="Calibri" w:hAnsi="Calibri" w:cs="Calibri"/>
          <w:sz w:val="24"/>
        </w:rPr>
      </w:pPr>
      <w:r>
        <w:rPr>
          <w:rFonts w:ascii="Calibri" w:hAnsi="Calibri" w:cs="Calibri"/>
          <w:sz w:val="24"/>
        </w:rPr>
        <w:t xml:space="preserve">Feroz, R. M. A., Javed, A., Syed, A. H., Kazmi, S. A. A., &amp; Uddin, E. (2020). Wind speed and power forecasting of a utility-scale wind farm with inter-farm wake interference and seasonal variation. </w:t>
      </w:r>
      <w:r>
        <w:rPr>
          <w:rFonts w:ascii="Calibri" w:hAnsi="Calibri" w:cs="Calibri"/>
          <w:i/>
          <w:iCs/>
          <w:sz w:val="24"/>
        </w:rPr>
        <w:t>Sustainable Energy Technologies and Assessments</w:t>
      </w:r>
      <w:r>
        <w:rPr>
          <w:rFonts w:ascii="Calibri" w:hAnsi="Calibri" w:cs="Calibri"/>
          <w:sz w:val="24"/>
        </w:rPr>
        <w:t xml:space="preserve">, </w:t>
      </w:r>
      <w:r>
        <w:rPr>
          <w:rFonts w:ascii="Calibri" w:hAnsi="Calibri" w:cs="Calibri"/>
          <w:i/>
          <w:iCs/>
          <w:sz w:val="24"/>
        </w:rPr>
        <w:t>42</w:t>
      </w:r>
      <w:r>
        <w:rPr>
          <w:rFonts w:ascii="Calibri" w:hAnsi="Calibri" w:cs="Calibri"/>
          <w:sz w:val="24"/>
        </w:rPr>
        <w:t>, 100882. https://doi.org/10.1016/j.seta.2020.100882</w:t>
      </w:r>
    </w:p>
    <w:p w14:paraId="4358DE74" w14:textId="77777777" w:rsidR="000A29B4" w:rsidRDefault="0093274C">
      <w:pPr>
        <w:pStyle w:val="11"/>
        <w:rPr>
          <w:rFonts w:ascii="Calibri" w:hAnsi="Calibri" w:cs="Calibri"/>
          <w:sz w:val="24"/>
        </w:rPr>
      </w:pPr>
      <w:r>
        <w:rPr>
          <w:rFonts w:ascii="Calibri" w:hAnsi="Calibri" w:cs="Calibri"/>
          <w:sz w:val="24"/>
        </w:rPr>
        <w:lastRenderedPageBreak/>
        <w:t xml:space="preserve">Hanifi, S., Cammarono, A., &amp; Zare-Behtash, H. (2024). Advanced hyperparameter optimization of deep learning models for wind power prediction.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221</w:t>
      </w:r>
      <w:r>
        <w:rPr>
          <w:rFonts w:ascii="Calibri" w:hAnsi="Calibri" w:cs="Calibri"/>
          <w:sz w:val="24"/>
        </w:rPr>
        <w:t>, 119700. https://doi.org/10.1016/j.renene.2023.119700</w:t>
      </w:r>
    </w:p>
    <w:p w14:paraId="435ACE80" w14:textId="77777777" w:rsidR="000A29B4" w:rsidRDefault="0093274C">
      <w:pPr>
        <w:pStyle w:val="11"/>
        <w:rPr>
          <w:rFonts w:ascii="Calibri" w:hAnsi="Calibri" w:cs="Calibri"/>
          <w:sz w:val="24"/>
        </w:rPr>
      </w:pPr>
      <w:r>
        <w:rPr>
          <w:rFonts w:ascii="Calibri" w:hAnsi="Calibri" w:cs="Calibri"/>
          <w:sz w:val="24"/>
        </w:rPr>
        <w:t xml:space="preserve">Holttinen, H. (2005). Optimal electricity market for wind power. </w:t>
      </w:r>
      <w:r>
        <w:rPr>
          <w:rFonts w:ascii="Calibri" w:hAnsi="Calibri" w:cs="Calibri"/>
          <w:i/>
          <w:iCs/>
          <w:sz w:val="24"/>
        </w:rPr>
        <w:t>Energy Policy</w:t>
      </w:r>
      <w:r>
        <w:rPr>
          <w:rFonts w:ascii="Calibri" w:hAnsi="Calibri" w:cs="Calibri"/>
          <w:sz w:val="24"/>
        </w:rPr>
        <w:t xml:space="preserve">, </w:t>
      </w:r>
      <w:r>
        <w:rPr>
          <w:rFonts w:ascii="Calibri" w:hAnsi="Calibri" w:cs="Calibri"/>
          <w:i/>
          <w:iCs/>
          <w:sz w:val="24"/>
        </w:rPr>
        <w:t>33</w:t>
      </w:r>
      <w:r>
        <w:rPr>
          <w:rFonts w:ascii="Calibri" w:hAnsi="Calibri" w:cs="Calibri"/>
          <w:sz w:val="24"/>
        </w:rPr>
        <w:t>(16), 2052–2063. https://doi.org/10.1016/j.enpol.2004.04.001</w:t>
      </w:r>
    </w:p>
    <w:p w14:paraId="0DB0CD7C" w14:textId="77777777" w:rsidR="000A29B4" w:rsidRDefault="0093274C">
      <w:pPr>
        <w:pStyle w:val="11"/>
        <w:rPr>
          <w:rFonts w:ascii="Calibri" w:hAnsi="Calibri" w:cs="Calibri"/>
          <w:sz w:val="24"/>
        </w:rPr>
      </w:pPr>
      <w:r>
        <w:rPr>
          <w:rFonts w:ascii="Calibri" w:hAnsi="Calibri" w:cs="Calibri"/>
          <w:sz w:val="24"/>
        </w:rPr>
        <w:t xml:space="preserve">Ke, G., Meng, Q., Finley, T., Wang, T., Chen, W., Ma, W., et al. (2017). Lightgbm: a highly efficient gradient boosting decision tree.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52C7BE60" w14:textId="77777777" w:rsidR="000A29B4" w:rsidRDefault="0093274C">
      <w:pPr>
        <w:pStyle w:val="11"/>
        <w:rPr>
          <w:rFonts w:ascii="Calibri" w:hAnsi="Calibri" w:cs="Calibri"/>
          <w:sz w:val="24"/>
        </w:rPr>
      </w:pPr>
      <w:r>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Pr>
          <w:rFonts w:ascii="Calibri" w:hAnsi="Calibri" w:cs="Calibri"/>
          <w:i/>
          <w:iCs/>
          <w:sz w:val="24"/>
        </w:rPr>
        <w:t>Journal of Renewable and Sustainable Energy</w:t>
      </w:r>
      <w:r>
        <w:rPr>
          <w:rFonts w:ascii="Calibri" w:hAnsi="Calibri" w:cs="Calibri"/>
          <w:sz w:val="24"/>
        </w:rPr>
        <w:t xml:space="preserve">, </w:t>
      </w:r>
      <w:r>
        <w:rPr>
          <w:rFonts w:ascii="Calibri" w:hAnsi="Calibri" w:cs="Calibri"/>
          <w:i/>
          <w:iCs/>
          <w:sz w:val="24"/>
        </w:rPr>
        <w:t>15</w:t>
      </w:r>
      <w:r>
        <w:rPr>
          <w:rFonts w:ascii="Calibri" w:hAnsi="Calibri" w:cs="Calibri"/>
          <w:sz w:val="24"/>
        </w:rPr>
        <w:t>(1), 013307. https://doi.org/10.1063/5.0127519</w:t>
      </w:r>
    </w:p>
    <w:p w14:paraId="53DF48C8" w14:textId="77777777" w:rsidR="000A29B4" w:rsidRDefault="0093274C">
      <w:pPr>
        <w:pStyle w:val="11"/>
        <w:rPr>
          <w:rFonts w:ascii="Calibri" w:hAnsi="Calibri" w:cs="Calibri"/>
          <w:sz w:val="24"/>
        </w:rPr>
      </w:pPr>
      <w:r>
        <w:rPr>
          <w:rFonts w:ascii="Calibri" w:hAnsi="Calibri" w:cs="Calibri"/>
          <w:sz w:val="24"/>
        </w:rPr>
        <w:t xml:space="preserve">Liao, W., Fang, J., Ye, L., Bak-Jensen, B., Yang, Z., &amp; Porte-Agel, F. (2024). Can we trust explainable artificial intelligence in wind power forecasting?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376</w:t>
      </w:r>
      <w:r>
        <w:rPr>
          <w:rFonts w:ascii="Calibri" w:hAnsi="Calibri" w:cs="Calibri"/>
          <w:sz w:val="24"/>
        </w:rPr>
        <w:t>, 124273. https://doi.org/10.1016/j.apenergy.2024.124273</w:t>
      </w:r>
    </w:p>
    <w:p w14:paraId="37F80DAD" w14:textId="77777777" w:rsidR="000A29B4" w:rsidRDefault="0093274C">
      <w:pPr>
        <w:pStyle w:val="11"/>
        <w:rPr>
          <w:rFonts w:ascii="Calibri" w:hAnsi="Calibri" w:cs="Calibri"/>
          <w:sz w:val="24"/>
        </w:rPr>
      </w:pPr>
      <w:r>
        <w:rPr>
          <w:rFonts w:ascii="Calibri" w:hAnsi="Calibri" w:cs="Calibri"/>
          <w:sz w:val="24"/>
        </w:rPr>
        <w:t xml:space="preserve">Liu, H., &amp; Zhang, Z. (2024). Development and trending of deep learning methods for wind power predictions. </w:t>
      </w:r>
      <w:r>
        <w:rPr>
          <w:rFonts w:ascii="Calibri" w:hAnsi="Calibri" w:cs="Calibri"/>
          <w:i/>
          <w:iCs/>
          <w:sz w:val="24"/>
        </w:rPr>
        <w:t>Artificial Intelligence Review</w:t>
      </w:r>
      <w:r>
        <w:rPr>
          <w:rFonts w:ascii="Calibri" w:hAnsi="Calibri" w:cs="Calibri"/>
          <w:sz w:val="24"/>
        </w:rPr>
        <w:t xml:space="preserve">, </w:t>
      </w:r>
      <w:r>
        <w:rPr>
          <w:rFonts w:ascii="Calibri" w:hAnsi="Calibri" w:cs="Calibri"/>
          <w:i/>
          <w:iCs/>
          <w:sz w:val="24"/>
        </w:rPr>
        <w:t>57</w:t>
      </w:r>
      <w:r>
        <w:rPr>
          <w:rFonts w:ascii="Calibri" w:hAnsi="Calibri" w:cs="Calibri"/>
          <w:sz w:val="24"/>
        </w:rPr>
        <w:t>(5), 112. https://doi.org/10.1007/s10462-024-10728-z</w:t>
      </w:r>
    </w:p>
    <w:p w14:paraId="42318AB4" w14:textId="77777777" w:rsidR="000A29B4" w:rsidRDefault="0093274C">
      <w:pPr>
        <w:pStyle w:val="11"/>
        <w:rPr>
          <w:rFonts w:ascii="Calibri" w:hAnsi="Calibri" w:cs="Calibri"/>
          <w:sz w:val="24"/>
        </w:rPr>
      </w:pPr>
      <w:r>
        <w:rPr>
          <w:rFonts w:ascii="Calibri" w:hAnsi="Calibri" w:cs="Calibri"/>
          <w:sz w:val="24"/>
        </w:rPr>
        <w:t xml:space="preserve">Lundberg, S. M., &amp; Lee, S.-I. (2017). A unified approach to interpreting model predictions. </w:t>
      </w:r>
      <w:r>
        <w:rPr>
          <w:rFonts w:ascii="Calibri" w:hAnsi="Calibri" w:cs="Calibri"/>
          <w:i/>
          <w:iCs/>
          <w:sz w:val="24"/>
        </w:rPr>
        <w:t>Advances in Neural Information Processing Systems</w:t>
      </w:r>
      <w:r>
        <w:rPr>
          <w:rFonts w:ascii="Calibri" w:hAnsi="Calibri" w:cs="Calibri"/>
          <w:sz w:val="24"/>
        </w:rPr>
        <w:t xml:space="preserve">, </w:t>
      </w:r>
      <w:r>
        <w:rPr>
          <w:rFonts w:ascii="Calibri" w:hAnsi="Calibri" w:cs="Calibri"/>
          <w:i/>
          <w:iCs/>
          <w:sz w:val="24"/>
        </w:rPr>
        <w:t>30</w:t>
      </w:r>
      <w:r>
        <w:rPr>
          <w:rFonts w:ascii="Calibri" w:hAnsi="Calibri" w:cs="Calibri"/>
          <w:sz w:val="24"/>
        </w:rPr>
        <w:t>.</w:t>
      </w:r>
    </w:p>
    <w:p w14:paraId="01A2E19A" w14:textId="77777777" w:rsidR="000A29B4" w:rsidRDefault="0093274C">
      <w:pPr>
        <w:pStyle w:val="11"/>
        <w:rPr>
          <w:rFonts w:ascii="Calibri" w:hAnsi="Calibri" w:cs="Calibri"/>
          <w:sz w:val="24"/>
        </w:rPr>
      </w:pPr>
      <w:r>
        <w:rPr>
          <w:rFonts w:ascii="Calibri" w:hAnsi="Calibri" w:cs="Calibri"/>
          <w:sz w:val="24"/>
        </w:rPr>
        <w:t xml:space="preserve">Mahoney, W. P., Parks, K., Wiener, G., Liu, Y., Myers, W. L., Sun, J., et al. (2012). A Wind Power Forecasting System to Optimize Grid Integration. </w:t>
      </w:r>
      <w:r>
        <w:rPr>
          <w:rFonts w:ascii="Calibri" w:hAnsi="Calibri" w:cs="Calibri"/>
          <w:i/>
          <w:iCs/>
          <w:sz w:val="24"/>
        </w:rPr>
        <w:t>IEEE Transactions on Sustainable Energy</w:t>
      </w:r>
      <w:r>
        <w:rPr>
          <w:rFonts w:ascii="Calibri" w:hAnsi="Calibri" w:cs="Calibri"/>
          <w:sz w:val="24"/>
        </w:rPr>
        <w:t xml:space="preserve">, </w:t>
      </w:r>
      <w:r>
        <w:rPr>
          <w:rFonts w:ascii="Calibri" w:hAnsi="Calibri" w:cs="Calibri"/>
          <w:i/>
          <w:iCs/>
          <w:sz w:val="24"/>
        </w:rPr>
        <w:t>3</w:t>
      </w:r>
      <w:r>
        <w:rPr>
          <w:rFonts w:ascii="Calibri" w:hAnsi="Calibri" w:cs="Calibri"/>
          <w:sz w:val="24"/>
        </w:rPr>
        <w:t>(4), 670–682. https://doi.org/10.1109/TSTE.2012.2201758</w:t>
      </w:r>
    </w:p>
    <w:p w14:paraId="60B58BFD" w14:textId="77777777" w:rsidR="000A29B4" w:rsidRDefault="0093274C">
      <w:pPr>
        <w:pStyle w:val="11"/>
        <w:rPr>
          <w:rFonts w:ascii="Calibri" w:hAnsi="Calibri" w:cs="Calibri"/>
          <w:sz w:val="24"/>
        </w:rPr>
      </w:pPr>
      <w:r>
        <w:rPr>
          <w:rFonts w:ascii="Calibri" w:hAnsi="Calibri" w:cs="Calibri"/>
          <w:sz w:val="24"/>
        </w:rPr>
        <w:t xml:space="preserve">Optis, M., &amp; Perr-Sauer, J. (2019). The importance of atmospheric turbulence and stability in machine-learning models of wind farm power production. </w:t>
      </w:r>
      <w:r>
        <w:rPr>
          <w:rFonts w:ascii="Calibri" w:hAnsi="Calibri" w:cs="Calibri"/>
          <w:i/>
          <w:iCs/>
          <w:sz w:val="24"/>
        </w:rPr>
        <w:t>Renewable and Sustainable Energy Reviews</w:t>
      </w:r>
      <w:r>
        <w:rPr>
          <w:rFonts w:ascii="Calibri" w:hAnsi="Calibri" w:cs="Calibri"/>
          <w:sz w:val="24"/>
        </w:rPr>
        <w:t xml:space="preserve">, </w:t>
      </w:r>
      <w:r>
        <w:rPr>
          <w:rFonts w:ascii="Calibri" w:hAnsi="Calibri" w:cs="Calibri"/>
          <w:i/>
          <w:iCs/>
          <w:sz w:val="24"/>
        </w:rPr>
        <w:t>112</w:t>
      </w:r>
      <w:r>
        <w:rPr>
          <w:rFonts w:ascii="Calibri" w:hAnsi="Calibri" w:cs="Calibri"/>
          <w:sz w:val="24"/>
        </w:rPr>
        <w:t>, 27–41. https://doi.org/10.1016/j.rser.2019.05.031</w:t>
      </w:r>
    </w:p>
    <w:p w14:paraId="2FC847D9" w14:textId="77777777" w:rsidR="000A29B4" w:rsidRDefault="0093274C">
      <w:pPr>
        <w:pStyle w:val="11"/>
        <w:rPr>
          <w:rFonts w:ascii="Calibri" w:hAnsi="Calibri" w:cs="Calibri"/>
          <w:sz w:val="24"/>
        </w:rPr>
      </w:pPr>
      <w:r>
        <w:rPr>
          <w:rFonts w:ascii="Calibri" w:hAnsi="Calibri" w:cs="Calibri"/>
          <w:sz w:val="24"/>
        </w:rPr>
        <w:t xml:space="preserve">Porté-Agel, F., Bastankhah, M., &amp; Shamsoddin, S. (2020). Wind-Turbine and Wind-Farm Flows: A Review. </w:t>
      </w:r>
      <w:r>
        <w:rPr>
          <w:rFonts w:ascii="Calibri" w:hAnsi="Calibri" w:cs="Calibri"/>
          <w:i/>
          <w:iCs/>
          <w:sz w:val="24"/>
        </w:rPr>
        <w:t>Boundary-Layer Meteorology</w:t>
      </w:r>
      <w:r>
        <w:rPr>
          <w:rFonts w:ascii="Calibri" w:hAnsi="Calibri" w:cs="Calibri"/>
          <w:sz w:val="24"/>
        </w:rPr>
        <w:t xml:space="preserve">, </w:t>
      </w:r>
      <w:r>
        <w:rPr>
          <w:rFonts w:ascii="Calibri" w:hAnsi="Calibri" w:cs="Calibri"/>
          <w:i/>
          <w:iCs/>
          <w:sz w:val="24"/>
        </w:rPr>
        <w:t>174</w:t>
      </w:r>
      <w:r>
        <w:rPr>
          <w:rFonts w:ascii="Calibri" w:hAnsi="Calibri" w:cs="Calibri"/>
          <w:sz w:val="24"/>
        </w:rPr>
        <w:t>(1), 1–59. https://doi.org/10.1007/s10546-019-00473-0</w:t>
      </w:r>
    </w:p>
    <w:p w14:paraId="31791418" w14:textId="77777777" w:rsidR="000A29B4" w:rsidRDefault="0093274C">
      <w:pPr>
        <w:pStyle w:val="11"/>
        <w:rPr>
          <w:rFonts w:ascii="Calibri" w:hAnsi="Calibri" w:cs="Calibri"/>
          <w:sz w:val="24"/>
        </w:rPr>
      </w:pPr>
      <w:r>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Pr>
          <w:rFonts w:ascii="Calibri" w:hAnsi="Calibri" w:cs="Calibri"/>
          <w:i/>
          <w:iCs/>
          <w:sz w:val="24"/>
        </w:rPr>
        <w:t>Energy Conversion and Management</w:t>
      </w:r>
      <w:r>
        <w:rPr>
          <w:rFonts w:ascii="Calibri" w:hAnsi="Calibri" w:cs="Calibri"/>
          <w:sz w:val="24"/>
        </w:rPr>
        <w:t xml:space="preserve">, </w:t>
      </w:r>
      <w:r>
        <w:rPr>
          <w:rFonts w:ascii="Calibri" w:hAnsi="Calibri" w:cs="Calibri"/>
          <w:i/>
          <w:iCs/>
          <w:sz w:val="24"/>
        </w:rPr>
        <w:t>348</w:t>
      </w:r>
      <w:r>
        <w:rPr>
          <w:rFonts w:ascii="Calibri" w:hAnsi="Calibri" w:cs="Calibri"/>
          <w:sz w:val="24"/>
        </w:rPr>
        <w:t>, 120738. https://doi.org/10.1016/j.enconman.2025.120738</w:t>
      </w:r>
    </w:p>
    <w:p w14:paraId="0D04A268" w14:textId="77777777" w:rsidR="000A29B4" w:rsidRDefault="0093274C">
      <w:pPr>
        <w:pStyle w:val="11"/>
        <w:rPr>
          <w:rFonts w:ascii="Calibri" w:hAnsi="Calibri" w:cs="Calibri"/>
          <w:sz w:val="24"/>
        </w:rPr>
      </w:pPr>
      <w:r>
        <w:rPr>
          <w:rFonts w:ascii="Calibri" w:hAnsi="Calibri" w:cs="Calibri"/>
          <w:sz w:val="24"/>
        </w:rPr>
        <w:t xml:space="preserve">Rubanenko, O., Miroshnyk, O., Shevchenko, S., Yanovych, V., Danylchenko, D., &amp; Rubanenko, O. (2020). Distribution of Wind Power Generation Dependently of Meteorological Factors. In </w:t>
      </w:r>
      <w:r>
        <w:rPr>
          <w:rFonts w:ascii="Calibri" w:hAnsi="Calibri" w:cs="Calibri"/>
          <w:i/>
          <w:iCs/>
          <w:sz w:val="24"/>
        </w:rPr>
        <w:t>2020 IEEE KhPI Week on Advanced Technology (KhPIWeek)</w:t>
      </w:r>
      <w:r>
        <w:rPr>
          <w:rFonts w:ascii="Calibri" w:hAnsi="Calibri" w:cs="Calibri"/>
          <w:sz w:val="24"/>
        </w:rPr>
        <w:t xml:space="preserve"> (pp. 472–477). Kharkiv, Ukraine: IEEE. https://doi.org/10.1109/KhPIWeek51551.2020.9250114</w:t>
      </w:r>
    </w:p>
    <w:p w14:paraId="05D7206A" w14:textId="77777777" w:rsidR="000A29B4" w:rsidRDefault="0093274C">
      <w:pPr>
        <w:pStyle w:val="11"/>
        <w:rPr>
          <w:rFonts w:ascii="Calibri" w:hAnsi="Calibri" w:cs="Calibri"/>
          <w:sz w:val="24"/>
        </w:rPr>
      </w:pPr>
      <w:r>
        <w:rPr>
          <w:rFonts w:ascii="Calibri" w:hAnsi="Calibri" w:cs="Calibri"/>
          <w:sz w:val="24"/>
        </w:rPr>
        <w:t xml:space="preserve">Sasser, C., Yu, M., &amp; Delgado, R. (2022). Improvement of wind power prediction from meteorological characterization with machine learning models.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183</w:t>
      </w:r>
      <w:r>
        <w:rPr>
          <w:rFonts w:ascii="Calibri" w:hAnsi="Calibri" w:cs="Calibri"/>
          <w:sz w:val="24"/>
        </w:rPr>
        <w:t>, 491–501. https://doi.org/10.1016/j.renene.2021.10.034</w:t>
      </w:r>
    </w:p>
    <w:p w14:paraId="29033191" w14:textId="77777777" w:rsidR="000A29B4" w:rsidRDefault="0093274C">
      <w:pPr>
        <w:pStyle w:val="11"/>
        <w:rPr>
          <w:rFonts w:ascii="Calibri" w:hAnsi="Calibri" w:cs="Calibri"/>
          <w:sz w:val="24"/>
        </w:rPr>
      </w:pPr>
      <w:r>
        <w:rPr>
          <w:rFonts w:ascii="Calibri" w:hAnsi="Calibri" w:cs="Calibri"/>
          <w:sz w:val="24"/>
        </w:rPr>
        <w:t xml:space="preserve">Sun, H., &amp; Yang, H. (2023). Wind farm layout and hub height optimization with a novel wake model.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348</w:t>
      </w:r>
      <w:r>
        <w:rPr>
          <w:rFonts w:ascii="Calibri" w:hAnsi="Calibri" w:cs="Calibri"/>
          <w:sz w:val="24"/>
        </w:rPr>
        <w:t>, 121554. https://doi.org/10.1016/j.apenergy.2023.121554</w:t>
      </w:r>
    </w:p>
    <w:p w14:paraId="7A913DD8" w14:textId="77777777" w:rsidR="000A29B4" w:rsidRDefault="0093274C">
      <w:pPr>
        <w:pStyle w:val="11"/>
        <w:rPr>
          <w:rFonts w:ascii="Calibri" w:hAnsi="Calibri" w:cs="Calibri"/>
          <w:sz w:val="24"/>
        </w:rPr>
      </w:pPr>
      <w:r>
        <w:rPr>
          <w:rFonts w:ascii="Calibri" w:hAnsi="Calibri" w:cs="Calibri"/>
          <w:sz w:val="24"/>
        </w:rPr>
        <w:t xml:space="preserve">Torres, M. E., Colominas, M. A., Schlotthauer, G., &amp; Flandrin, P. (2011). A complete ensemble empirical mode decomposition with adaptive noise. In </w:t>
      </w:r>
      <w:r>
        <w:rPr>
          <w:rFonts w:ascii="Calibri" w:hAnsi="Calibri" w:cs="Calibri"/>
          <w:i/>
          <w:iCs/>
          <w:sz w:val="24"/>
        </w:rPr>
        <w:t xml:space="preserve">2011 IEEE International </w:t>
      </w:r>
      <w:r>
        <w:rPr>
          <w:rFonts w:ascii="Calibri" w:hAnsi="Calibri" w:cs="Calibri"/>
          <w:i/>
          <w:iCs/>
          <w:sz w:val="24"/>
        </w:rPr>
        <w:lastRenderedPageBreak/>
        <w:t>Conference on Acoustics, Speech and Signal Processing (ICASSP)</w:t>
      </w:r>
      <w:r>
        <w:rPr>
          <w:rFonts w:ascii="Calibri" w:hAnsi="Calibri" w:cs="Calibri"/>
          <w:sz w:val="24"/>
        </w:rPr>
        <w:t xml:space="preserve"> (pp. 4144–4147). Prague, Czech Republic: IEEE. https://doi.org/10.1109/ICASSP.2011.5947265</w:t>
      </w:r>
    </w:p>
    <w:p w14:paraId="30FE942F" w14:textId="77777777" w:rsidR="000A29B4" w:rsidRDefault="0093274C">
      <w:pPr>
        <w:pStyle w:val="11"/>
        <w:rPr>
          <w:rFonts w:ascii="Calibri" w:hAnsi="Calibri" w:cs="Calibri"/>
          <w:sz w:val="24"/>
        </w:rPr>
      </w:pPr>
      <w:r>
        <w:rPr>
          <w:rFonts w:ascii="Calibri" w:hAnsi="Calibri" w:cs="Calibri"/>
          <w:sz w:val="24"/>
        </w:rPr>
        <w:t xml:space="preserve">Turbines—Part, W. (2005). 12-1: Power Performance Measurements of Electricity Producing Wind Turbines. </w:t>
      </w:r>
      <w:r>
        <w:rPr>
          <w:rFonts w:ascii="Calibri" w:hAnsi="Calibri" w:cs="Calibri"/>
          <w:i/>
          <w:iCs/>
          <w:sz w:val="24"/>
        </w:rPr>
        <w:t>British Standard, IEC</w:t>
      </w:r>
      <w:r>
        <w:rPr>
          <w:rFonts w:ascii="Calibri" w:hAnsi="Calibri" w:cs="Calibri"/>
          <w:sz w:val="24"/>
        </w:rPr>
        <w:t>, 61400–12.</w:t>
      </w:r>
    </w:p>
    <w:p w14:paraId="3187ADB6" w14:textId="77777777" w:rsidR="000A29B4" w:rsidRDefault="0093274C">
      <w:pPr>
        <w:pStyle w:val="11"/>
        <w:rPr>
          <w:rFonts w:ascii="Calibri" w:hAnsi="Calibri" w:cs="Calibri"/>
          <w:sz w:val="24"/>
        </w:rPr>
      </w:pPr>
      <w:r>
        <w:rPr>
          <w:rFonts w:ascii="Calibri" w:hAnsi="Calibri" w:cs="Calibri"/>
          <w:sz w:val="24"/>
        </w:rPr>
        <w:t xml:space="preserve">Wagner, R., Antoniou, I., Pedersen, S. M., Courtney, M. S., &amp; Jørgensen, H. E. (2009). The influence of the wind speed profile on wind turbine performance measurements. </w:t>
      </w:r>
      <w:r>
        <w:rPr>
          <w:rFonts w:ascii="Calibri" w:hAnsi="Calibri" w:cs="Calibri"/>
          <w:i/>
          <w:iCs/>
          <w:sz w:val="24"/>
        </w:rPr>
        <w:t>Wind Energy</w:t>
      </w:r>
      <w:r>
        <w:rPr>
          <w:rFonts w:ascii="Calibri" w:hAnsi="Calibri" w:cs="Calibri"/>
          <w:sz w:val="24"/>
        </w:rPr>
        <w:t xml:space="preserve">, </w:t>
      </w:r>
      <w:r>
        <w:rPr>
          <w:rFonts w:ascii="Calibri" w:hAnsi="Calibri" w:cs="Calibri"/>
          <w:i/>
          <w:iCs/>
          <w:sz w:val="24"/>
        </w:rPr>
        <w:t>12</w:t>
      </w:r>
      <w:r>
        <w:rPr>
          <w:rFonts w:ascii="Calibri" w:hAnsi="Calibri" w:cs="Calibri"/>
          <w:sz w:val="24"/>
        </w:rPr>
        <w:t>(4), 348–362. https://doi.org/10.1002/we.297</w:t>
      </w:r>
    </w:p>
    <w:p w14:paraId="3D1FE267" w14:textId="77777777" w:rsidR="000A29B4" w:rsidRDefault="0093274C">
      <w:pPr>
        <w:pStyle w:val="11"/>
        <w:rPr>
          <w:rFonts w:ascii="Calibri" w:hAnsi="Calibri" w:cs="Calibri"/>
          <w:sz w:val="24"/>
        </w:rPr>
      </w:pPr>
      <w:r>
        <w:rPr>
          <w:rFonts w:ascii="Calibri" w:hAnsi="Calibri" w:cs="Calibri"/>
          <w:sz w:val="24"/>
        </w:rPr>
        <w:t xml:space="preserve">Wharton, S., &amp; Lundquist, J. K. (2012). Atmospheric stability affects wind turbine power collection. </w:t>
      </w:r>
      <w:r>
        <w:rPr>
          <w:rFonts w:ascii="Calibri" w:hAnsi="Calibri" w:cs="Calibri"/>
          <w:i/>
          <w:iCs/>
          <w:sz w:val="24"/>
        </w:rPr>
        <w:t>Environmental Research Letters</w:t>
      </w:r>
      <w:r>
        <w:rPr>
          <w:rFonts w:ascii="Calibri" w:hAnsi="Calibri" w:cs="Calibri"/>
          <w:sz w:val="24"/>
        </w:rPr>
        <w:t xml:space="preserve">, </w:t>
      </w:r>
      <w:r>
        <w:rPr>
          <w:rFonts w:ascii="Calibri" w:hAnsi="Calibri" w:cs="Calibri"/>
          <w:i/>
          <w:iCs/>
          <w:sz w:val="24"/>
        </w:rPr>
        <w:t>7</w:t>
      </w:r>
      <w:r>
        <w:rPr>
          <w:rFonts w:ascii="Calibri" w:hAnsi="Calibri" w:cs="Calibri"/>
          <w:sz w:val="24"/>
        </w:rPr>
        <w:t>(1), 014005. https://doi.org/10.1088/1748-9326/7/1/014005</w:t>
      </w:r>
    </w:p>
    <w:p w14:paraId="0B3D679B" w14:textId="77777777" w:rsidR="000A29B4" w:rsidRDefault="0093274C">
      <w:pPr>
        <w:pStyle w:val="11"/>
        <w:rPr>
          <w:rFonts w:ascii="Calibri" w:hAnsi="Calibri" w:cs="Calibri"/>
          <w:sz w:val="24"/>
        </w:rPr>
      </w:pPr>
      <w:r>
        <w:rPr>
          <w:rFonts w:ascii="Calibri" w:hAnsi="Calibri" w:cs="Calibri"/>
          <w:sz w:val="24"/>
        </w:rPr>
        <w:t xml:space="preserve">Wilks, D. S. (2011). </w:t>
      </w:r>
      <w:r>
        <w:rPr>
          <w:rFonts w:ascii="Calibri" w:hAnsi="Calibri" w:cs="Calibri"/>
          <w:i/>
          <w:iCs/>
          <w:sz w:val="24"/>
        </w:rPr>
        <w:t>Statistical methods in the atmospheric sciences</w:t>
      </w:r>
      <w:r>
        <w:rPr>
          <w:rFonts w:ascii="Calibri" w:hAnsi="Calibri" w:cs="Calibri"/>
          <w:sz w:val="24"/>
        </w:rPr>
        <w:t xml:space="preserve"> (Vol. 100). Academic press.</w:t>
      </w:r>
    </w:p>
    <w:p w14:paraId="4DBC6526" w14:textId="77777777" w:rsidR="000A29B4" w:rsidRDefault="0093274C">
      <w:pPr>
        <w:pStyle w:val="11"/>
        <w:rPr>
          <w:rFonts w:ascii="Calibri" w:hAnsi="Calibri" w:cs="Calibri"/>
          <w:sz w:val="24"/>
        </w:rPr>
      </w:pPr>
      <w:r>
        <w:rPr>
          <w:rFonts w:ascii="Calibri" w:hAnsi="Calibri" w:cs="Calibri"/>
          <w:sz w:val="24"/>
        </w:rPr>
        <w:t xml:space="preserve">Wilson, D. K. (1996). Empirical Orthogonal Function Analysis of the Weakly Convective Atmospheric Boundary Layer. Part I: Eddy Structures. </w:t>
      </w:r>
      <w:r>
        <w:rPr>
          <w:rFonts w:ascii="Calibri" w:hAnsi="Calibri" w:cs="Calibri"/>
          <w:i/>
          <w:iCs/>
          <w:sz w:val="24"/>
        </w:rPr>
        <w:t>Journal of Atmospheric Sciences</w:t>
      </w:r>
      <w:r>
        <w:rPr>
          <w:rFonts w:ascii="Calibri" w:hAnsi="Calibri" w:cs="Calibri"/>
          <w:sz w:val="24"/>
        </w:rPr>
        <w:t xml:space="preserve">, </w:t>
      </w:r>
      <w:r>
        <w:rPr>
          <w:rFonts w:ascii="Calibri" w:hAnsi="Calibri" w:cs="Calibri"/>
          <w:i/>
          <w:iCs/>
          <w:sz w:val="24"/>
        </w:rPr>
        <w:t>53</w:t>
      </w:r>
      <w:r>
        <w:rPr>
          <w:rFonts w:ascii="Calibri" w:hAnsi="Calibri" w:cs="Calibri"/>
          <w:sz w:val="24"/>
        </w:rPr>
        <w:t>(6), 801–823. https://doi.org/10.1175/1520-0469(1996)053%253C0801:EOFAOT%253E2.0.CO;2</w:t>
      </w:r>
    </w:p>
    <w:p w14:paraId="4F81335A" w14:textId="77777777" w:rsidR="000A29B4" w:rsidRDefault="0093274C">
      <w:pPr>
        <w:pStyle w:val="11"/>
        <w:rPr>
          <w:rFonts w:ascii="Calibri" w:hAnsi="Calibri" w:cs="Calibri"/>
          <w:sz w:val="24"/>
        </w:rPr>
      </w:pPr>
      <w:r>
        <w:rPr>
          <w:rFonts w:ascii="Calibri" w:hAnsi="Calibri" w:cs="Calibri"/>
          <w:sz w:val="24"/>
        </w:rPr>
        <w:t xml:space="preserve">Wu, Z., &amp; Huang, N. E. (2009). Ensemble empirical mode decomposition: a noise-assisted data analysis method. </w:t>
      </w:r>
      <w:r>
        <w:rPr>
          <w:rFonts w:ascii="Calibri" w:hAnsi="Calibri" w:cs="Calibri"/>
          <w:i/>
          <w:iCs/>
          <w:sz w:val="24"/>
        </w:rPr>
        <w:t>Advances in Adaptive Data Analysis</w:t>
      </w:r>
      <w:r>
        <w:rPr>
          <w:rFonts w:ascii="Calibri" w:hAnsi="Calibri" w:cs="Calibri"/>
          <w:sz w:val="24"/>
        </w:rPr>
        <w:t xml:space="preserve">, </w:t>
      </w:r>
      <w:r>
        <w:rPr>
          <w:rFonts w:ascii="Calibri" w:hAnsi="Calibri" w:cs="Calibri"/>
          <w:i/>
          <w:iCs/>
          <w:sz w:val="24"/>
        </w:rPr>
        <w:t>1</w:t>
      </w:r>
      <w:r>
        <w:rPr>
          <w:rFonts w:ascii="Calibri" w:hAnsi="Calibri" w:cs="Calibri"/>
          <w:sz w:val="24"/>
        </w:rPr>
        <w:t>(1), 1–41. https://doi.org/10.1142/S1793536909000047</w:t>
      </w:r>
    </w:p>
    <w:p w14:paraId="2A9BE7A7" w14:textId="77777777" w:rsidR="000A29B4" w:rsidRDefault="0093274C">
      <w:pPr>
        <w:pStyle w:val="11"/>
        <w:rPr>
          <w:rFonts w:ascii="Calibri" w:hAnsi="Calibri" w:cs="Calibri"/>
          <w:sz w:val="24"/>
        </w:rPr>
      </w:pPr>
      <w:r>
        <w:rPr>
          <w:rFonts w:ascii="Calibri" w:hAnsi="Calibri" w:cs="Calibri"/>
          <w:sz w:val="24"/>
        </w:rPr>
        <w:t xml:space="preserve">Xia, X., Luo, Y., Li, P., &amp; Chang, R. (2026a). Comparative evaluation of ECMWF and GFS for operational day-ahead wind speed forecasting.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261</w:t>
      </w:r>
      <w:r>
        <w:rPr>
          <w:rFonts w:ascii="Calibri" w:hAnsi="Calibri" w:cs="Calibri"/>
          <w:sz w:val="24"/>
        </w:rPr>
        <w:t>, 125263. https://doi.org/10.1016/j.renene.2026.125263</w:t>
      </w:r>
    </w:p>
    <w:p w14:paraId="3A12B0FC" w14:textId="77777777" w:rsidR="000A29B4" w:rsidRDefault="0093274C">
      <w:pPr>
        <w:pStyle w:val="11"/>
        <w:rPr>
          <w:rFonts w:ascii="Calibri" w:hAnsi="Calibri" w:cs="Calibri"/>
          <w:sz w:val="24"/>
        </w:rPr>
      </w:pPr>
      <w:r>
        <w:rPr>
          <w:rFonts w:ascii="Calibri" w:hAnsi="Calibri" w:cs="Calibri"/>
          <w:sz w:val="24"/>
        </w:rPr>
        <w:t xml:space="preserve">Xia, X., Luo, Y., Li, P., Chang, R., Liao, Z., &amp; Huang, L. (2026b). Systematic evaluation of transformer-based time series forecasting models for post-processing WRF-simulated wind speed and predicting short-term power output. </w:t>
      </w:r>
      <w:r>
        <w:rPr>
          <w:rFonts w:ascii="Calibri" w:hAnsi="Calibri" w:cs="Calibri"/>
          <w:i/>
          <w:iCs/>
          <w:sz w:val="24"/>
        </w:rPr>
        <w:t>Applied Energy</w:t>
      </w:r>
      <w:r>
        <w:rPr>
          <w:rFonts w:ascii="Calibri" w:hAnsi="Calibri" w:cs="Calibri"/>
          <w:sz w:val="24"/>
        </w:rPr>
        <w:t xml:space="preserve">, </w:t>
      </w:r>
      <w:r>
        <w:rPr>
          <w:rFonts w:ascii="Calibri" w:hAnsi="Calibri" w:cs="Calibri"/>
          <w:i/>
          <w:iCs/>
          <w:sz w:val="24"/>
        </w:rPr>
        <w:t>403</w:t>
      </w:r>
      <w:r>
        <w:rPr>
          <w:rFonts w:ascii="Calibri" w:hAnsi="Calibri" w:cs="Calibri"/>
          <w:sz w:val="24"/>
        </w:rPr>
        <w:t>, 127070. https://doi.org/10.1016/j.apenergy.2025.127070</w:t>
      </w:r>
    </w:p>
    <w:p w14:paraId="7A1C79AD" w14:textId="77777777" w:rsidR="000A29B4" w:rsidRDefault="0093274C">
      <w:pPr>
        <w:pStyle w:val="11"/>
        <w:rPr>
          <w:rFonts w:ascii="Calibri" w:hAnsi="Calibri" w:cs="Calibri"/>
          <w:sz w:val="24"/>
        </w:rPr>
      </w:pPr>
      <w:r>
        <w:rPr>
          <w:rFonts w:ascii="Calibri" w:hAnsi="Calibri" w:cs="Calibri"/>
          <w:sz w:val="24"/>
        </w:rPr>
        <w:t xml:space="preserve">Ye, L., Zhao, Y., Zeng, C., &amp; Zhang, C. (2017). Short-term wind power prediction based on spatial model. </w:t>
      </w:r>
      <w:r>
        <w:rPr>
          <w:rFonts w:ascii="Calibri" w:hAnsi="Calibri" w:cs="Calibri"/>
          <w:i/>
          <w:iCs/>
          <w:sz w:val="24"/>
        </w:rPr>
        <w:t>Renewable Energy</w:t>
      </w:r>
      <w:r>
        <w:rPr>
          <w:rFonts w:ascii="Calibri" w:hAnsi="Calibri" w:cs="Calibri"/>
          <w:sz w:val="24"/>
        </w:rPr>
        <w:t xml:space="preserve">, </w:t>
      </w:r>
      <w:r>
        <w:rPr>
          <w:rFonts w:ascii="Calibri" w:hAnsi="Calibri" w:cs="Calibri"/>
          <w:i/>
          <w:iCs/>
          <w:sz w:val="24"/>
        </w:rPr>
        <w:t>101</w:t>
      </w:r>
      <w:r>
        <w:rPr>
          <w:rFonts w:ascii="Calibri" w:hAnsi="Calibri" w:cs="Calibri"/>
          <w:sz w:val="24"/>
        </w:rPr>
        <w:t>, 1067–1074. https://doi.org/10.1016/j.renene.2016.09.069</w:t>
      </w:r>
    </w:p>
    <w:p w14:paraId="3CDFEE20" w14:textId="77696200" w:rsidR="002905E3" w:rsidRDefault="0093274C" w:rsidP="003B5D38">
      <w:pPr>
        <w:pStyle w:val="11"/>
        <w:ind w:left="0" w:firstLine="0"/>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fldChar w:fldCharType="end"/>
      </w:r>
      <w:r w:rsidR="002905E3">
        <w:rPr>
          <w:rFonts w:asciiTheme="minorHAnsi" w:eastAsia="Times New Roman" w:hAnsiTheme="minorHAnsi" w:cstheme="minorHAnsi"/>
          <w:color w:val="262626"/>
          <w:sz w:val="24"/>
          <w:szCs w:val="24"/>
        </w:rPr>
        <w:br w:type="page"/>
      </w:r>
    </w:p>
    <w:p w14:paraId="5228D2FA"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14:ligatures w14:val="standardContextual"/>
        </w:rPr>
        <w:lastRenderedPageBreak/>
        <w:drawing>
          <wp:inline distT="0" distB="0" distL="0" distR="0" wp14:anchorId="6E3EDCAE" wp14:editId="7CA4EBB4">
            <wp:extent cx="3630930" cy="395986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14:paraId="03329DCF" w14:textId="1A187A01"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1</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Regime-dependent vertical structure of wind speed and correlation with power production. A: Wind rose at 70-m hub height. The meteorological mast location 586 m west of the first turbine column (33 turbines) enables categorization into westerly free-stream and easterly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sectors. B: Vertical profiles of Spearman correlation between height-specific wind speed and total power output for aggregate dataset (black), free-stream sector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sector (blue). C: Mean vertical wind speed profile for the entire observation period with background thin lines representing individual instantaneous profiles and gray shading representing one standard deviation (±1σ). D: Comparison of mean vertical wind speed profiles between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regimes with background thin lines showing individual profiles for each regime. Shaded areas denote one standard deviation (±1σ).</w:t>
      </w:r>
    </w:p>
    <w:p w14:paraId="47DCD1A2"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7D631FF9"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14:ligatures w14:val="standardContextual"/>
        </w:rPr>
        <w:lastRenderedPageBreak/>
        <w:drawing>
          <wp:inline distT="0" distB="0" distL="0" distR="0" wp14:anchorId="5DF35931" wp14:editId="5BB18FEE">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14:paraId="5ECE886B" w14:textId="380D28B1"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2</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Scale-resolved variance distribution, vertical coherence, and linear relationship between surface wind and vertical profile energy state. A: Scale-resolved variance contribution of wind speed at 10 m (gray) and 70 m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 Vertical dashed lines indicate temporal periods of 1h, 6h, 12h, 1d, and 1w. B: Scale-dependent vertical coherence and correlation with power output. Top panel shows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correlation coefficient between wind speeds at different height pairs (10-70 m, 30-70 m) as a function of time scale. Bottom panels show Spearman</w:t>
      </w:r>
      <w:r w:rsidRPr="000003AF">
        <w:rPr>
          <w:rFonts w:ascii="Calibri" w:eastAsia="Times New Roman" w:hAnsi="Calibri" w:cs="Calibri" w:hint="eastAsia"/>
          <w:kern w:val="28"/>
          <w:sz w:val="24"/>
          <w:szCs w:val="24"/>
          <w:lang w:eastAsia="zh-CN"/>
        </w:rPr>
        <w:t xml:space="preserve"> </w:t>
      </w:r>
      <w:r w:rsidRPr="000003AF">
        <w:rPr>
          <w:rFonts w:ascii="Calibri" w:eastAsia="Times New Roman" w:hAnsi="Calibri" w:cs="Calibri"/>
          <w:kern w:val="28"/>
          <w:sz w:val="24"/>
          <w:szCs w:val="24"/>
          <w:lang w:eastAsia="zh-CN"/>
        </w:rPr>
        <w:t xml:space="preserve">correlation between power output and wind speed at 10 m and 70 m across multiple time scales. Shaded regions differentiate high-frequency and synoptic-scale regimes. C: Vertical profiles of EOF1 loadings for aggregate dataset (gray), free-stream (red), and wake effect (blue) regimes. Explained variance </w:t>
      </w:r>
      <w:r w:rsidRPr="000003AF">
        <w:rPr>
          <w:rFonts w:ascii="Calibri" w:eastAsia="宋体" w:hAnsi="Calibri" w:cs="Calibri" w:hint="eastAsia"/>
          <w:kern w:val="28"/>
          <w:sz w:val="24"/>
          <w:szCs w:val="24"/>
          <w:lang w:eastAsia="zh-CN"/>
        </w:rPr>
        <w:t xml:space="preserve">(EV) </w:t>
      </w:r>
      <w:r w:rsidRPr="000003AF">
        <w:rPr>
          <w:rFonts w:ascii="Calibri" w:eastAsia="Times New Roman" w:hAnsi="Calibri" w:cs="Calibri"/>
          <w:kern w:val="28"/>
          <w:sz w:val="24"/>
          <w:szCs w:val="24"/>
          <w:lang w:eastAsia="zh-CN"/>
        </w:rPr>
        <w:t>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(blue) conditions.</w:t>
      </w:r>
    </w:p>
    <w:p w14:paraId="34545F8B"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23E215D7" w14:textId="77777777" w:rsidR="000003AF" w:rsidRPr="000003AF" w:rsidRDefault="000003AF" w:rsidP="000003AF">
      <w:pPr>
        <w:widowControl w:val="0"/>
        <w:spacing w:after="160" w:line="278" w:lineRule="auto"/>
        <w:jc w:val="center"/>
        <w:rPr>
          <w:rFonts w:ascii="Calibri" w:eastAsia="Times New Roman" w:hAnsi="Calibri" w:cs="Calibri"/>
          <w:kern w:val="28"/>
          <w:sz w:val="24"/>
          <w:szCs w:val="24"/>
          <w:lang w:eastAsia="zh-CN"/>
        </w:rPr>
      </w:pPr>
      <w:r w:rsidRPr="000003AF">
        <w:rPr>
          <w:rFonts w:ascii="Calibri" w:eastAsia="Times New Roman" w:hAnsi="Calibri" w:cs="Calibri"/>
          <w:noProof/>
          <w:kern w:val="28"/>
          <w:sz w:val="24"/>
          <w:szCs w:val="24"/>
          <w:lang w:eastAsia="zh-CN"/>
        </w:rPr>
        <w:lastRenderedPageBreak/>
        <w:drawing>
          <wp:inline distT="0" distB="0" distL="0" distR="0" wp14:anchorId="45EB8337" wp14:editId="7715A214">
            <wp:extent cx="4762553" cy="5688000"/>
            <wp:effectExtent l="0" t="0" r="0" b="1905"/>
            <wp:docPr id="490271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1367" name="图片 490271367"/>
                    <pic:cNvPicPr/>
                  </pic:nvPicPr>
                  <pic:blipFill>
                    <a:blip r:embed="rId24"/>
                    <a:stretch>
                      <a:fillRect/>
                    </a:stretch>
                  </pic:blipFill>
                  <pic:spPr>
                    <a:xfrm>
                      <a:off x="0" y="0"/>
                      <a:ext cx="4762553" cy="5688000"/>
                    </a:xfrm>
                    <a:prstGeom prst="rect">
                      <a:avLst/>
                    </a:prstGeom>
                  </pic:spPr>
                </pic:pic>
              </a:graphicData>
            </a:graphic>
          </wp:inline>
        </w:drawing>
      </w:r>
    </w:p>
    <w:p w14:paraId="336C9161" w14:textId="6BDEEE35" w:rsidR="000003AF" w:rsidRPr="000003AF" w:rsidRDefault="000003AF" w:rsidP="000003AF">
      <w:pPr>
        <w:keepNext/>
        <w:spacing w:before="240"/>
        <w:outlineLvl w:val="0"/>
        <w:rPr>
          <w:rFonts w:ascii="Calibri" w:eastAsia="Times New Roman" w:hAnsi="Calibri" w:cs="Calibri"/>
          <w:kern w:val="28"/>
          <w:sz w:val="24"/>
          <w:szCs w:val="24"/>
          <w:lang w:eastAsia="zh-CN"/>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3</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lang w:eastAsia="zh-CN"/>
        </w:rPr>
        <w:t xml:space="preserve">Comparative performance and feature importance analysis of power reconstruction frameworks. A: Density scatter plots comparing observed power with power reconstructed by </w:t>
      </w:r>
      <w:proofErr w:type="spellStart"/>
      <w:r w:rsidRPr="000003AF">
        <w:rPr>
          <w:rFonts w:ascii="Calibri" w:eastAsia="Times New Roman" w:hAnsi="Calibri" w:cs="Calibri"/>
          <w:kern w:val="28"/>
          <w:sz w:val="24"/>
          <w:szCs w:val="24"/>
          <w:lang w:eastAsia="zh-CN"/>
        </w:rPr>
        <w:t>LightGBM</w:t>
      </w:r>
      <w:proofErr w:type="spellEnd"/>
      <w:r w:rsidRPr="000003AF">
        <w:rPr>
          <w:rFonts w:ascii="Calibri" w:eastAsia="Times New Roman" w:hAnsi="Calibri" w:cs="Calibri"/>
          <w:kern w:val="28"/>
          <w:sz w:val="24"/>
          <w:szCs w:val="24"/>
          <w:lang w:eastAsia="zh-CN"/>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 effect conditions. Bar chart insets show significant performance improvement of ER over SR and HH based on Diebold-Mariano tests (***p &lt; 0.01). C: SHAP analysis for the ER model under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lang w:eastAsia="zh-CN"/>
        </w:rPr>
        <w:t>effect regimes. Features are ranked by mean absolute SHAP value representing relative importance. Each point represents an individual sample with color indicating feature value magnitude and horizontal position showing impact on power prediction.</w:t>
      </w:r>
    </w:p>
    <w:p w14:paraId="6711F986" w14:textId="77777777" w:rsidR="000003AF" w:rsidRPr="000003AF" w:rsidRDefault="000003AF" w:rsidP="000003AF">
      <w:pPr>
        <w:spacing w:after="160" w:line="278" w:lineRule="auto"/>
        <w:rPr>
          <w:rFonts w:ascii="等线" w:eastAsia="等线" w:hAnsi="等线"/>
          <w:kern w:val="2"/>
          <w:sz w:val="22"/>
          <w:szCs w:val="24"/>
          <w:lang w:eastAsia="zh-CN"/>
          <w14:ligatures w14:val="standardContextual"/>
        </w:rPr>
      </w:pPr>
      <w:r w:rsidRPr="000003AF">
        <w:rPr>
          <w:rFonts w:ascii="等线" w:eastAsia="等线" w:hAnsi="等线"/>
          <w:kern w:val="2"/>
          <w:sz w:val="22"/>
          <w:szCs w:val="24"/>
          <w:lang w:eastAsia="zh-CN"/>
          <w14:ligatures w14:val="standardContextual"/>
        </w:rPr>
        <w:br w:type="page"/>
      </w:r>
    </w:p>
    <w:p w14:paraId="379E67DE" w14:textId="77777777" w:rsidR="000003AF" w:rsidRPr="000003AF" w:rsidRDefault="000003AF" w:rsidP="000003AF">
      <w:pPr>
        <w:widowControl w:val="0"/>
        <w:spacing w:after="160" w:line="278" w:lineRule="auto"/>
        <w:jc w:val="center"/>
        <w:rPr>
          <w:rFonts w:ascii="等线" w:eastAsia="等线" w:hAnsi="等线"/>
          <w:kern w:val="2"/>
          <w:sz w:val="22"/>
          <w:szCs w:val="24"/>
          <w:lang w:eastAsia="zh-CN"/>
          <w14:ligatures w14:val="standardContextual"/>
        </w:rPr>
      </w:pPr>
      <w:r w:rsidRPr="000003AF">
        <w:rPr>
          <w:rFonts w:ascii="等线" w:eastAsia="等线" w:hAnsi="等线"/>
          <w:noProof/>
          <w:kern w:val="2"/>
          <w:sz w:val="22"/>
          <w:szCs w:val="24"/>
          <w:lang w:eastAsia="zh-CN"/>
        </w:rPr>
        <w:lastRenderedPageBreak/>
        <w:drawing>
          <wp:inline distT="0" distB="0" distL="0" distR="0" wp14:anchorId="13F7D5F3" wp14:editId="25D78859">
            <wp:extent cx="4339990" cy="6696000"/>
            <wp:effectExtent l="0" t="0" r="3810" b="0"/>
            <wp:docPr id="1975741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1365" name="图片 1975741365"/>
                    <pic:cNvPicPr/>
                  </pic:nvPicPr>
                  <pic:blipFill>
                    <a:blip r:embed="rId25"/>
                    <a:stretch>
                      <a:fillRect/>
                    </a:stretch>
                  </pic:blipFill>
                  <pic:spPr>
                    <a:xfrm>
                      <a:off x="0" y="0"/>
                      <a:ext cx="4339990" cy="6696000"/>
                    </a:xfrm>
                    <a:prstGeom prst="rect">
                      <a:avLst/>
                    </a:prstGeom>
                  </pic:spPr>
                </pic:pic>
              </a:graphicData>
            </a:graphic>
          </wp:inline>
        </w:drawing>
      </w:r>
    </w:p>
    <w:p w14:paraId="53036F7D" w14:textId="62655446" w:rsidR="000003AF" w:rsidRPr="000003AF" w:rsidRDefault="000003AF" w:rsidP="000003AF">
      <w:pPr>
        <w:keepNext/>
        <w:spacing w:before="240"/>
        <w:outlineLvl w:val="0"/>
        <w:rPr>
          <w:rFonts w:ascii="等线" w:eastAsia="等线" w:hAnsi="等线"/>
          <w:kern w:val="2"/>
          <w:sz w:val="22"/>
          <w:szCs w:val="24"/>
          <w:lang w:eastAsia="zh-CN"/>
          <w14:ligatures w14:val="standardContextual"/>
        </w:rPr>
      </w:pPr>
      <w:r w:rsidRPr="000003AF">
        <w:rPr>
          <w:rFonts w:ascii="Calibri" w:eastAsia="Times New Roman" w:hAnsi="Calibri" w:cs="Calibri"/>
          <w:b/>
          <w:bCs/>
          <w:kern w:val="28"/>
          <w:sz w:val="24"/>
          <w:szCs w:val="24"/>
        </w:rPr>
        <w:t xml:space="preserve">Figure </w:t>
      </w:r>
      <w:r w:rsidR="00F133FD">
        <w:rPr>
          <w:rFonts w:ascii="Calibri" w:eastAsia="Times New Roman" w:hAnsi="Calibri" w:cs="Calibri"/>
          <w:b/>
          <w:bCs/>
          <w:kern w:val="28"/>
          <w:sz w:val="24"/>
          <w:szCs w:val="24"/>
        </w:rPr>
        <w:t>4</w:t>
      </w:r>
      <w:r w:rsidRPr="000003AF">
        <w:rPr>
          <w:rFonts w:ascii="Calibri" w:eastAsia="Times New Roman" w:hAnsi="Calibri" w:cs="Calibri"/>
          <w:b/>
          <w:bCs/>
          <w:kern w:val="28"/>
          <w:sz w:val="24"/>
          <w:szCs w:val="24"/>
        </w:rPr>
        <w:t xml:space="preserve">. </w:t>
      </w:r>
      <w:r w:rsidRPr="000003AF">
        <w:rPr>
          <w:rFonts w:ascii="Calibri" w:eastAsia="Times New Roman" w:hAnsi="Calibri" w:cs="Calibri"/>
          <w:kern w:val="28"/>
          <w:sz w:val="24"/>
          <w:szCs w:val="24"/>
        </w:rPr>
        <w:t xml:space="preserve">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w:t>
      </w:r>
      <w:r w:rsidRPr="000003AF">
        <w:rPr>
          <w:rFonts w:ascii="Calibri" w:eastAsia="Times New Roman" w:hAnsi="Calibri" w:cs="Calibri"/>
          <w:kern w:val="28"/>
          <w:sz w:val="24"/>
          <w:szCs w:val="24"/>
        </w:rPr>
        <w:lastRenderedPageBreak/>
        <w:t>Diebold-Mariano tests relative to HH baseline. B and D: Correlation coefficients across free-stream and wake</w:t>
      </w:r>
      <w:r w:rsidRPr="000003AF">
        <w:rPr>
          <w:rFonts w:ascii="等线" w:eastAsia="等线" w:hAnsi="等线"/>
          <w:kern w:val="2"/>
          <w:sz w:val="22"/>
          <w:szCs w:val="24"/>
          <w:lang w:eastAsia="zh-CN"/>
          <w14:ligatures w14:val="standardContextual"/>
        </w:rPr>
        <w:t xml:space="preserve"> </w:t>
      </w:r>
      <w:r w:rsidRPr="000003AF">
        <w:rPr>
          <w:rFonts w:ascii="Calibri" w:eastAsia="Times New Roman" w:hAnsi="Calibri" w:cs="Calibri"/>
          <w:kern w:val="28"/>
          <w:sz w:val="24"/>
          <w:szCs w:val="24"/>
        </w:rPr>
        <w:t>effect regimes for B: EC-WRF and D: GFS-WRF.</w:t>
      </w:r>
    </w:p>
    <w:p w14:paraId="2DDD55B5" w14:textId="77777777" w:rsidR="000A29B4" w:rsidRPr="000003AF" w:rsidRDefault="000A29B4">
      <w:pPr>
        <w:pStyle w:val="11"/>
        <w:rPr>
          <w:rFonts w:asciiTheme="minorHAnsi" w:eastAsia="Times New Roman" w:hAnsiTheme="minorHAnsi" w:cstheme="minorHAnsi"/>
          <w:color w:val="262626"/>
          <w:sz w:val="24"/>
          <w:szCs w:val="24"/>
          <w:lang w:eastAsia="zh-CN"/>
        </w:rPr>
      </w:pPr>
    </w:p>
    <w:sectPr w:rsidR="000A29B4" w:rsidRPr="000003AF">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4D4B2F" w14:textId="77777777" w:rsidR="00B97BF6" w:rsidRDefault="00B97BF6">
      <w:r>
        <w:separator/>
      </w:r>
    </w:p>
  </w:endnote>
  <w:endnote w:type="continuationSeparator" w:id="0">
    <w:p w14:paraId="0841B7E0" w14:textId="77777777" w:rsidR="00B97BF6" w:rsidRDefault="00B97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DED53" w14:textId="77777777" w:rsidR="000A29B4" w:rsidRDefault="000A29B4">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6E6D40" w14:textId="77777777" w:rsidR="000A29B4" w:rsidRDefault="000A29B4">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9ADA31" w14:textId="77777777" w:rsidR="00B97BF6" w:rsidRDefault="00B97BF6">
      <w:r>
        <w:separator/>
      </w:r>
    </w:p>
  </w:footnote>
  <w:footnote w:type="continuationSeparator" w:id="0">
    <w:p w14:paraId="57B234EF" w14:textId="77777777" w:rsidR="00B97BF6" w:rsidRDefault="00B97B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3A372" w14:textId="6DCB337F" w:rsidR="000A29B4" w:rsidRDefault="0093274C">
    <w:pPr>
      <w:pStyle w:val="a9"/>
      <w:jc w:val="center"/>
    </w:pPr>
    <w:r>
      <w:t xml:space="preserve">manuscript submitted to </w:t>
    </w:r>
    <w:r w:rsidR="00B23830" w:rsidRPr="00B23830">
      <w:rPr>
        <w:i/>
      </w:rPr>
      <w:t>Geophysical Research Letters</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ED6DE" w14:textId="77777777" w:rsidR="000A29B4" w:rsidRDefault="0093274C">
    <w:pPr>
      <w:pStyle w:val="a9"/>
      <w:jc w:val="center"/>
    </w:pPr>
    <w:r>
      <w:t xml:space="preserve">Confidential manuscript submitted to </w:t>
    </w:r>
    <w:r>
      <w:rPr>
        <w:i/>
      </w:rPr>
      <w:t>replace this text with name of AGU journal</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735A" w14:textId="6DA8A1DF" w:rsidR="000A29B4" w:rsidRDefault="0093274C">
    <w:pPr>
      <w:pStyle w:val="a9"/>
      <w:jc w:val="center"/>
    </w:pPr>
    <w:r>
      <w:t xml:space="preserve">manuscript submitted to </w:t>
    </w:r>
    <w:r w:rsidR="00B23830" w:rsidRPr="00B23830">
      <w:rPr>
        <w:i/>
      </w:rPr>
      <w:t>Geophysical Research Letters</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92660" w14:textId="77777777" w:rsidR="000A29B4" w:rsidRDefault="0093274C">
    <w:pPr>
      <w:pStyle w:val="a9"/>
      <w:jc w:val="center"/>
    </w:pPr>
    <w:r>
      <w:t xml:space="preserve">Confidential manuscript submitted to </w:t>
    </w:r>
    <w:r>
      <w:rPr>
        <w:i/>
      </w:rPr>
      <w:t>replace this text with name of AGU journal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61D63"/>
    <w:multiLevelType w:val="multilevel"/>
    <w:tmpl w:val="24A61D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003AF"/>
    <w:rsid w:val="000003FF"/>
    <w:rsid w:val="000037C2"/>
    <w:rsid w:val="000070C6"/>
    <w:rsid w:val="00007441"/>
    <w:rsid w:val="00013759"/>
    <w:rsid w:val="00014564"/>
    <w:rsid w:val="00014596"/>
    <w:rsid w:val="00014619"/>
    <w:rsid w:val="000147EC"/>
    <w:rsid w:val="000246E6"/>
    <w:rsid w:val="00024E8E"/>
    <w:rsid w:val="000301FC"/>
    <w:rsid w:val="0003099A"/>
    <w:rsid w:val="00031829"/>
    <w:rsid w:val="00032846"/>
    <w:rsid w:val="00035E63"/>
    <w:rsid w:val="000379AB"/>
    <w:rsid w:val="0004098E"/>
    <w:rsid w:val="00040CD1"/>
    <w:rsid w:val="00042644"/>
    <w:rsid w:val="000435E3"/>
    <w:rsid w:val="00043EB4"/>
    <w:rsid w:val="00044F21"/>
    <w:rsid w:val="00046DAB"/>
    <w:rsid w:val="00047444"/>
    <w:rsid w:val="000479D4"/>
    <w:rsid w:val="000526A1"/>
    <w:rsid w:val="00052BAC"/>
    <w:rsid w:val="0005390B"/>
    <w:rsid w:val="00055DF9"/>
    <w:rsid w:val="00061E37"/>
    <w:rsid w:val="0007414F"/>
    <w:rsid w:val="0007476A"/>
    <w:rsid w:val="000804D8"/>
    <w:rsid w:val="00081AFE"/>
    <w:rsid w:val="00085C00"/>
    <w:rsid w:val="000879FD"/>
    <w:rsid w:val="000909D9"/>
    <w:rsid w:val="00092E5C"/>
    <w:rsid w:val="00093BDE"/>
    <w:rsid w:val="00093CAF"/>
    <w:rsid w:val="000945AB"/>
    <w:rsid w:val="00094CB6"/>
    <w:rsid w:val="000A1EF5"/>
    <w:rsid w:val="000A2813"/>
    <w:rsid w:val="000A29B4"/>
    <w:rsid w:val="000A5D3B"/>
    <w:rsid w:val="000A7479"/>
    <w:rsid w:val="000B1047"/>
    <w:rsid w:val="000B3907"/>
    <w:rsid w:val="000B4AFC"/>
    <w:rsid w:val="000B588F"/>
    <w:rsid w:val="000C0C0F"/>
    <w:rsid w:val="000C13E8"/>
    <w:rsid w:val="000C515E"/>
    <w:rsid w:val="000C6161"/>
    <w:rsid w:val="000C67F5"/>
    <w:rsid w:val="000C6B1A"/>
    <w:rsid w:val="000C7272"/>
    <w:rsid w:val="000D06B3"/>
    <w:rsid w:val="000D10A1"/>
    <w:rsid w:val="000D49B0"/>
    <w:rsid w:val="000D535D"/>
    <w:rsid w:val="000D5C87"/>
    <w:rsid w:val="000D6606"/>
    <w:rsid w:val="000D7E38"/>
    <w:rsid w:val="000E5754"/>
    <w:rsid w:val="000E5A70"/>
    <w:rsid w:val="000E7B65"/>
    <w:rsid w:val="000F0DA9"/>
    <w:rsid w:val="000F1881"/>
    <w:rsid w:val="000F1CE1"/>
    <w:rsid w:val="000F3622"/>
    <w:rsid w:val="000F3E71"/>
    <w:rsid w:val="00101D9C"/>
    <w:rsid w:val="001058A4"/>
    <w:rsid w:val="00105D85"/>
    <w:rsid w:val="00107A81"/>
    <w:rsid w:val="00111ACE"/>
    <w:rsid w:val="00111D11"/>
    <w:rsid w:val="0011424A"/>
    <w:rsid w:val="001171A1"/>
    <w:rsid w:val="00124233"/>
    <w:rsid w:val="00125979"/>
    <w:rsid w:val="00125DB1"/>
    <w:rsid w:val="00130B21"/>
    <w:rsid w:val="00131A0D"/>
    <w:rsid w:val="00131EC3"/>
    <w:rsid w:val="00136660"/>
    <w:rsid w:val="0014203B"/>
    <w:rsid w:val="0015060D"/>
    <w:rsid w:val="001520C4"/>
    <w:rsid w:val="001531D5"/>
    <w:rsid w:val="00154041"/>
    <w:rsid w:val="00155033"/>
    <w:rsid w:val="00156784"/>
    <w:rsid w:val="00172067"/>
    <w:rsid w:val="0017243F"/>
    <w:rsid w:val="00173476"/>
    <w:rsid w:val="00176452"/>
    <w:rsid w:val="00176CA2"/>
    <w:rsid w:val="0018268D"/>
    <w:rsid w:val="00187556"/>
    <w:rsid w:val="0019027E"/>
    <w:rsid w:val="001920A0"/>
    <w:rsid w:val="00194443"/>
    <w:rsid w:val="00195891"/>
    <w:rsid w:val="001A27FF"/>
    <w:rsid w:val="001A3DB0"/>
    <w:rsid w:val="001A46B8"/>
    <w:rsid w:val="001B1E3A"/>
    <w:rsid w:val="001B2B1A"/>
    <w:rsid w:val="001B3DAA"/>
    <w:rsid w:val="001B5FBE"/>
    <w:rsid w:val="001C2B0D"/>
    <w:rsid w:val="001C4293"/>
    <w:rsid w:val="001C4FD0"/>
    <w:rsid w:val="001C6D18"/>
    <w:rsid w:val="001D0AA1"/>
    <w:rsid w:val="001D3307"/>
    <w:rsid w:val="001D55C2"/>
    <w:rsid w:val="001D70C2"/>
    <w:rsid w:val="001D7AA9"/>
    <w:rsid w:val="001E33EF"/>
    <w:rsid w:val="001E49AD"/>
    <w:rsid w:val="001F0E74"/>
    <w:rsid w:val="001F357F"/>
    <w:rsid w:val="001F4BD1"/>
    <w:rsid w:val="0020390B"/>
    <w:rsid w:val="00203C03"/>
    <w:rsid w:val="00205265"/>
    <w:rsid w:val="00205ED3"/>
    <w:rsid w:val="002073EC"/>
    <w:rsid w:val="002112B8"/>
    <w:rsid w:val="00211C1E"/>
    <w:rsid w:val="00212215"/>
    <w:rsid w:val="00216625"/>
    <w:rsid w:val="002205DA"/>
    <w:rsid w:val="00221CF2"/>
    <w:rsid w:val="00222796"/>
    <w:rsid w:val="00223400"/>
    <w:rsid w:val="00227565"/>
    <w:rsid w:val="00230693"/>
    <w:rsid w:val="00230C11"/>
    <w:rsid w:val="002346A8"/>
    <w:rsid w:val="002352A9"/>
    <w:rsid w:val="00235BA6"/>
    <w:rsid w:val="00240493"/>
    <w:rsid w:val="00247A6B"/>
    <w:rsid w:val="0025016C"/>
    <w:rsid w:val="00260145"/>
    <w:rsid w:val="002629F2"/>
    <w:rsid w:val="00267BBB"/>
    <w:rsid w:val="002715F4"/>
    <w:rsid w:val="00271CE0"/>
    <w:rsid w:val="00272C13"/>
    <w:rsid w:val="00275066"/>
    <w:rsid w:val="00277699"/>
    <w:rsid w:val="00281FE6"/>
    <w:rsid w:val="002820F7"/>
    <w:rsid w:val="002869BE"/>
    <w:rsid w:val="002905E3"/>
    <w:rsid w:val="00296DC1"/>
    <w:rsid w:val="002A048B"/>
    <w:rsid w:val="002A0855"/>
    <w:rsid w:val="002A2012"/>
    <w:rsid w:val="002A41EF"/>
    <w:rsid w:val="002A52F8"/>
    <w:rsid w:val="002B5FE3"/>
    <w:rsid w:val="002B6F74"/>
    <w:rsid w:val="002B713B"/>
    <w:rsid w:val="002B71FE"/>
    <w:rsid w:val="002B7CA5"/>
    <w:rsid w:val="002C3263"/>
    <w:rsid w:val="002C3838"/>
    <w:rsid w:val="002D18C2"/>
    <w:rsid w:val="002D3D45"/>
    <w:rsid w:val="002D3D82"/>
    <w:rsid w:val="002D7273"/>
    <w:rsid w:val="002D73A6"/>
    <w:rsid w:val="002E1646"/>
    <w:rsid w:val="002E18D1"/>
    <w:rsid w:val="002E3FD1"/>
    <w:rsid w:val="002E49B3"/>
    <w:rsid w:val="002E7898"/>
    <w:rsid w:val="002E7DC3"/>
    <w:rsid w:val="002F1643"/>
    <w:rsid w:val="002F2289"/>
    <w:rsid w:val="002F2FF8"/>
    <w:rsid w:val="002F39DE"/>
    <w:rsid w:val="002F3B11"/>
    <w:rsid w:val="002F410C"/>
    <w:rsid w:val="002F4D30"/>
    <w:rsid w:val="002F6A09"/>
    <w:rsid w:val="002F7905"/>
    <w:rsid w:val="00300AB9"/>
    <w:rsid w:val="00304FD1"/>
    <w:rsid w:val="0031212E"/>
    <w:rsid w:val="003137C3"/>
    <w:rsid w:val="003166A2"/>
    <w:rsid w:val="003200F9"/>
    <w:rsid w:val="0032135B"/>
    <w:rsid w:val="0032151C"/>
    <w:rsid w:val="00321596"/>
    <w:rsid w:val="003258E4"/>
    <w:rsid w:val="00332620"/>
    <w:rsid w:val="00332D53"/>
    <w:rsid w:val="00333523"/>
    <w:rsid w:val="003352DA"/>
    <w:rsid w:val="003355F2"/>
    <w:rsid w:val="003375FC"/>
    <w:rsid w:val="00346461"/>
    <w:rsid w:val="00351E0D"/>
    <w:rsid w:val="00352CA2"/>
    <w:rsid w:val="00353C9C"/>
    <w:rsid w:val="00354EDF"/>
    <w:rsid w:val="0035644F"/>
    <w:rsid w:val="00360FB7"/>
    <w:rsid w:val="0036140F"/>
    <w:rsid w:val="00361BA9"/>
    <w:rsid w:val="00362060"/>
    <w:rsid w:val="00363956"/>
    <w:rsid w:val="00366917"/>
    <w:rsid w:val="00370E2F"/>
    <w:rsid w:val="0037466A"/>
    <w:rsid w:val="0037517A"/>
    <w:rsid w:val="00376069"/>
    <w:rsid w:val="00380DF2"/>
    <w:rsid w:val="003812F8"/>
    <w:rsid w:val="00381939"/>
    <w:rsid w:val="0038438F"/>
    <w:rsid w:val="0038558D"/>
    <w:rsid w:val="0039077D"/>
    <w:rsid w:val="00393A7A"/>
    <w:rsid w:val="00393BBE"/>
    <w:rsid w:val="00397829"/>
    <w:rsid w:val="00397F4C"/>
    <w:rsid w:val="003A2206"/>
    <w:rsid w:val="003A234C"/>
    <w:rsid w:val="003A3EEC"/>
    <w:rsid w:val="003A43C4"/>
    <w:rsid w:val="003A4B76"/>
    <w:rsid w:val="003A4C42"/>
    <w:rsid w:val="003A77F5"/>
    <w:rsid w:val="003B04FE"/>
    <w:rsid w:val="003B0614"/>
    <w:rsid w:val="003B3743"/>
    <w:rsid w:val="003B5D38"/>
    <w:rsid w:val="003B6A3F"/>
    <w:rsid w:val="003C229D"/>
    <w:rsid w:val="003C273C"/>
    <w:rsid w:val="003D1D13"/>
    <w:rsid w:val="003D32F6"/>
    <w:rsid w:val="003D573A"/>
    <w:rsid w:val="003D692F"/>
    <w:rsid w:val="003D7A07"/>
    <w:rsid w:val="003E0023"/>
    <w:rsid w:val="003E013E"/>
    <w:rsid w:val="003E660A"/>
    <w:rsid w:val="003F0D1D"/>
    <w:rsid w:val="003F129F"/>
    <w:rsid w:val="003F199B"/>
    <w:rsid w:val="003F4DB9"/>
    <w:rsid w:val="003F68B5"/>
    <w:rsid w:val="00400425"/>
    <w:rsid w:val="0040057E"/>
    <w:rsid w:val="004009A6"/>
    <w:rsid w:val="004028E2"/>
    <w:rsid w:val="00402D95"/>
    <w:rsid w:val="00406330"/>
    <w:rsid w:val="00406D48"/>
    <w:rsid w:val="004072B0"/>
    <w:rsid w:val="0041018A"/>
    <w:rsid w:val="00410869"/>
    <w:rsid w:val="00411940"/>
    <w:rsid w:val="00416089"/>
    <w:rsid w:val="0041695E"/>
    <w:rsid w:val="00420C00"/>
    <w:rsid w:val="00421527"/>
    <w:rsid w:val="00421703"/>
    <w:rsid w:val="004253DD"/>
    <w:rsid w:val="00426D70"/>
    <w:rsid w:val="00431134"/>
    <w:rsid w:val="0043355E"/>
    <w:rsid w:val="00437625"/>
    <w:rsid w:val="00440A22"/>
    <w:rsid w:val="00451B77"/>
    <w:rsid w:val="004529BB"/>
    <w:rsid w:val="00454756"/>
    <w:rsid w:val="00454AF8"/>
    <w:rsid w:val="00454D46"/>
    <w:rsid w:val="00463588"/>
    <w:rsid w:val="00465B65"/>
    <w:rsid w:val="0046739F"/>
    <w:rsid w:val="004707F6"/>
    <w:rsid w:val="00472837"/>
    <w:rsid w:val="00473701"/>
    <w:rsid w:val="00476A65"/>
    <w:rsid w:val="00480DFD"/>
    <w:rsid w:val="00482B48"/>
    <w:rsid w:val="00485781"/>
    <w:rsid w:val="00486E15"/>
    <w:rsid w:val="00490C30"/>
    <w:rsid w:val="004969B5"/>
    <w:rsid w:val="004A18E6"/>
    <w:rsid w:val="004B1338"/>
    <w:rsid w:val="004B29C0"/>
    <w:rsid w:val="004B537D"/>
    <w:rsid w:val="004B686E"/>
    <w:rsid w:val="004B6870"/>
    <w:rsid w:val="004B7F40"/>
    <w:rsid w:val="004C1475"/>
    <w:rsid w:val="004C19B1"/>
    <w:rsid w:val="004D4C62"/>
    <w:rsid w:val="004D73B5"/>
    <w:rsid w:val="004E07CC"/>
    <w:rsid w:val="004E2969"/>
    <w:rsid w:val="004E2BD5"/>
    <w:rsid w:val="004E4330"/>
    <w:rsid w:val="00501D1D"/>
    <w:rsid w:val="00505774"/>
    <w:rsid w:val="00506457"/>
    <w:rsid w:val="0051367B"/>
    <w:rsid w:val="0051453E"/>
    <w:rsid w:val="00514B45"/>
    <w:rsid w:val="005167EA"/>
    <w:rsid w:val="005170C7"/>
    <w:rsid w:val="0052595E"/>
    <w:rsid w:val="0052640B"/>
    <w:rsid w:val="00533B8E"/>
    <w:rsid w:val="00534D5F"/>
    <w:rsid w:val="005358D5"/>
    <w:rsid w:val="00540D2A"/>
    <w:rsid w:val="00543CC4"/>
    <w:rsid w:val="005453E9"/>
    <w:rsid w:val="00545B46"/>
    <w:rsid w:val="00545B6C"/>
    <w:rsid w:val="0054619C"/>
    <w:rsid w:val="005469D5"/>
    <w:rsid w:val="00560484"/>
    <w:rsid w:val="00561B20"/>
    <w:rsid w:val="00561BF1"/>
    <w:rsid w:val="00562C9F"/>
    <w:rsid w:val="00562D64"/>
    <w:rsid w:val="005675D1"/>
    <w:rsid w:val="00571955"/>
    <w:rsid w:val="00573BC8"/>
    <w:rsid w:val="0057441D"/>
    <w:rsid w:val="00575C0B"/>
    <w:rsid w:val="005774DA"/>
    <w:rsid w:val="00581536"/>
    <w:rsid w:val="00583B12"/>
    <w:rsid w:val="0058557A"/>
    <w:rsid w:val="00591F46"/>
    <w:rsid w:val="00593E3E"/>
    <w:rsid w:val="005A1F41"/>
    <w:rsid w:val="005A3C3F"/>
    <w:rsid w:val="005A553B"/>
    <w:rsid w:val="005A7C39"/>
    <w:rsid w:val="005B6E8D"/>
    <w:rsid w:val="005C1FEE"/>
    <w:rsid w:val="005C3E22"/>
    <w:rsid w:val="005C4B4D"/>
    <w:rsid w:val="005D00E2"/>
    <w:rsid w:val="005D0465"/>
    <w:rsid w:val="005D2C0A"/>
    <w:rsid w:val="005D3D09"/>
    <w:rsid w:val="005D5662"/>
    <w:rsid w:val="005D6F00"/>
    <w:rsid w:val="005E1969"/>
    <w:rsid w:val="005E3806"/>
    <w:rsid w:val="005E561D"/>
    <w:rsid w:val="005E6E76"/>
    <w:rsid w:val="005F155B"/>
    <w:rsid w:val="005F2E15"/>
    <w:rsid w:val="005F551D"/>
    <w:rsid w:val="005F6380"/>
    <w:rsid w:val="006018CC"/>
    <w:rsid w:val="006057A6"/>
    <w:rsid w:val="0060601C"/>
    <w:rsid w:val="00610228"/>
    <w:rsid w:val="006129D8"/>
    <w:rsid w:val="006143D3"/>
    <w:rsid w:val="00614EE6"/>
    <w:rsid w:val="00616CAC"/>
    <w:rsid w:val="00624AD5"/>
    <w:rsid w:val="00624D02"/>
    <w:rsid w:val="0062533D"/>
    <w:rsid w:val="00627D9D"/>
    <w:rsid w:val="00627EAA"/>
    <w:rsid w:val="0063190A"/>
    <w:rsid w:val="00633166"/>
    <w:rsid w:val="006333B4"/>
    <w:rsid w:val="006350D9"/>
    <w:rsid w:val="0063545B"/>
    <w:rsid w:val="0063639B"/>
    <w:rsid w:val="006377AF"/>
    <w:rsid w:val="006414E0"/>
    <w:rsid w:val="006434C4"/>
    <w:rsid w:val="006450ED"/>
    <w:rsid w:val="00651677"/>
    <w:rsid w:val="006565B5"/>
    <w:rsid w:val="00661DC1"/>
    <w:rsid w:val="006646DD"/>
    <w:rsid w:val="00670F38"/>
    <w:rsid w:val="00671751"/>
    <w:rsid w:val="006740D3"/>
    <w:rsid w:val="00674E44"/>
    <w:rsid w:val="006771AE"/>
    <w:rsid w:val="00680E1A"/>
    <w:rsid w:val="006842EE"/>
    <w:rsid w:val="00687F24"/>
    <w:rsid w:val="006941C6"/>
    <w:rsid w:val="006A5752"/>
    <w:rsid w:val="006B2A3C"/>
    <w:rsid w:val="006B58D7"/>
    <w:rsid w:val="006B66EF"/>
    <w:rsid w:val="006B7352"/>
    <w:rsid w:val="006B76B4"/>
    <w:rsid w:val="006C06A7"/>
    <w:rsid w:val="006C4619"/>
    <w:rsid w:val="006C5DCA"/>
    <w:rsid w:val="006C6E62"/>
    <w:rsid w:val="006C77D6"/>
    <w:rsid w:val="006D0775"/>
    <w:rsid w:val="006D0D40"/>
    <w:rsid w:val="006D1020"/>
    <w:rsid w:val="006D127D"/>
    <w:rsid w:val="006D19B4"/>
    <w:rsid w:val="006D564B"/>
    <w:rsid w:val="006D6FD4"/>
    <w:rsid w:val="006E36FF"/>
    <w:rsid w:val="006E5466"/>
    <w:rsid w:val="006E5A42"/>
    <w:rsid w:val="006E61BA"/>
    <w:rsid w:val="006F0D4D"/>
    <w:rsid w:val="006F48CD"/>
    <w:rsid w:val="006F662E"/>
    <w:rsid w:val="006F6B2B"/>
    <w:rsid w:val="006F6D81"/>
    <w:rsid w:val="006F776D"/>
    <w:rsid w:val="00702B81"/>
    <w:rsid w:val="00710ED5"/>
    <w:rsid w:val="00711A83"/>
    <w:rsid w:val="00713BE0"/>
    <w:rsid w:val="00713EC2"/>
    <w:rsid w:val="007140BD"/>
    <w:rsid w:val="007165D9"/>
    <w:rsid w:val="00720863"/>
    <w:rsid w:val="00721FFB"/>
    <w:rsid w:val="007275E7"/>
    <w:rsid w:val="00730C5B"/>
    <w:rsid w:val="00741863"/>
    <w:rsid w:val="00746229"/>
    <w:rsid w:val="007469CF"/>
    <w:rsid w:val="007473B3"/>
    <w:rsid w:val="00750CD0"/>
    <w:rsid w:val="00751F57"/>
    <w:rsid w:val="00752C1D"/>
    <w:rsid w:val="0075306D"/>
    <w:rsid w:val="00753FD7"/>
    <w:rsid w:val="0076073B"/>
    <w:rsid w:val="00760782"/>
    <w:rsid w:val="00760AB3"/>
    <w:rsid w:val="007621EC"/>
    <w:rsid w:val="00764184"/>
    <w:rsid w:val="00767596"/>
    <w:rsid w:val="0077075B"/>
    <w:rsid w:val="007778ED"/>
    <w:rsid w:val="00777BB9"/>
    <w:rsid w:val="00780D20"/>
    <w:rsid w:val="007936ED"/>
    <w:rsid w:val="00793D97"/>
    <w:rsid w:val="00796FB8"/>
    <w:rsid w:val="007A2BA6"/>
    <w:rsid w:val="007A6EE2"/>
    <w:rsid w:val="007B274C"/>
    <w:rsid w:val="007B2B60"/>
    <w:rsid w:val="007B4B93"/>
    <w:rsid w:val="007B688A"/>
    <w:rsid w:val="007B7533"/>
    <w:rsid w:val="007C1187"/>
    <w:rsid w:val="007C21E8"/>
    <w:rsid w:val="007C302B"/>
    <w:rsid w:val="007C6C50"/>
    <w:rsid w:val="007C752F"/>
    <w:rsid w:val="007D0919"/>
    <w:rsid w:val="007D11D0"/>
    <w:rsid w:val="007D1384"/>
    <w:rsid w:val="007D74E1"/>
    <w:rsid w:val="007E080E"/>
    <w:rsid w:val="007E0B68"/>
    <w:rsid w:val="007E15DC"/>
    <w:rsid w:val="007E4423"/>
    <w:rsid w:val="007E7CC0"/>
    <w:rsid w:val="007F4D54"/>
    <w:rsid w:val="008009B4"/>
    <w:rsid w:val="00800B63"/>
    <w:rsid w:val="00804559"/>
    <w:rsid w:val="00805622"/>
    <w:rsid w:val="00807471"/>
    <w:rsid w:val="00807DC4"/>
    <w:rsid w:val="00813315"/>
    <w:rsid w:val="0081621A"/>
    <w:rsid w:val="00817B0C"/>
    <w:rsid w:val="00817B6F"/>
    <w:rsid w:val="00823732"/>
    <w:rsid w:val="008269BC"/>
    <w:rsid w:val="008322EA"/>
    <w:rsid w:val="008323E7"/>
    <w:rsid w:val="00836A97"/>
    <w:rsid w:val="00844327"/>
    <w:rsid w:val="008452F6"/>
    <w:rsid w:val="00845729"/>
    <w:rsid w:val="008472D3"/>
    <w:rsid w:val="00850691"/>
    <w:rsid w:val="00855B07"/>
    <w:rsid w:val="008569BD"/>
    <w:rsid w:val="00860E3F"/>
    <w:rsid w:val="00861765"/>
    <w:rsid w:val="00862116"/>
    <w:rsid w:val="008636BF"/>
    <w:rsid w:val="008855A8"/>
    <w:rsid w:val="00887FD6"/>
    <w:rsid w:val="0089406B"/>
    <w:rsid w:val="00894B01"/>
    <w:rsid w:val="008960D6"/>
    <w:rsid w:val="00897193"/>
    <w:rsid w:val="008A0D6F"/>
    <w:rsid w:val="008A1A74"/>
    <w:rsid w:val="008A4357"/>
    <w:rsid w:val="008A4469"/>
    <w:rsid w:val="008A6077"/>
    <w:rsid w:val="008B110D"/>
    <w:rsid w:val="008B3B80"/>
    <w:rsid w:val="008B3BB6"/>
    <w:rsid w:val="008B5E9E"/>
    <w:rsid w:val="008C4E4F"/>
    <w:rsid w:val="008C5028"/>
    <w:rsid w:val="008D3087"/>
    <w:rsid w:val="008D6DA1"/>
    <w:rsid w:val="008E019F"/>
    <w:rsid w:val="008E14C3"/>
    <w:rsid w:val="008E37C4"/>
    <w:rsid w:val="008E58E5"/>
    <w:rsid w:val="008E5C62"/>
    <w:rsid w:val="008E5EF8"/>
    <w:rsid w:val="008E6664"/>
    <w:rsid w:val="008E775F"/>
    <w:rsid w:val="008F1977"/>
    <w:rsid w:val="008F2F03"/>
    <w:rsid w:val="008F4FA1"/>
    <w:rsid w:val="008F5F94"/>
    <w:rsid w:val="008F7096"/>
    <w:rsid w:val="009007AE"/>
    <w:rsid w:val="009073D1"/>
    <w:rsid w:val="009106FF"/>
    <w:rsid w:val="009160EA"/>
    <w:rsid w:val="00921E54"/>
    <w:rsid w:val="00924611"/>
    <w:rsid w:val="00924DFF"/>
    <w:rsid w:val="009315BB"/>
    <w:rsid w:val="0093274C"/>
    <w:rsid w:val="0093366F"/>
    <w:rsid w:val="009440D6"/>
    <w:rsid w:val="00950A53"/>
    <w:rsid w:val="009513BA"/>
    <w:rsid w:val="0095183A"/>
    <w:rsid w:val="00951A33"/>
    <w:rsid w:val="0095482A"/>
    <w:rsid w:val="0096468A"/>
    <w:rsid w:val="00964E53"/>
    <w:rsid w:val="009716C0"/>
    <w:rsid w:val="00971717"/>
    <w:rsid w:val="0097213C"/>
    <w:rsid w:val="0097276C"/>
    <w:rsid w:val="009728B6"/>
    <w:rsid w:val="00972FAB"/>
    <w:rsid w:val="00975D9D"/>
    <w:rsid w:val="00977B01"/>
    <w:rsid w:val="00980548"/>
    <w:rsid w:val="00981134"/>
    <w:rsid w:val="00982D69"/>
    <w:rsid w:val="00983966"/>
    <w:rsid w:val="00983A3C"/>
    <w:rsid w:val="009859CB"/>
    <w:rsid w:val="00991D5C"/>
    <w:rsid w:val="00995CAA"/>
    <w:rsid w:val="009A1C68"/>
    <w:rsid w:val="009A2895"/>
    <w:rsid w:val="009A3CD0"/>
    <w:rsid w:val="009A4681"/>
    <w:rsid w:val="009A7A24"/>
    <w:rsid w:val="009B546F"/>
    <w:rsid w:val="009B57FB"/>
    <w:rsid w:val="009B5FE1"/>
    <w:rsid w:val="009B6127"/>
    <w:rsid w:val="009B68DA"/>
    <w:rsid w:val="009C0FA4"/>
    <w:rsid w:val="009C20B8"/>
    <w:rsid w:val="009C55BD"/>
    <w:rsid w:val="009C63D9"/>
    <w:rsid w:val="009D0178"/>
    <w:rsid w:val="009D2F48"/>
    <w:rsid w:val="009D5CCB"/>
    <w:rsid w:val="009E1040"/>
    <w:rsid w:val="009E2954"/>
    <w:rsid w:val="009E2C46"/>
    <w:rsid w:val="009F0C36"/>
    <w:rsid w:val="009F3039"/>
    <w:rsid w:val="009F684F"/>
    <w:rsid w:val="009F7FCF"/>
    <w:rsid w:val="00A00514"/>
    <w:rsid w:val="00A015C9"/>
    <w:rsid w:val="00A02F81"/>
    <w:rsid w:val="00A04594"/>
    <w:rsid w:val="00A045C3"/>
    <w:rsid w:val="00A04DE1"/>
    <w:rsid w:val="00A07B70"/>
    <w:rsid w:val="00A1073D"/>
    <w:rsid w:val="00A10E40"/>
    <w:rsid w:val="00A17C6B"/>
    <w:rsid w:val="00A21A94"/>
    <w:rsid w:val="00A22A1B"/>
    <w:rsid w:val="00A30C4D"/>
    <w:rsid w:val="00A30C90"/>
    <w:rsid w:val="00A31919"/>
    <w:rsid w:val="00A42839"/>
    <w:rsid w:val="00A44E37"/>
    <w:rsid w:val="00A45BE4"/>
    <w:rsid w:val="00A46A14"/>
    <w:rsid w:val="00A46DAE"/>
    <w:rsid w:val="00A47847"/>
    <w:rsid w:val="00A47A61"/>
    <w:rsid w:val="00A50F35"/>
    <w:rsid w:val="00A5329C"/>
    <w:rsid w:val="00A573ED"/>
    <w:rsid w:val="00A649F1"/>
    <w:rsid w:val="00A65D63"/>
    <w:rsid w:val="00A67440"/>
    <w:rsid w:val="00A7025C"/>
    <w:rsid w:val="00A70749"/>
    <w:rsid w:val="00A70BA5"/>
    <w:rsid w:val="00A70D52"/>
    <w:rsid w:val="00A731B6"/>
    <w:rsid w:val="00A745FF"/>
    <w:rsid w:val="00A77187"/>
    <w:rsid w:val="00A77D4E"/>
    <w:rsid w:val="00A81E91"/>
    <w:rsid w:val="00A82998"/>
    <w:rsid w:val="00A85A57"/>
    <w:rsid w:val="00A91D1F"/>
    <w:rsid w:val="00A91D88"/>
    <w:rsid w:val="00A955E7"/>
    <w:rsid w:val="00AA11F3"/>
    <w:rsid w:val="00AA26B5"/>
    <w:rsid w:val="00AA32D8"/>
    <w:rsid w:val="00AA4063"/>
    <w:rsid w:val="00AB46CF"/>
    <w:rsid w:val="00AB59A9"/>
    <w:rsid w:val="00AB5DCD"/>
    <w:rsid w:val="00AB6AF9"/>
    <w:rsid w:val="00AC567C"/>
    <w:rsid w:val="00AC6B0A"/>
    <w:rsid w:val="00AD03B0"/>
    <w:rsid w:val="00AD0599"/>
    <w:rsid w:val="00AD0FE4"/>
    <w:rsid w:val="00AD1A65"/>
    <w:rsid w:val="00AD46B9"/>
    <w:rsid w:val="00AE08F7"/>
    <w:rsid w:val="00AE0CF3"/>
    <w:rsid w:val="00AE21A9"/>
    <w:rsid w:val="00AE3485"/>
    <w:rsid w:val="00AE539F"/>
    <w:rsid w:val="00AE686B"/>
    <w:rsid w:val="00AF0877"/>
    <w:rsid w:val="00AF094E"/>
    <w:rsid w:val="00AF0E78"/>
    <w:rsid w:val="00AF1292"/>
    <w:rsid w:val="00AF1D53"/>
    <w:rsid w:val="00AF33DA"/>
    <w:rsid w:val="00AF3B2A"/>
    <w:rsid w:val="00AF4406"/>
    <w:rsid w:val="00AF490A"/>
    <w:rsid w:val="00B03B90"/>
    <w:rsid w:val="00B05DEF"/>
    <w:rsid w:val="00B05E75"/>
    <w:rsid w:val="00B0683E"/>
    <w:rsid w:val="00B1085A"/>
    <w:rsid w:val="00B120F3"/>
    <w:rsid w:val="00B14BFD"/>
    <w:rsid w:val="00B20945"/>
    <w:rsid w:val="00B20EA3"/>
    <w:rsid w:val="00B21D34"/>
    <w:rsid w:val="00B23830"/>
    <w:rsid w:val="00B254EC"/>
    <w:rsid w:val="00B25EB9"/>
    <w:rsid w:val="00B26514"/>
    <w:rsid w:val="00B27B87"/>
    <w:rsid w:val="00B31A30"/>
    <w:rsid w:val="00B339C3"/>
    <w:rsid w:val="00B355DD"/>
    <w:rsid w:val="00B369D2"/>
    <w:rsid w:val="00B41EA1"/>
    <w:rsid w:val="00B43321"/>
    <w:rsid w:val="00B4569B"/>
    <w:rsid w:val="00B4613B"/>
    <w:rsid w:val="00B527BC"/>
    <w:rsid w:val="00B5333E"/>
    <w:rsid w:val="00B57C2E"/>
    <w:rsid w:val="00B60316"/>
    <w:rsid w:val="00B6133C"/>
    <w:rsid w:val="00B644CD"/>
    <w:rsid w:val="00B65457"/>
    <w:rsid w:val="00B719C8"/>
    <w:rsid w:val="00B75A24"/>
    <w:rsid w:val="00B81C79"/>
    <w:rsid w:val="00B82556"/>
    <w:rsid w:val="00B828C4"/>
    <w:rsid w:val="00B901D2"/>
    <w:rsid w:val="00B928DF"/>
    <w:rsid w:val="00B941D4"/>
    <w:rsid w:val="00B94BEA"/>
    <w:rsid w:val="00B95DC4"/>
    <w:rsid w:val="00B97BF6"/>
    <w:rsid w:val="00BA08BE"/>
    <w:rsid w:val="00BA2F28"/>
    <w:rsid w:val="00BA3A19"/>
    <w:rsid w:val="00BA3B9A"/>
    <w:rsid w:val="00BA4826"/>
    <w:rsid w:val="00BA4B3E"/>
    <w:rsid w:val="00BA6545"/>
    <w:rsid w:val="00BA6FFB"/>
    <w:rsid w:val="00BA7DB8"/>
    <w:rsid w:val="00BB2EB7"/>
    <w:rsid w:val="00BB7057"/>
    <w:rsid w:val="00BB770B"/>
    <w:rsid w:val="00BC03BF"/>
    <w:rsid w:val="00BC0776"/>
    <w:rsid w:val="00BC0D80"/>
    <w:rsid w:val="00BC21A0"/>
    <w:rsid w:val="00BC29A3"/>
    <w:rsid w:val="00BC3066"/>
    <w:rsid w:val="00BC35C8"/>
    <w:rsid w:val="00BC3F79"/>
    <w:rsid w:val="00BC6CE9"/>
    <w:rsid w:val="00BD0065"/>
    <w:rsid w:val="00BD47BB"/>
    <w:rsid w:val="00BD4CFA"/>
    <w:rsid w:val="00BD594B"/>
    <w:rsid w:val="00BD5E8C"/>
    <w:rsid w:val="00BD71DE"/>
    <w:rsid w:val="00BE0CCC"/>
    <w:rsid w:val="00BE30ED"/>
    <w:rsid w:val="00BE3F7D"/>
    <w:rsid w:val="00BF0028"/>
    <w:rsid w:val="00BF1E63"/>
    <w:rsid w:val="00BF2970"/>
    <w:rsid w:val="00BF2FF0"/>
    <w:rsid w:val="00C05886"/>
    <w:rsid w:val="00C10CF1"/>
    <w:rsid w:val="00C236AD"/>
    <w:rsid w:val="00C237B8"/>
    <w:rsid w:val="00C24A99"/>
    <w:rsid w:val="00C313B9"/>
    <w:rsid w:val="00C33146"/>
    <w:rsid w:val="00C3475A"/>
    <w:rsid w:val="00C35B19"/>
    <w:rsid w:val="00C404F8"/>
    <w:rsid w:val="00C40F7E"/>
    <w:rsid w:val="00C44510"/>
    <w:rsid w:val="00C453BC"/>
    <w:rsid w:val="00C45B2D"/>
    <w:rsid w:val="00C53DA9"/>
    <w:rsid w:val="00C57BE7"/>
    <w:rsid w:val="00C57D5E"/>
    <w:rsid w:val="00C57EB4"/>
    <w:rsid w:val="00C615CD"/>
    <w:rsid w:val="00C61DC1"/>
    <w:rsid w:val="00C70851"/>
    <w:rsid w:val="00C71846"/>
    <w:rsid w:val="00C76686"/>
    <w:rsid w:val="00C81368"/>
    <w:rsid w:val="00C81692"/>
    <w:rsid w:val="00C94AA5"/>
    <w:rsid w:val="00C95858"/>
    <w:rsid w:val="00CA52AF"/>
    <w:rsid w:val="00CB3207"/>
    <w:rsid w:val="00CB7BED"/>
    <w:rsid w:val="00CC04F6"/>
    <w:rsid w:val="00CC1907"/>
    <w:rsid w:val="00CC4CBE"/>
    <w:rsid w:val="00CC7039"/>
    <w:rsid w:val="00CC793D"/>
    <w:rsid w:val="00CD000B"/>
    <w:rsid w:val="00CD0F79"/>
    <w:rsid w:val="00CD1FE5"/>
    <w:rsid w:val="00CD352B"/>
    <w:rsid w:val="00CD4007"/>
    <w:rsid w:val="00CD59BD"/>
    <w:rsid w:val="00CD6F8E"/>
    <w:rsid w:val="00CE012C"/>
    <w:rsid w:val="00CE77A6"/>
    <w:rsid w:val="00CF1367"/>
    <w:rsid w:val="00CF1824"/>
    <w:rsid w:val="00CF3DEE"/>
    <w:rsid w:val="00CF492B"/>
    <w:rsid w:val="00CF5E65"/>
    <w:rsid w:val="00CF7549"/>
    <w:rsid w:val="00D00712"/>
    <w:rsid w:val="00D05691"/>
    <w:rsid w:val="00D1327F"/>
    <w:rsid w:val="00D160C5"/>
    <w:rsid w:val="00D16B49"/>
    <w:rsid w:val="00D216C1"/>
    <w:rsid w:val="00D23E02"/>
    <w:rsid w:val="00D24F8C"/>
    <w:rsid w:val="00D24FFD"/>
    <w:rsid w:val="00D27D55"/>
    <w:rsid w:val="00D315EF"/>
    <w:rsid w:val="00D33E7B"/>
    <w:rsid w:val="00D4077F"/>
    <w:rsid w:val="00D43964"/>
    <w:rsid w:val="00D43DF8"/>
    <w:rsid w:val="00D448DB"/>
    <w:rsid w:val="00D50A01"/>
    <w:rsid w:val="00D528EA"/>
    <w:rsid w:val="00D52E0B"/>
    <w:rsid w:val="00D53368"/>
    <w:rsid w:val="00D55642"/>
    <w:rsid w:val="00D611FB"/>
    <w:rsid w:val="00D63358"/>
    <w:rsid w:val="00D66550"/>
    <w:rsid w:val="00D7269B"/>
    <w:rsid w:val="00D749F3"/>
    <w:rsid w:val="00D75F12"/>
    <w:rsid w:val="00D810E5"/>
    <w:rsid w:val="00D81797"/>
    <w:rsid w:val="00D823EC"/>
    <w:rsid w:val="00D8547F"/>
    <w:rsid w:val="00D85F00"/>
    <w:rsid w:val="00D9351A"/>
    <w:rsid w:val="00D94839"/>
    <w:rsid w:val="00D9528F"/>
    <w:rsid w:val="00DA0071"/>
    <w:rsid w:val="00DA491B"/>
    <w:rsid w:val="00DA7106"/>
    <w:rsid w:val="00DA7743"/>
    <w:rsid w:val="00DB43C5"/>
    <w:rsid w:val="00DB4755"/>
    <w:rsid w:val="00DC2C8C"/>
    <w:rsid w:val="00DD02F7"/>
    <w:rsid w:val="00DD6745"/>
    <w:rsid w:val="00DE1259"/>
    <w:rsid w:val="00DE1A04"/>
    <w:rsid w:val="00DE2184"/>
    <w:rsid w:val="00DE3F91"/>
    <w:rsid w:val="00DE422C"/>
    <w:rsid w:val="00DF1CE4"/>
    <w:rsid w:val="00DF3AA1"/>
    <w:rsid w:val="00E021C8"/>
    <w:rsid w:val="00E02483"/>
    <w:rsid w:val="00E02B58"/>
    <w:rsid w:val="00E032B2"/>
    <w:rsid w:val="00E03D94"/>
    <w:rsid w:val="00E06257"/>
    <w:rsid w:val="00E11BB9"/>
    <w:rsid w:val="00E14DD0"/>
    <w:rsid w:val="00E22C8A"/>
    <w:rsid w:val="00E2443C"/>
    <w:rsid w:val="00E31404"/>
    <w:rsid w:val="00E31513"/>
    <w:rsid w:val="00E36D40"/>
    <w:rsid w:val="00E40312"/>
    <w:rsid w:val="00E42159"/>
    <w:rsid w:val="00E42522"/>
    <w:rsid w:val="00E463E2"/>
    <w:rsid w:val="00E50C1A"/>
    <w:rsid w:val="00E54729"/>
    <w:rsid w:val="00E55046"/>
    <w:rsid w:val="00E55876"/>
    <w:rsid w:val="00E55A0A"/>
    <w:rsid w:val="00E620DB"/>
    <w:rsid w:val="00E63FA2"/>
    <w:rsid w:val="00E6492F"/>
    <w:rsid w:val="00E655E7"/>
    <w:rsid w:val="00E664DF"/>
    <w:rsid w:val="00E67B96"/>
    <w:rsid w:val="00E74D37"/>
    <w:rsid w:val="00E804AE"/>
    <w:rsid w:val="00E8067D"/>
    <w:rsid w:val="00E8072F"/>
    <w:rsid w:val="00E81FD6"/>
    <w:rsid w:val="00E853CC"/>
    <w:rsid w:val="00E87609"/>
    <w:rsid w:val="00E87EAA"/>
    <w:rsid w:val="00E925B4"/>
    <w:rsid w:val="00E94E87"/>
    <w:rsid w:val="00EA0022"/>
    <w:rsid w:val="00EA3455"/>
    <w:rsid w:val="00EA6B19"/>
    <w:rsid w:val="00EA7AAF"/>
    <w:rsid w:val="00EB1041"/>
    <w:rsid w:val="00EB2895"/>
    <w:rsid w:val="00EB3DCF"/>
    <w:rsid w:val="00EB7078"/>
    <w:rsid w:val="00EC3434"/>
    <w:rsid w:val="00ED0AE8"/>
    <w:rsid w:val="00ED1AEA"/>
    <w:rsid w:val="00EE0310"/>
    <w:rsid w:val="00EE0AC5"/>
    <w:rsid w:val="00EE1177"/>
    <w:rsid w:val="00EE2437"/>
    <w:rsid w:val="00EE26E9"/>
    <w:rsid w:val="00EE2CA2"/>
    <w:rsid w:val="00EE433D"/>
    <w:rsid w:val="00EE4F27"/>
    <w:rsid w:val="00EE4F4D"/>
    <w:rsid w:val="00EE6DAC"/>
    <w:rsid w:val="00EE6FC5"/>
    <w:rsid w:val="00EE7369"/>
    <w:rsid w:val="00EF04CF"/>
    <w:rsid w:val="00EF5EA0"/>
    <w:rsid w:val="00EF5FFB"/>
    <w:rsid w:val="00EF6D73"/>
    <w:rsid w:val="00EF6E89"/>
    <w:rsid w:val="00F00657"/>
    <w:rsid w:val="00F02B9F"/>
    <w:rsid w:val="00F02ECE"/>
    <w:rsid w:val="00F042E5"/>
    <w:rsid w:val="00F046FF"/>
    <w:rsid w:val="00F06692"/>
    <w:rsid w:val="00F06840"/>
    <w:rsid w:val="00F06CDF"/>
    <w:rsid w:val="00F07409"/>
    <w:rsid w:val="00F10172"/>
    <w:rsid w:val="00F11291"/>
    <w:rsid w:val="00F133FD"/>
    <w:rsid w:val="00F13598"/>
    <w:rsid w:val="00F1640F"/>
    <w:rsid w:val="00F20BE8"/>
    <w:rsid w:val="00F21080"/>
    <w:rsid w:val="00F213A2"/>
    <w:rsid w:val="00F242CC"/>
    <w:rsid w:val="00F260A0"/>
    <w:rsid w:val="00F31626"/>
    <w:rsid w:val="00F349A0"/>
    <w:rsid w:val="00F36C93"/>
    <w:rsid w:val="00F424D8"/>
    <w:rsid w:val="00F42DAD"/>
    <w:rsid w:val="00F45E57"/>
    <w:rsid w:val="00F52200"/>
    <w:rsid w:val="00F56E45"/>
    <w:rsid w:val="00F60E27"/>
    <w:rsid w:val="00F61079"/>
    <w:rsid w:val="00F61132"/>
    <w:rsid w:val="00F61B2C"/>
    <w:rsid w:val="00F620F9"/>
    <w:rsid w:val="00F63C2E"/>
    <w:rsid w:val="00F70578"/>
    <w:rsid w:val="00F713B2"/>
    <w:rsid w:val="00F71CD1"/>
    <w:rsid w:val="00F74582"/>
    <w:rsid w:val="00F80812"/>
    <w:rsid w:val="00F80F76"/>
    <w:rsid w:val="00F81B97"/>
    <w:rsid w:val="00F82261"/>
    <w:rsid w:val="00F82FD3"/>
    <w:rsid w:val="00F83674"/>
    <w:rsid w:val="00F84CFC"/>
    <w:rsid w:val="00F8531E"/>
    <w:rsid w:val="00F8569D"/>
    <w:rsid w:val="00F90481"/>
    <w:rsid w:val="00F917A9"/>
    <w:rsid w:val="00F94728"/>
    <w:rsid w:val="00F9555C"/>
    <w:rsid w:val="00F9727D"/>
    <w:rsid w:val="00FA06F1"/>
    <w:rsid w:val="00FA1277"/>
    <w:rsid w:val="00FA1FB7"/>
    <w:rsid w:val="00FA2158"/>
    <w:rsid w:val="00FA5E01"/>
    <w:rsid w:val="00FA7BF2"/>
    <w:rsid w:val="00FA7D5F"/>
    <w:rsid w:val="00FB35D4"/>
    <w:rsid w:val="00FB396F"/>
    <w:rsid w:val="00FB3F9E"/>
    <w:rsid w:val="00FB5913"/>
    <w:rsid w:val="00FC0DE0"/>
    <w:rsid w:val="00FC1D0A"/>
    <w:rsid w:val="00FC3EAC"/>
    <w:rsid w:val="00FC3FE4"/>
    <w:rsid w:val="00FC49C6"/>
    <w:rsid w:val="00FD0ACA"/>
    <w:rsid w:val="00FD58AD"/>
    <w:rsid w:val="00FD61B6"/>
    <w:rsid w:val="00FE2AE2"/>
    <w:rsid w:val="00FF0A7D"/>
    <w:rsid w:val="00FF1B3C"/>
    <w:rsid w:val="00FF1FDE"/>
    <w:rsid w:val="00FF255D"/>
    <w:rsid w:val="00FF34E3"/>
    <w:rsid w:val="00FF4F42"/>
    <w:rsid w:val="00FF547D"/>
    <w:rsid w:val="00FF5E60"/>
    <w:rsid w:val="00FF687A"/>
    <w:rsid w:val="00FF70CB"/>
    <w:rsid w:val="1ACF9879"/>
    <w:rsid w:val="403D66A2"/>
    <w:rsid w:val="48946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CC03AE"/>
  <w14:defaultImageDpi w14:val="32767"/>
  <w15:docId w15:val="{A6B0EA6D-CCDD-4578-801C-E7EAED04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Calibri" w:hAnsi="Times New Roman" w:cs="Times New Roman"/>
      <w:lang w:eastAsia="en-US"/>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Balloon Text"/>
    <w:basedOn w:val="a"/>
    <w:link w:val="a6"/>
    <w:uiPriority w:val="99"/>
    <w:semiHidden/>
    <w:unhideWhenUsed/>
    <w:rPr>
      <w:rFonts w:ascii="Segoe UI" w:hAnsi="Segoe UI" w:cs="Segoe UI"/>
      <w:sz w:val="18"/>
      <w:szCs w:val="18"/>
    </w:rPr>
  </w:style>
  <w:style w:type="paragraph" w:styleId="a7">
    <w:name w:val="footer"/>
    <w:basedOn w:val="a"/>
    <w:link w:val="a8"/>
    <w:uiPriority w:val="99"/>
    <w:unhideWhenUsed/>
    <w:pPr>
      <w:tabs>
        <w:tab w:val="center" w:pos="4680"/>
        <w:tab w:val="right" w:pos="9360"/>
      </w:tabs>
    </w:pPr>
  </w:style>
  <w:style w:type="paragraph" w:styleId="a9">
    <w:name w:val="header"/>
    <w:basedOn w:val="a"/>
    <w:link w:val="aa"/>
    <w:uiPriority w:val="99"/>
    <w:unhideWhenUsed/>
    <w:pPr>
      <w:tabs>
        <w:tab w:val="center" w:pos="4680"/>
        <w:tab w:val="right" w:pos="9360"/>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paragraph" w:styleId="ab">
    <w:name w:val="Normal (Web)"/>
    <w:basedOn w:val="a"/>
    <w:uiPriority w:val="99"/>
    <w:semiHidden/>
    <w:unhideWhenUsed/>
    <w:rPr>
      <w:sz w:val="24"/>
      <w:szCs w:val="24"/>
    </w:rPr>
  </w:style>
  <w:style w:type="paragraph" w:styleId="ac">
    <w:name w:val="Title"/>
    <w:basedOn w:val="a"/>
    <w:next w:val="a"/>
    <w:link w:val="ad"/>
    <w:uiPriority w:val="10"/>
    <w:qFormat/>
    <w:pPr>
      <w:contextualSpacing/>
      <w:jc w:val="center"/>
    </w:pPr>
    <w:rPr>
      <w:rFonts w:eastAsiaTheme="majorEastAsia" w:cstheme="majorBidi"/>
      <w:b/>
      <w:spacing w:val="-10"/>
      <w:kern w:val="28"/>
      <w:sz w:val="28"/>
      <w:szCs w:val="56"/>
    </w:rPr>
  </w:style>
  <w:style w:type="paragraph" w:styleId="ae">
    <w:name w:val="annotation subject"/>
    <w:basedOn w:val="a3"/>
    <w:next w:val="a3"/>
    <w:link w:val="af"/>
    <w:uiPriority w:val="99"/>
    <w:semiHidden/>
    <w:unhideWhenUsed/>
    <w:rPr>
      <w:b/>
      <w:bCs/>
    </w:rPr>
  </w:style>
  <w:style w:type="character" w:styleId="af0">
    <w:name w:val="FollowedHyperlink"/>
    <w:basedOn w:val="a0"/>
    <w:uiPriority w:val="99"/>
    <w:semiHidden/>
    <w:unhideWhenUsed/>
    <w:rPr>
      <w:color w:val="954F72" w:themeColor="followedHyperlink"/>
      <w:u w:val="single"/>
    </w:rPr>
  </w:style>
  <w:style w:type="character" w:styleId="af1">
    <w:name w:val="Emphasis"/>
    <w:basedOn w:val="a0"/>
    <w:uiPriority w:val="20"/>
    <w:qFormat/>
    <w:rPr>
      <w:i/>
      <w:iCs/>
    </w:rPr>
  </w:style>
  <w:style w:type="character" w:styleId="af2">
    <w:name w:val="line number"/>
    <w:basedOn w:val="a0"/>
    <w:uiPriority w:val="99"/>
    <w:semiHidden/>
    <w:unhideWhenUsed/>
  </w:style>
  <w:style w:type="character" w:styleId="af3">
    <w:name w:val="Hyperlink"/>
    <w:rPr>
      <w:color w:val="0000FF"/>
      <w:u w:val="single"/>
    </w:rPr>
  </w:style>
  <w:style w:type="character" w:styleId="af4">
    <w:name w:val="annotation reference"/>
    <w:basedOn w:val="a0"/>
    <w:uiPriority w:val="99"/>
    <w:semiHidden/>
    <w:unhideWhenUsed/>
    <w:rPr>
      <w:sz w:val="16"/>
      <w:szCs w:val="16"/>
    </w:rPr>
  </w:style>
  <w:style w:type="paragraph" w:customStyle="1" w:styleId="Reference">
    <w:name w:val="Reference"/>
    <w:basedOn w:val="a"/>
    <w:pPr>
      <w:spacing w:before="120"/>
      <w:ind w:left="720" w:hanging="720"/>
    </w:pPr>
    <w:rPr>
      <w:rFonts w:eastAsia="Times New Roman"/>
      <w:sz w:val="24"/>
      <w:szCs w:val="24"/>
    </w:rPr>
  </w:style>
  <w:style w:type="paragraph" w:customStyle="1" w:styleId="Heading-Secondary">
    <w:name w:val="Heading-Secondary"/>
    <w:basedOn w:val="Heading-Main"/>
    <w:qFormat/>
    <w:pPr>
      <w:ind w:left="720"/>
    </w:pPr>
    <w:rPr>
      <w:b w:val="0"/>
    </w:rPr>
  </w:style>
  <w:style w:type="paragraph" w:customStyle="1" w:styleId="Heading-Main">
    <w:name w:val="Heading-Main"/>
    <w:basedOn w:val="a"/>
    <w:pPr>
      <w:keepNext/>
      <w:spacing w:before="240" w:after="120"/>
      <w:outlineLvl w:val="0"/>
    </w:pPr>
    <w:rPr>
      <w:rFonts w:eastAsia="Times New Roman"/>
      <w:b/>
      <w:bCs/>
      <w:kern w:val="28"/>
      <w:sz w:val="24"/>
      <w:szCs w:val="24"/>
    </w:rPr>
  </w:style>
  <w:style w:type="paragraph" w:customStyle="1" w:styleId="Authors">
    <w:name w:val="Authors"/>
    <w:basedOn w:val="a"/>
    <w:pPr>
      <w:spacing w:before="120" w:after="360"/>
    </w:pPr>
    <w:rPr>
      <w:rFonts w:eastAsia="Times New Roman"/>
      <w:b/>
      <w:sz w:val="24"/>
      <w:szCs w:val="24"/>
    </w:rPr>
  </w:style>
  <w:style w:type="paragraph" w:customStyle="1" w:styleId="Text">
    <w:name w:val="Text"/>
    <w:basedOn w:val="a"/>
    <w:qFormat/>
    <w:pPr>
      <w:spacing w:before="120"/>
      <w:ind w:firstLine="720"/>
    </w:pPr>
    <w:rPr>
      <w:rFonts w:eastAsia="Times New Roman"/>
      <w:sz w:val="24"/>
      <w:szCs w:val="24"/>
    </w:rPr>
  </w:style>
  <w:style w:type="paragraph" w:customStyle="1" w:styleId="FigureorTableCaption">
    <w:name w:val="Figure or Table Caption"/>
    <w:basedOn w:val="a"/>
    <w:pPr>
      <w:keepNext/>
      <w:spacing w:before="240"/>
      <w:outlineLvl w:val="0"/>
    </w:pPr>
    <w:rPr>
      <w:rFonts w:eastAsia="Times New Roman"/>
      <w:kern w:val="28"/>
      <w:sz w:val="24"/>
      <w:szCs w:val="24"/>
    </w:rPr>
  </w:style>
  <w:style w:type="character" w:customStyle="1" w:styleId="aa">
    <w:name w:val="页眉 字符"/>
    <w:basedOn w:val="a0"/>
    <w:link w:val="a9"/>
    <w:uiPriority w:val="99"/>
    <w:rPr>
      <w:rFonts w:ascii="Times New Roman" w:eastAsia="Calibri" w:hAnsi="Times New Roman" w:cs="Times New Roman"/>
      <w:sz w:val="20"/>
      <w:szCs w:val="20"/>
    </w:rPr>
  </w:style>
  <w:style w:type="paragraph" w:customStyle="1" w:styleId="Affiliation">
    <w:name w:val="Affiliation"/>
    <w:basedOn w:val="Text"/>
    <w:qFormat/>
    <w:pPr>
      <w:ind w:firstLine="0"/>
    </w:pPr>
  </w:style>
  <w:style w:type="paragraph" w:customStyle="1" w:styleId="KeyPoints">
    <w:name w:val="Key Points"/>
    <w:basedOn w:val="a"/>
    <w:pPr>
      <w:spacing w:before="120"/>
    </w:pPr>
    <w:rPr>
      <w:rFonts w:eastAsia="Times New Roman"/>
      <w:sz w:val="24"/>
      <w:szCs w:val="24"/>
    </w:rPr>
  </w:style>
  <w:style w:type="paragraph" w:customStyle="1" w:styleId="Abstract">
    <w:name w:val="Abstract"/>
    <w:basedOn w:val="a"/>
    <w:qFormat/>
    <w:pPr>
      <w:spacing w:before="120"/>
    </w:pPr>
    <w:rPr>
      <w:rFonts w:eastAsia="Times New Roman"/>
      <w:sz w:val="24"/>
      <w:szCs w:val="24"/>
    </w:rPr>
  </w:style>
  <w:style w:type="character" w:customStyle="1" w:styleId="ad">
    <w:name w:val="标题 字符"/>
    <w:basedOn w:val="a0"/>
    <w:link w:val="ac"/>
    <w:uiPriority w:val="10"/>
    <w:rPr>
      <w:rFonts w:ascii="Times New Roman" w:eastAsiaTheme="majorEastAsia" w:hAnsi="Times New Roman" w:cstheme="majorBidi"/>
      <w:b/>
      <w:spacing w:val="-10"/>
      <w:kern w:val="28"/>
      <w:sz w:val="28"/>
      <w:szCs w:val="56"/>
    </w:rPr>
  </w:style>
  <w:style w:type="paragraph" w:customStyle="1" w:styleId="Note">
    <w:name w:val="Note"/>
    <w:basedOn w:val="a"/>
    <w:qFormat/>
    <w:pPr>
      <w:spacing w:before="240" w:after="240"/>
    </w:pPr>
    <w:rPr>
      <w:color w:val="00B0F0"/>
    </w:rPr>
  </w:style>
  <w:style w:type="character" w:customStyle="1" w:styleId="a8">
    <w:name w:val="页脚 字符"/>
    <w:basedOn w:val="a0"/>
    <w:link w:val="a7"/>
    <w:uiPriority w:val="99"/>
    <w:rPr>
      <w:rFonts w:ascii="Times New Roman" w:eastAsia="Calibri" w:hAnsi="Times New Roman" w:cs="Times New Roman"/>
      <w:sz w:val="20"/>
      <w:szCs w:val="20"/>
    </w:rPr>
  </w:style>
  <w:style w:type="paragraph" w:styleId="af5">
    <w:name w:val="List Paragraph"/>
    <w:basedOn w:val="a"/>
    <w:uiPriority w:val="34"/>
    <w:qFormat/>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Pr>
      <w:color w:val="808080"/>
      <w:shd w:val="clear" w:color="auto" w:fill="E6E6E6"/>
    </w:rPr>
  </w:style>
  <w:style w:type="character" w:customStyle="1" w:styleId="a6">
    <w:name w:val="批注框文本 字符"/>
    <w:basedOn w:val="a0"/>
    <w:link w:val="a5"/>
    <w:uiPriority w:val="99"/>
    <w:semiHidden/>
    <w:rPr>
      <w:rFonts w:ascii="Segoe UI" w:eastAsia="Calibri" w:hAnsi="Segoe UI" w:cs="Segoe UI"/>
      <w:sz w:val="18"/>
      <w:szCs w:val="18"/>
    </w:rPr>
  </w:style>
  <w:style w:type="paragraph" w:customStyle="1" w:styleId="10">
    <w:name w:val="修订1"/>
    <w:hidden/>
    <w:uiPriority w:val="99"/>
    <w:semiHidden/>
    <w:rPr>
      <w:rFonts w:ascii="Times New Roman" w:eastAsia="Calibri" w:hAnsi="Times New Roman" w:cs="Times New Roman"/>
      <w:lang w:eastAsia="en-US"/>
    </w:rPr>
  </w:style>
  <w:style w:type="paragraph" w:customStyle="1" w:styleId="11">
    <w:name w:val="书目1"/>
    <w:basedOn w:val="a"/>
    <w:next w:val="a"/>
    <w:uiPriority w:val="37"/>
    <w:unhideWhenUsed/>
    <w:rsid w:val="005D0465"/>
    <w:pPr>
      <w:ind w:left="720" w:hanging="720"/>
    </w:pPr>
  </w:style>
  <w:style w:type="character" w:customStyle="1" w:styleId="40">
    <w:name w:val="标题 4 字符"/>
    <w:basedOn w:val="a0"/>
    <w:link w:val="4"/>
    <w:uiPriority w:val="9"/>
    <w:rPr>
      <w:rFonts w:ascii="宋体" w:hAnsi="宋体" w:cs="宋体"/>
      <w:b/>
      <w:bCs/>
      <w:lang w:eastAsia="zh-CN"/>
    </w:rPr>
  </w:style>
  <w:style w:type="character" w:customStyle="1" w:styleId="ng-star-inserted">
    <w:name w:val="ng-star-inserted"/>
    <w:basedOn w:val="a0"/>
  </w:style>
  <w:style w:type="character" w:customStyle="1" w:styleId="30">
    <w:name w:val="标题 3 字符"/>
    <w:basedOn w:val="a0"/>
    <w:link w:val="3"/>
    <w:uiPriority w:val="9"/>
    <w:semiHidden/>
    <w:rPr>
      <w:rFonts w:ascii="Times New Roman" w:eastAsia="Calibri" w:hAnsi="Times New Roman" w:cs="Times New Roman"/>
      <w:b/>
      <w:bCs/>
      <w:sz w:val="32"/>
      <w:szCs w:val="32"/>
    </w:rPr>
  </w:style>
  <w:style w:type="character" w:customStyle="1" w:styleId="apple-converted-space">
    <w:name w:val="apple-converted-space"/>
    <w:basedOn w:val="a0"/>
  </w:style>
  <w:style w:type="character" w:customStyle="1" w:styleId="HTML0">
    <w:name w:val="HTML 预设格式 字符"/>
    <w:basedOn w:val="a0"/>
    <w:link w:val="HTML"/>
    <w:uiPriority w:val="99"/>
    <w:rPr>
      <w:rFonts w:ascii="宋体" w:hAnsi="宋体" w:cs="宋体"/>
      <w:lang w:eastAsia="zh-CN"/>
    </w:rPr>
  </w:style>
  <w:style w:type="character" w:customStyle="1" w:styleId="ng-star-inserted1">
    <w:name w:val="ng-star-inserted1"/>
    <w:basedOn w:val="a0"/>
  </w:style>
  <w:style w:type="character" w:customStyle="1" w:styleId="2">
    <w:name w:val="未处理的提及2"/>
    <w:basedOn w:val="a0"/>
    <w:uiPriority w:val="99"/>
    <w:semiHidden/>
    <w:unhideWhenUsed/>
    <w:rPr>
      <w:color w:val="605E5C"/>
      <w:shd w:val="clear" w:color="auto" w:fill="E1DFDD"/>
    </w:rPr>
  </w:style>
  <w:style w:type="character" w:customStyle="1" w:styleId="a4">
    <w:name w:val="批注文字 字符"/>
    <w:basedOn w:val="a0"/>
    <w:link w:val="a3"/>
    <w:uiPriority w:val="99"/>
    <w:rPr>
      <w:rFonts w:ascii="Times New Roman" w:eastAsia="Calibri" w:hAnsi="Times New Roman" w:cs="Times New Roman"/>
      <w:sz w:val="20"/>
      <w:szCs w:val="20"/>
    </w:rPr>
  </w:style>
  <w:style w:type="character" w:customStyle="1" w:styleId="af">
    <w:name w:val="批注主题 字符"/>
    <w:basedOn w:val="a4"/>
    <w:link w:val="ae"/>
    <w:uiPriority w:val="99"/>
    <w:semiHidden/>
    <w:rPr>
      <w:rFonts w:ascii="Times New Roman" w:eastAsia="Calibri" w:hAnsi="Times New Roman" w:cs="Times New Roman"/>
      <w:b/>
      <w:bCs/>
      <w:sz w:val="20"/>
      <w:szCs w:val="20"/>
    </w:rPr>
  </w:style>
  <w:style w:type="paragraph" w:styleId="af6">
    <w:name w:val="Revision"/>
    <w:hidden/>
    <w:uiPriority w:val="99"/>
    <w:semiHidden/>
    <w:rsid w:val="00FA06F1"/>
    <w:rPr>
      <w:rFonts w:ascii="Times New Roman" w:eastAsia="Calibri" w:hAnsi="Times New Roman" w:cs="Times New Roman"/>
      <w:lang w:eastAsia="en-US"/>
    </w:rPr>
  </w:style>
  <w:style w:type="character" w:styleId="af7">
    <w:name w:val="Strong"/>
    <w:basedOn w:val="a0"/>
    <w:uiPriority w:val="22"/>
    <w:qFormat/>
    <w:rsid w:val="005D6F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341536">
      <w:bodyDiv w:val="1"/>
      <w:marLeft w:val="0"/>
      <w:marRight w:val="0"/>
      <w:marTop w:val="0"/>
      <w:marBottom w:val="0"/>
      <w:divBdr>
        <w:top w:val="none" w:sz="0" w:space="0" w:color="auto"/>
        <w:left w:val="none" w:sz="0" w:space="0" w:color="auto"/>
        <w:bottom w:val="none" w:sz="0" w:space="0" w:color="auto"/>
        <w:right w:val="none" w:sz="0" w:space="0" w:color="auto"/>
      </w:divBdr>
    </w:div>
    <w:div w:id="908998024">
      <w:bodyDiv w:val="1"/>
      <w:marLeft w:val="0"/>
      <w:marRight w:val="0"/>
      <w:marTop w:val="0"/>
      <w:marBottom w:val="0"/>
      <w:divBdr>
        <w:top w:val="none" w:sz="0" w:space="0" w:color="auto"/>
        <w:left w:val="none" w:sz="0" w:space="0" w:color="auto"/>
        <w:bottom w:val="none" w:sz="0" w:space="0" w:color="auto"/>
        <w:right w:val="none" w:sz="0" w:space="0" w:color="auto"/>
      </w:divBdr>
    </w:div>
    <w:div w:id="106503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ecmwf.int/en/forecasts/datasets/set-i"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microsoft/LightGBM" TargetMode="External"/><Relationship Id="rId7" Type="http://schemas.openxmlformats.org/officeDocument/2006/relationships/endnotes" Target="endnotes.xml"/><Relationship Id="rId12" Type="http://schemas.openxmlformats.org/officeDocument/2006/relationships/hyperlink" Target="mailto:Yongluo@tsinghua.edu.cn" TargetMode="External"/><Relationship Id="rId17" Type="http://schemas.openxmlformats.org/officeDocument/2006/relationships/hyperlink" Target="https://github.com/Xiax24/ExtendedProfile-WindPower-Forecasting"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doi.org/10.5281/zenodo.18671960" TargetMode="External"/><Relationship Id="rId20" Type="http://schemas.openxmlformats.org/officeDocument/2006/relationships/hyperlink" Target="https://www2.mmm.ucar.edu/wrf/users/download/get_sourc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iax24@mails.tsinghua.edu.cn"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yperlink" Target="https://www.ncei.noaa.gov/products/weather-climate-models/global-forecas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FD7FD-642D-4BE2-8382-2EDE9C020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19</Pages>
  <Words>19687</Words>
  <Characters>112220</Characters>
  <Application>Microsoft Office Word</Application>
  <DocSecurity>0</DocSecurity>
  <Lines>935</Lines>
  <Paragraphs>263</Paragraphs>
  <ScaleCrop>false</ScaleCrop>
  <Company/>
  <LinksUpToDate>false</LinksUpToDate>
  <CharactersWithSpaces>131644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Hanson</dc:creator>
  <cp:lastModifiedBy>win</cp:lastModifiedBy>
  <cp:revision>325</cp:revision>
  <dcterms:created xsi:type="dcterms:W3CDTF">2026-03-10T07:44:00Z</dcterms:created>
  <dcterms:modified xsi:type="dcterms:W3CDTF">2026-04-15T01:01:00Z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id="aRpZKhEX"/&gt;&lt;style id="http://www.zotero.org/styles/geophysical-research-letters" hasBibliography="1" bibliographyStyleHasBeenSet="1"/&gt;&lt;prefs&gt;&lt;pref name="fieldType" value="Field"/&gt;&lt;/prefs&gt;&lt;/data&gt;</vt:lpwstr>
  </property>
  <property fmtid="{D5CDD505-2E9C-101B-9397-08002B2CF9AE}" pid="3" name="KSOProductBuildVer">
    <vt:lpwstr>2052-11.8.2.11019</vt:lpwstr>
  </property>
  <property fmtid="{D5CDD505-2E9C-101B-9397-08002B2CF9AE}" pid="4" name="ICV">
    <vt:lpwstr>085A9B2396D041A2AA33C16CAF036344</vt:lpwstr>
  </property>
</Properties>
</file>