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2073" w:rsidRPr="00391FA4" w:rsidRDefault="00391FA4" w:rsidP="002C2073">
      <w:pPr>
        <w:widowControl/>
        <w:spacing w:before="100" w:beforeAutospacing="1" w:after="100" w:afterAutospacing="1" w:line="480" w:lineRule="auto"/>
        <w:jc w:val="center"/>
        <w:rPr>
          <w:rFonts w:ascii="Calibri" w:eastAsia="宋体" w:hAnsi="Calibri" w:cs="Calibri"/>
          <w:color w:val="000000"/>
          <w:kern w:val="0"/>
          <w:sz w:val="28"/>
          <w:szCs w:val="28"/>
          <w14:ligatures w14:val="none"/>
        </w:rPr>
      </w:pPr>
      <w:bookmarkStart w:id="0" w:name="OLE_LINK5"/>
      <w:bookmarkStart w:id="1" w:name="OLE_LINK4"/>
      <w:r w:rsidRPr="00391FA4">
        <w:rPr>
          <w:rFonts w:ascii="Calibri" w:eastAsia="宋体" w:hAnsi="Calibri" w:cs="Calibri"/>
          <w:color w:val="000000"/>
          <w:kern w:val="0"/>
          <w:sz w:val="28"/>
          <w:szCs w:val="28"/>
          <w14:ligatures w14:val="none"/>
        </w:rPr>
        <w:t xml:space="preserve">Multi-Height and Flow-Regime-Dependent </w:t>
      </w:r>
      <w:r w:rsidR="00745A37">
        <w:rPr>
          <w:rFonts w:ascii="Calibri" w:eastAsia="宋体" w:hAnsi="Calibri" w:cs="Calibri"/>
          <w:color w:val="000000"/>
          <w:kern w:val="0"/>
          <w:sz w:val="28"/>
          <w:szCs w:val="28"/>
          <w14:ligatures w14:val="none"/>
        </w:rPr>
        <w:t>Input</w:t>
      </w:r>
      <w:r w:rsidRPr="00391FA4">
        <w:rPr>
          <w:rFonts w:ascii="Calibri" w:eastAsia="宋体" w:hAnsi="Calibri" w:cs="Calibri" w:hint="eastAsia"/>
          <w:color w:val="000000"/>
          <w:kern w:val="0"/>
          <w:sz w:val="28"/>
          <w:szCs w:val="28"/>
          <w14:ligatures w14:val="none"/>
        </w:rPr>
        <w:t>s</w:t>
      </w:r>
      <w:r w:rsidRPr="00391FA4">
        <w:rPr>
          <w:rFonts w:ascii="Calibri" w:eastAsia="宋体" w:hAnsi="Calibri" w:cs="Calibri"/>
          <w:color w:val="000000"/>
          <w:kern w:val="0"/>
          <w:sz w:val="28"/>
          <w:szCs w:val="28"/>
          <w14:ligatures w14:val="none"/>
        </w:rPr>
        <w:t xml:space="preserve"> for Day-Ahead Wind Farm Power Forecasting</w:t>
      </w:r>
    </w:p>
    <w:p w:rsidR="002C2073" w:rsidRDefault="00640A47" w:rsidP="005E7115">
      <w:pPr>
        <w:widowControl/>
        <w:spacing w:before="100" w:beforeAutospacing="1" w:after="100" w:afterAutospacing="1" w:line="36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 xml:space="preserve">1. </w:t>
      </w:r>
      <w:r w:rsidR="002C2073">
        <w:rPr>
          <w:rFonts w:ascii="Calibri" w:eastAsia="宋体" w:hAnsi="Calibri" w:cs="Calibri"/>
          <w:color w:val="000000"/>
          <w:kern w:val="0"/>
          <w:sz w:val="24"/>
          <w14:ligatures w14:val="none"/>
        </w:rPr>
        <w:t>I</w:t>
      </w:r>
      <w:r w:rsidR="002C2073">
        <w:rPr>
          <w:rFonts w:ascii="Calibri" w:eastAsia="宋体" w:hAnsi="Calibri" w:cs="Calibri" w:hint="eastAsia"/>
          <w:color w:val="000000"/>
          <w:kern w:val="0"/>
          <w:sz w:val="24"/>
          <w14:ligatures w14:val="none"/>
        </w:rPr>
        <w:t>ntroduction</w:t>
      </w:r>
    </w:p>
    <w:p w:rsidR="00394449" w:rsidRDefault="00394449"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394449">
        <w:rPr>
          <w:rFonts w:ascii="Calibri" w:eastAsia="宋体" w:hAnsi="Calibri" w:cs="Calibri"/>
          <w:color w:val="000000"/>
          <w:kern w:val="0"/>
          <w:sz w:val="24"/>
          <w14:ligatures w14:val="none"/>
        </w:rPr>
        <w:t>Accurate day-ahead wind farm power forecasting is essential for power‐system operation, electricity markets, and the large-scale integration of variable renewable energy</w:t>
      </w:r>
      <w:r w:rsidR="00EC1864">
        <w:rPr>
          <w:rFonts w:ascii="Calibri" w:eastAsia="宋体" w:hAnsi="Calibri" w:cs="Calibri"/>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{"citationID":"FYJ4jqHq","properties":{"formattedCitation":"(Holttinen, 2005; Mahoney et al., 2012)","plainCitation":"(Holttinen, 2005; Mahoney et al., 2012)","noteIndex":0},"citationItems":[{"id":1627,"uris":["http://zotero.org/users/14274501/items/KNDMQHAV"],"itemData":{"id":1627,"type":"article-journal","abstract":"This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ts of a more </w:instrText>
      </w:r>
      <w:r w:rsidR="00401647">
        <w:rPr>
          <w:rFonts w:ascii="Times New Roman" w:eastAsia="宋体" w:hAnsi="Times New Roman" w:cs="Times New Roman"/>
          <w:color w:val="000000"/>
          <w:kern w:val="0"/>
          <w:sz w:val="24"/>
          <w14:ligatures w14:val="none"/>
        </w:rPr>
        <w:instrText>ﬂ</w:instrText>
      </w:r>
      <w:r w:rsidR="00401647">
        <w:rPr>
          <w:rFonts w:ascii="Calibri" w:eastAsia="宋体" w:hAnsi="Calibri" w:cs="Calibri"/>
          <w:color w:val="000000"/>
          <w:kern w:val="0"/>
          <w:sz w:val="24"/>
          <w14:ligatures w14:val="none"/>
        </w:rPr>
        <w:instrText>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cit production could be traded 2 h before delivery could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(Holttinen, 2005; Mahoney et al., 2012)</w:t>
      </w:r>
      <w:r w:rsidR="00EC1864">
        <w:rPr>
          <w:rFonts w:ascii="Calibri" w:eastAsia="宋体" w:hAnsi="Calibri" w:cs="Calibri"/>
          <w:color w:val="000000"/>
          <w:kern w:val="0"/>
          <w:sz w:val="24"/>
          <w14:ligatures w14:val="none"/>
        </w:rPr>
        <w:fldChar w:fldCharType="end"/>
      </w:r>
      <w:r w:rsidRPr="00394449">
        <w:rPr>
          <w:rFonts w:ascii="Calibri" w:eastAsia="宋体" w:hAnsi="Calibri" w:cs="Calibri"/>
          <w:color w:val="000000"/>
          <w:kern w:val="0"/>
          <w:sz w:val="24"/>
          <w14:ligatures w14:val="none"/>
        </w:rPr>
        <w:t>. Forecast depends not only on model but also on the physical relevance of meteorological inputs</w:t>
      </w:r>
      <w:r w:rsidR="00EC1864">
        <w:rPr>
          <w:rFonts w:ascii="Calibri" w:eastAsia="宋体" w:hAnsi="Calibri" w:cs="Calibri" w:hint="eastAsia"/>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D02340">
        <w:rPr>
          <w:rFonts w:ascii="Calibri" w:eastAsia="宋体" w:hAnsi="Calibri" w:cs="Calibri"/>
          <w:color w:val="000000"/>
          <w:kern w:val="0"/>
          <w:sz w:val="24"/>
          <w14:ligatures w14:val="none"/>
        </w:rPr>
        <w:instrText xml:space="preserve"> ADDIN ZOTERO_ITEM CSL_CITATION {"citationID":"duzA2wVf","properties":{"formattedCitation":"(Optis &amp; Perr-Sauer, 2019a)","plainCitation":"(Optis &amp; Perr-Sauer, 2019a)","noteIndex":0},"citationItems":[{"id":1629,"uris":["http://zotero.org/users/14274501/items/H7R5M7ZN"],"itemData":{"id":1629,"type":"article-journal","abstract":"Machine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D02340">
        <w:rPr>
          <w:rFonts w:ascii="Calibri" w:eastAsia="宋体" w:hAnsi="Calibri" w:cs="Calibri"/>
          <w:noProof/>
          <w:color w:val="000000"/>
          <w:kern w:val="0"/>
          <w:sz w:val="24"/>
          <w14:ligatures w14:val="none"/>
        </w:rPr>
        <w:t>(Optis &amp; Perr-Sauer, 2019a)</w:t>
      </w:r>
      <w:r w:rsidR="00EC1864">
        <w:rPr>
          <w:rFonts w:ascii="Calibri" w:eastAsia="宋体" w:hAnsi="Calibri" w:cs="Calibri"/>
          <w:color w:val="000000"/>
          <w:kern w:val="0"/>
          <w:sz w:val="24"/>
          <w14:ligatures w14:val="none"/>
        </w:rPr>
        <w:fldChar w:fldCharType="end"/>
      </w:r>
      <w:r w:rsidRPr="00394449">
        <w:rPr>
          <w:rFonts w:ascii="Calibri" w:eastAsia="宋体" w:hAnsi="Calibri" w:cs="Calibri"/>
          <w:color w:val="000000"/>
          <w:kern w:val="0"/>
          <w:sz w:val="24"/>
          <w14:ligatures w14:val="none"/>
        </w:rPr>
        <w:t xml:space="preserve">. However, recent forecasting research has placed disproportionate emphasis on developing deep learning architectures, hyperparameter optimization, and post-processing techniques, </w:t>
      </w:r>
      <w:r w:rsidR="002D002E">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{"citationID":"C5kFDdu9","properties":{"formattedCitation":"(Haq et al., 2025; Verdone et al., 2025)","plainCitation":"(Haq et al., 2025; Verdone et al., 2025)","noteIndex":0},"citationItems":[{"id":1373,"uris":["http://zotero.org/users/14274501/items/EWPGWRNY"],"itemData":{"id":1373,"type":"article-journal","abstract":"The energy sector is undergoing a radical transformation towards an electricity generation system composed mainly of renewable energy sources. Although they offer several advantages compared to fossil fuels (such as scarcity and import-dependency), their stochastic nature makes them unreliable without an adequate storage system. Since electrical networks are characterized by complex dynamics, numerous methods for predicting renewable electricity production have been developed over the years. Among them, machine learning and deep learning methods in this field can be considered successful tools. In this review, we offer an overview of the methodologies applied to the task of renewable energy source forecasting, focusing on solar and wind. We classified methods depending on the number of sites and spatio-temporal information involved in the prediction. Recent research has demonstrated how the processing of simultaneous information coming from multiple plants allows the predictive system to take advantage of both temporal and spatial knowledge of the plants generating the related time series. Moreover, we have analyzed in detail the datasets employed in these experiments, to offer a clear and unified view of the experimental setups and the difficulty in producing a benchmark to compare methods. The purpose of this review is to offer the reader an updated view of the most modern renewable energy forecasting systems by comparing methodologies and approaches used in state-of-the-art research and providing a critical analysis of them.","container-title":"Applied Energy","DOI":"10.1016/j.apenergy.2025.126016","ISSN":"03062619","journalAbbreviation":"Appl. Energy","language":"en","page":"126016","source":"DOI.org (Crossref)","title":"A review of solar and wind energy forecasting: from single-site to multi-site paradigm","title-short":"A review of solar and wind energy forecasting","volume":"392","author":[{"family":"Verdone","given":"Alessio"},{"family":"Panella","given":"Massimo"},{"family":"De Santis","given":"Enrico"},{"family":"Rizzi","given":"Antonello"}],"issued":{"date-parts":[["2025",8]]}}},{"id":1511,"uris":["http://zotero.org/users/14274501/items/K9NNST6B"],"itemData":{"id":1511,"type":"article-journal","abstract":"The dependable integration of wind energy into contemporary electrical systems, which supports market operations, grid stability, and strategic planning, depends on accurate wind power forecasting. A thorough analysis of machine learning (ML) techniques for wind power prediction is presented in this research, encompassing advancements from 2006 to 2025. Physical, statistical, traditional machine learning, deep learning, ensemble, and hybrid models are the categories into which current forecasting techniques fall. With particular focus on sophisticated designs like Long Short-Term Memory (LSTM) networks, Convolutional Neural Networks (CNNs), Graph Neural Networks (GNNs), and hybrid CNN–LSTM frameworks, we examine their capabilities, constraints, and application domains. The paper also looks at lightweight solutions that allow deployment on low-cost edge devices, as well as optimization algorithms like the Fruit Fly Algorithm and Particle Swarm Optimization (PSO). Comparative analyses show how well various models handle temporal dependencies, nonlinearity, scalability, and interpretability over a range of predicting horizons. There is a thorough discussion of the main obstacles, including problems with data quality, computing limitations, and performance in harsh weather. The findings indicate that in order to improve prediction accuracy, robustness, and real-time application, future research should concentrate on IoT-enabled sensor networks, multi-model fusion, physics-informed learning, and sophisticated structures like Transformers. All things considered, this paper charts the developing field of machine learning-driven wind power forecasting and offers practical guidance for developing intelligent, efficient, and sustainable renewable energy systems.","container-title":"Discover Applied Sciences","DOI":"10.1007/s42452-025-07675-x","ISSN":"3004-9261","issue":"10","journalAbbreviation":"Discov Appl Sci","language":"en","page":"1139","source":"DOI.org (Crossref)","title":"Machine learning approaches for wind power forecasting: a comprehensive review","title-short":"Machine learning approaches for wind power forecasting","volume":"7","author":[{"family":"Haq","given":"Inam Ul"},{"family":"Kumar","given":"Abhishek"},{"family":"Rathore","given":"Pramod Singh"}],"issued":{"date-parts":[["2025",10,6]]}}}],"schema":"https://github.com/citation-style-language/schema/raw/master/csl-citation.json"} </w:instrText>
      </w:r>
      <w:r w:rsidR="002D002E">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(Haq et al., 2025; Verdone et al., 2025)</w:t>
      </w:r>
      <w:r w:rsidR="002D002E">
        <w:rPr>
          <w:rFonts w:ascii="Calibri" w:eastAsia="宋体" w:hAnsi="Calibri" w:cs="Calibri"/>
          <w:color w:val="000000"/>
          <w:kern w:val="0"/>
          <w:sz w:val="24"/>
          <w14:ligatures w14:val="none"/>
        </w:rPr>
        <w:fldChar w:fldCharType="end"/>
      </w:r>
      <w:r w:rsidR="002D002E">
        <w:rPr>
          <w:rFonts w:ascii="Calibri" w:eastAsia="宋体" w:hAnsi="Calibri" w:cs="Calibri" w:hint="eastAsia"/>
          <w:color w:val="000000"/>
          <w:kern w:val="0"/>
          <w:sz w:val="24"/>
          <w14:ligatures w14:val="none"/>
        </w:rPr>
        <w:t xml:space="preserve"> </w:t>
      </w:r>
      <w:r w:rsidRPr="00394449">
        <w:rPr>
          <w:rFonts w:ascii="Calibri" w:eastAsia="宋体" w:hAnsi="Calibri" w:cs="Calibri"/>
          <w:color w:val="000000"/>
          <w:kern w:val="0"/>
          <w:sz w:val="24"/>
          <w14:ligatures w14:val="none"/>
        </w:rPr>
        <w:t xml:space="preserve">while the atmospheric information embedded in meteorological </w:t>
      </w:r>
      <w:r w:rsidR="006B273C" w:rsidRPr="00394449">
        <w:rPr>
          <w:rFonts w:ascii="Calibri" w:eastAsia="宋体" w:hAnsi="Calibri" w:cs="Calibri"/>
          <w:color w:val="000000"/>
          <w:kern w:val="0"/>
          <w:sz w:val="24"/>
          <w14:ligatures w14:val="none"/>
        </w:rPr>
        <w:t>inputs</w:t>
      </w:r>
      <w:r w:rsidR="006B273C">
        <w:rPr>
          <w:rFonts w:ascii="Calibri" w:eastAsia="宋体" w:hAnsi="Calibri" w:cs="Calibri" w:hint="eastAsia"/>
          <w:color w:val="000000"/>
          <w:kern w:val="0"/>
          <w:sz w:val="24"/>
          <w14:ligatures w14:val="none"/>
        </w:rPr>
        <w:t xml:space="preserve"> </w:t>
      </w:r>
      <w:r w:rsidRPr="00394449">
        <w:rPr>
          <w:rFonts w:ascii="Calibri" w:eastAsia="宋体" w:hAnsi="Calibri" w:cs="Calibri"/>
          <w:color w:val="000000"/>
          <w:kern w:val="0"/>
          <w:sz w:val="24"/>
          <w14:ligatures w14:val="none"/>
        </w:rPr>
        <w:t>has received far less scrutiny. As a result, the physical foundations of predictor selection remain underdeveloped.</w:t>
      </w:r>
    </w:p>
    <w:p w:rsidR="00F425DD" w:rsidRDefault="00F425DD"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F425DD">
        <w:rPr>
          <w:rFonts w:ascii="Calibri" w:eastAsia="宋体" w:hAnsi="Calibri" w:cs="Calibri"/>
          <w:color w:val="000000"/>
          <w:kern w:val="0"/>
          <w:sz w:val="24"/>
          <w14:ligatures w14:val="none"/>
        </w:rPr>
        <w:t>A central example is the near-universal reliance on hub-height wind speed as the primary predictor in day-ahead forecasting</w:t>
      </w:r>
      <w:r w:rsidR="00AC5681">
        <w:rPr>
          <w:rFonts w:ascii="Calibri" w:eastAsia="宋体" w:hAnsi="Calibri" w:cs="Calibri" w:hint="eastAsia"/>
          <w:color w:val="000000"/>
          <w:kern w:val="0"/>
          <w:sz w:val="24"/>
          <w14:ligatures w14:val="none"/>
        </w:rPr>
        <w:t xml:space="preserve"> </w:t>
      </w:r>
      <w:r w:rsidR="00AC5681">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{"citationID":"ltycAAkh","properties":{"unsorted":true,"formattedCitation":"(Mahoney et al., 2012; Ye et al., 2017; Che et al., 2022; Zhang et al., 2025)","plainCitation":"(Mahoney et al., 2012; Ye et al., 2017; Che et al., 2022; Zhang et al., 2025)","noteIndex":0},"citationItems":[{"id":1625,"uris":["http://zotero.org/users/14274501/items/5TJHB4EM"],"itemData":{"id":1625,"type":"article-journal","abstract":"Wind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Ellen"}],"issued":{"date-parts":[["2012",10]]}}},{"id":1635,"uris":["http://zotero.org/users/14274501/items/UEB3S88X"],"itemData":{"id":1635,"type":"article-journal","abstract":"Large-scale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c spatial location and the layout of its neighboring correlated wind turbines. Then, spatial correlation matrix of wind speed is derived by discretizing differential equation at each wind turbine using a </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1633,"uris":["http://zotero.org/users/14274501/items/8GQWTJ6M"],"itemData":{"id":1633,"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680,"uris":["http://zotero.org/users/14274501/items/9D8B8ARY"],"itemData":{"id":680,"type":"article-journal","container-title":"Nature Communications","DOI":"10.1038/s41467-025-58456-4","ISSN":"2041-1723","issue":"1","journalAbbreviation":"Nat. Commun.","language":"en","page":"3195","source":"DOI.org (Crossref)","title":"A machine learning model for hub-height short-term wind speed prediction","volume":"16","author":[{"family":"Zhang","given":"Zongwei"},{"family":"Lin","given":"Lianlei"},{"family":"Gao","given":"Sheng"},{"family":"Wang","given":"Junkai"},{"family":"Zhao","given":"Hanqing"},{"family":"Yu","given":"Hangyi"}],"issued":{"date-parts":[["2025",4,3]]}}}],"schema":"https://github.com/citation-style-language/schema/raw/master/csl-citation.json"} </w:instrText>
      </w:r>
      <w:r w:rsidR="00AC5681">
        <w:rPr>
          <w:rFonts w:ascii="Calibri" w:eastAsia="宋体" w:hAnsi="Calibri" w:cs="Calibri"/>
          <w:color w:val="000000"/>
          <w:kern w:val="0"/>
          <w:sz w:val="24"/>
          <w14:ligatures w14:val="none"/>
        </w:rPr>
        <w:fldChar w:fldCharType="separate"/>
      </w:r>
      <w:r w:rsidR="00401647">
        <w:rPr>
          <w:rFonts w:ascii="Calibri" w:hAnsi="Calibri" w:cs="Calibri"/>
          <w:color w:val="000000"/>
          <w:kern w:val="0"/>
          <w:sz w:val="24"/>
        </w:rPr>
        <w:t>(Mahoney et al., 2012; Ye et al., 2017; Che et al., 2022; Zhang et al., 2025)</w:t>
      </w:r>
      <w:r w:rsidR="00AC5681">
        <w:rPr>
          <w:rFonts w:ascii="Calibri" w:eastAsia="宋体" w:hAnsi="Calibri" w:cs="Calibri"/>
          <w:color w:val="000000"/>
          <w:kern w:val="0"/>
          <w:sz w:val="24"/>
          <w14:ligatures w14:val="none"/>
        </w:rPr>
        <w:fldChar w:fldCharType="end"/>
      </w:r>
      <w:r w:rsidRPr="00F425DD">
        <w:rPr>
          <w:rFonts w:ascii="Calibri" w:eastAsia="宋体" w:hAnsi="Calibri" w:cs="Calibri"/>
          <w:color w:val="000000"/>
          <w:kern w:val="0"/>
          <w:sz w:val="24"/>
          <w14:ligatures w14:val="none"/>
        </w:rPr>
        <w:t>. This practice originates from single-turbine power curve theory, where performance can be characterized by a single inflow height</w:t>
      </w:r>
      <w:r w:rsidR="002102C4">
        <w:rPr>
          <w:rFonts w:ascii="Calibri" w:eastAsia="宋体" w:hAnsi="Calibri" w:cs="Calibri" w:hint="eastAsia"/>
          <w:color w:val="000000"/>
          <w:kern w:val="0"/>
          <w:sz w:val="24"/>
          <w14:ligatures w14:val="none"/>
        </w:rPr>
        <w:t xml:space="preserve"> </w:t>
      </w:r>
      <w:r w:rsidR="00A943FC">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{"citationID":"2y7JN3K4","properties":{"formattedCitation":"(Turbines\\uc0\\u8212{}Part, 2005)","plainCitation":"(Turbines—Part, 2005)","noteIndex":0},"citationItems":[{"id":1638,"uris":["http://zotero.org/users/14274501/items/3X2LALHE"],"itemData":{"id":1638,"type":"article-journal","container-title":"British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sidR="00A943FC">
        <w:rPr>
          <w:rFonts w:ascii="Calibri" w:eastAsia="宋体" w:hAnsi="Calibri" w:cs="Calibri"/>
          <w:color w:val="000000"/>
          <w:kern w:val="0"/>
          <w:sz w:val="24"/>
          <w14:ligatures w14:val="none"/>
        </w:rPr>
        <w:fldChar w:fldCharType="separate"/>
      </w:r>
      <w:r w:rsidR="00401647" w:rsidRPr="00401647">
        <w:rPr>
          <w:rFonts w:ascii="Calibri" w:hAnsi="Calibri" w:cs="Calibri"/>
          <w:color w:val="000000"/>
          <w:kern w:val="0"/>
          <w:sz w:val="24"/>
        </w:rPr>
        <w:t>(Turbines—Part, 2005)</w:t>
      </w:r>
      <w:r w:rsidR="00A943FC">
        <w:rPr>
          <w:rFonts w:ascii="Calibri" w:eastAsia="宋体" w:hAnsi="Calibri" w:cs="Calibri"/>
          <w:color w:val="000000"/>
          <w:kern w:val="0"/>
          <w:sz w:val="24"/>
          <w14:ligatures w14:val="none"/>
        </w:rPr>
        <w:fldChar w:fldCharType="end"/>
      </w:r>
      <w:r w:rsidRPr="00F425DD">
        <w:rPr>
          <w:rFonts w:ascii="Calibri" w:eastAsia="宋体" w:hAnsi="Calibri" w:cs="Calibri"/>
          <w:color w:val="000000"/>
          <w:kern w:val="0"/>
          <w:sz w:val="24"/>
          <w14:ligatures w14:val="none"/>
        </w:rPr>
        <w:t>. Whether this assumption holds at wind farm scale—where spatial heterogeneity and wake interactions reshape the flow field—has not been systematically evaluated.</w:t>
      </w:r>
    </w:p>
    <w:p w:rsidR="00F425DD" w:rsidRDefault="00F425DD" w:rsidP="005E7115">
      <w:pPr>
        <w:widowControl/>
        <w:spacing w:before="100" w:beforeAutospacing="1" w:after="100" w:afterAutospacing="1" w:line="360" w:lineRule="auto"/>
        <w:rPr>
          <w:rFonts w:ascii="Calibri" w:eastAsia="宋体" w:hAnsi="Calibri" w:cs="Calibri"/>
          <w:color w:val="000000"/>
          <w:kern w:val="0"/>
          <w:sz w:val="24"/>
          <w14:ligatures w14:val="none"/>
        </w:rPr>
      </w:pPr>
      <w:bookmarkStart w:id="2" w:name="_Hlk215345277"/>
      <w:r w:rsidRPr="00F425DD">
        <w:rPr>
          <w:rFonts w:ascii="Calibri" w:eastAsia="宋体" w:hAnsi="Calibri" w:cs="Calibri"/>
          <w:color w:val="000000"/>
          <w:kern w:val="0"/>
          <w:sz w:val="24"/>
          <w14:ligatures w14:val="none"/>
        </w:rPr>
        <w:t>While hub-height wind speed often shows strong correlation with power</w:t>
      </w:r>
      <w:r w:rsidR="00FC4CAC">
        <w:rPr>
          <w:rFonts w:ascii="Calibri" w:eastAsia="宋体" w:hAnsi="Calibri" w:cs="Calibri" w:hint="eastAsia"/>
          <w:color w:val="000000"/>
          <w:kern w:val="0"/>
          <w:sz w:val="24"/>
          <w14:ligatures w14:val="none"/>
        </w:rPr>
        <w:t xml:space="preserve"> </w:t>
      </w:r>
      <w:r w:rsidR="00FC4CAC">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{"citationID":"4FoJ54t5","properties":{"formattedCitation":"(Clifton et al., 2013)","plainCitation":"(Clifton et al., 2013)","noteIndex":0},"citationItems":[{"id":1640,"uris":["http://zotero.org/users/14274501/items/Y4FVRGTC"],"itemData":{"id":1640,"type":"article-journal","abstract":"Wind turbine power output is known to be a strong function of wind speed, but is also affected by turbulence and shear. In this work, new aerostructural simulations of a generic 1.5 MW turbine are used to rank atmospheric in</w:instrText>
      </w:r>
      <w:r w:rsidR="00401647">
        <w:rPr>
          <w:rFonts w:ascii="Times New Roman" w:eastAsia="宋体" w:hAnsi="Times New Roman" w:cs="Times New Roman"/>
          <w:color w:val="000000"/>
          <w:kern w:val="0"/>
          <w:sz w:val="24"/>
          <w14:ligatures w14:val="none"/>
        </w:rPr>
        <w:instrText>ﬂ</w:instrText>
      </w:r>
      <w:r w:rsidR="00401647">
        <w:rPr>
          <w:rFonts w:ascii="Calibri" w:eastAsia="宋体" w:hAnsi="Calibri" w:cs="Calibri"/>
          <w:color w:val="000000"/>
          <w:kern w:val="0"/>
          <w:sz w:val="24"/>
          <w14:ligatures w14:val="none"/>
        </w:rPr>
        <w:instrText>uences on power output. Most signi</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sidR="00FC4CAC">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(Clifton et al., 2013)</w:t>
      </w:r>
      <w:r w:rsidR="00FC4CAC">
        <w:rPr>
          <w:rFonts w:ascii="Calibri" w:eastAsia="宋体" w:hAnsi="Calibri" w:cs="Calibri"/>
          <w:color w:val="000000"/>
          <w:kern w:val="0"/>
          <w:sz w:val="24"/>
          <w14:ligatures w14:val="none"/>
        </w:rPr>
        <w:fldChar w:fldCharType="end"/>
      </w:r>
      <w:r w:rsidRPr="00F425DD">
        <w:rPr>
          <w:rFonts w:ascii="Calibri" w:eastAsia="宋体" w:hAnsi="Calibri" w:cs="Calibri"/>
          <w:color w:val="000000"/>
          <w:kern w:val="0"/>
          <w:sz w:val="24"/>
          <w14:ligatures w14:val="none"/>
        </w:rPr>
        <w:t xml:space="preserve">, </w:t>
      </w:r>
      <w:bookmarkEnd w:id="2"/>
      <w:r w:rsidRPr="00F425DD">
        <w:rPr>
          <w:rFonts w:ascii="Calibri" w:eastAsia="宋体" w:hAnsi="Calibri" w:cs="Calibri"/>
          <w:color w:val="000000"/>
          <w:kern w:val="0"/>
          <w:sz w:val="24"/>
          <w14:ligatures w14:val="none"/>
        </w:rPr>
        <w:t>contradictory evidence exists.</w:t>
      </w:r>
      <w:r w:rsidR="007B5479">
        <w:rPr>
          <w:rFonts w:ascii="Calibri" w:eastAsia="宋体" w:hAnsi="Calibri" w:cs="Calibri"/>
          <w:color w:val="000000"/>
          <w:kern w:val="0"/>
          <w:sz w:val="24"/>
          <w14:ligatures w14:val="none"/>
        </w:rPr>
        <w:t xml:space="preserve"> Chen and Xu</w:t>
      </w:r>
      <w:r w:rsidRPr="00F425DD">
        <w:rPr>
          <w:rFonts w:ascii="Calibri" w:eastAsia="宋体" w:hAnsi="Calibri" w:cs="Calibri"/>
          <w:color w:val="000000"/>
          <w:kern w:val="0"/>
          <w:sz w:val="24"/>
          <w14:ligatures w14:val="none"/>
        </w:rPr>
        <w:t xml:space="preserve"> </w:t>
      </w:r>
      <w:r w:rsidR="007B5479">
        <w:rPr>
          <w:rFonts w:ascii="Calibri" w:eastAsia="宋体" w:hAnsi="Calibri" w:cs="Calibri"/>
          <w:color w:val="000000"/>
          <w:kern w:val="0"/>
          <w:sz w:val="24"/>
          <w14:ligatures w14:val="none"/>
        </w:rPr>
        <w:fldChar w:fldCharType="begin"/>
      </w:r>
      <w:r w:rsidR="007B5479">
        <w:rPr>
          <w:rFonts w:ascii="Calibri" w:eastAsia="宋体" w:hAnsi="Calibri" w:cs="Calibri"/>
          <w:color w:val="000000"/>
          <w:kern w:val="0"/>
          <w:sz w:val="24"/>
          <w14:ligatures w14:val="none"/>
        </w:rPr>
        <w:instrText xml:space="preserve"> ADDIN ZOTERO_ITEM CSL_CITATION {"citationID":"hCYpTRwG","properties":{"formattedCitation":"(2022)","plainCitation":"(2022)","noteIndex":0},"citationItems":[{"id":1621,"uris":["http://zotero.org/users/14274501/items/ZWK7WGRP"],"itemData":{"id":1621,"type":"article-journal","abstract":"Abstract\n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Competition","volume":"9","author":[{"family":"Chen","given":"Yongbao"},{"family":"Xu","given":"Junjie"}],"issued":{"date-parts":[["2022",9,21]]}},"suppress-author":true}],"schema":"https://github.com/citation-style-language/schema/raw/master/csl-citation.json"} </w:instrText>
      </w:r>
      <w:r w:rsidR="007B5479">
        <w:rPr>
          <w:rFonts w:ascii="Calibri" w:eastAsia="宋体" w:hAnsi="Calibri" w:cs="Calibri"/>
          <w:color w:val="000000"/>
          <w:kern w:val="0"/>
          <w:sz w:val="24"/>
          <w14:ligatures w14:val="none"/>
        </w:rPr>
        <w:fldChar w:fldCharType="separate"/>
      </w:r>
      <w:r w:rsidR="007B5479">
        <w:rPr>
          <w:rFonts w:ascii="Calibri" w:eastAsia="宋体" w:hAnsi="Calibri" w:cs="Calibri"/>
          <w:noProof/>
          <w:color w:val="000000"/>
          <w:kern w:val="0"/>
          <w:sz w:val="24"/>
          <w14:ligatures w14:val="none"/>
        </w:rPr>
        <w:t>(2022)</w:t>
      </w:r>
      <w:r w:rsidR="007B5479">
        <w:rPr>
          <w:rFonts w:ascii="Calibri" w:eastAsia="宋体" w:hAnsi="Calibri" w:cs="Calibri"/>
          <w:color w:val="000000"/>
          <w:kern w:val="0"/>
          <w:sz w:val="24"/>
          <w14:ligatures w14:val="none"/>
        </w:rPr>
        <w:fldChar w:fldCharType="end"/>
      </w:r>
      <w:r w:rsidR="007B5479">
        <w:rPr>
          <w:rFonts w:ascii="Calibri" w:eastAsia="宋体" w:hAnsi="Calibri" w:cs="Calibri"/>
          <w:color w:val="000000"/>
          <w:kern w:val="0"/>
          <w:sz w:val="24"/>
          <w14:ligatures w14:val="none"/>
        </w:rPr>
        <w:t xml:space="preserve"> </w:t>
      </w:r>
      <w:r w:rsidR="004B1E8D" w:rsidRPr="004B1E8D">
        <w:rPr>
          <w:rFonts w:ascii="Calibri" w:eastAsia="宋体" w:hAnsi="Calibri" w:cs="Calibri"/>
          <w:color w:val="000000"/>
          <w:kern w:val="0"/>
          <w:sz w:val="24"/>
          <w14:ligatures w14:val="none"/>
        </w:rPr>
        <w:t>found that at several wind farms, 10 m wind speeds correlated with power as strongly as, or even more strongly than, hub-height winds. Similar behavior appears in other wind farm observations</w:t>
      </w:r>
      <w:r w:rsidR="00BE403F" w:rsidRPr="00BE403F">
        <w:rPr>
          <w:rFonts w:ascii="Calibri" w:eastAsia="宋体" w:hAnsi="Calibri" w:cs="Calibri"/>
          <w:color w:val="000000"/>
          <w:kern w:val="0"/>
          <w:sz w:val="24"/>
          <w14:ligatures w14:val="none"/>
        </w:rPr>
        <w:t xml:space="preserve"> </w:t>
      </w:r>
      <w:r w:rsidR="00BE403F">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{"citationID":"AJ9UeH54","properties":{"unsorted":true,"formattedCitation":"(Rubanenko et al., 2020; Chen &amp; Xu, 2022)","plainCitation":"(Rubanenko et al., 2020; Chen &amp; Xu, 2022)","noteIndex":0},"citationItems":[{"id":1642,"uris":["http://zotero.org/users/14274501/items/IB9G5NFY"],"itemData":{"id":1642,"type":"paper-conference","abstract":"Analyses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BE403F">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(Rubanenko et al., 2020; Chen &amp; Xu, 2022)</w:t>
      </w:r>
      <w:r w:rsidR="00BE403F">
        <w:rPr>
          <w:rFonts w:ascii="Calibri" w:eastAsia="宋体" w:hAnsi="Calibri" w:cs="Calibri"/>
          <w:color w:val="000000"/>
          <w:kern w:val="0"/>
          <w:sz w:val="24"/>
          <w14:ligatures w14:val="none"/>
        </w:rPr>
        <w:fldChar w:fldCharType="end"/>
      </w:r>
      <w:r w:rsidR="004B1E8D" w:rsidRPr="004B1E8D">
        <w:rPr>
          <w:rFonts w:ascii="Calibri" w:eastAsia="宋体" w:hAnsi="Calibri" w:cs="Calibri"/>
          <w:color w:val="000000"/>
          <w:kern w:val="0"/>
          <w:sz w:val="24"/>
          <w14:ligatures w14:val="none"/>
        </w:rPr>
        <w:t>, yet remains unexplained</w:t>
      </w:r>
      <w:r w:rsidR="00BE403F" w:rsidRPr="00BE403F">
        <w:rPr>
          <w:rFonts w:ascii="Calibri" w:eastAsia="宋体" w:hAnsi="Calibri" w:cs="Calibri"/>
          <w:color w:val="000000"/>
          <w:kern w:val="0"/>
          <w:sz w:val="24"/>
          <w14:ligatures w14:val="none"/>
        </w:rPr>
        <w:t>.</w:t>
      </w:r>
      <w:r w:rsidR="00BE403F">
        <w:rPr>
          <w:rFonts w:ascii="Calibri" w:eastAsia="宋体" w:hAnsi="Calibri" w:cs="Calibri" w:hint="eastAsia"/>
          <w:color w:val="000000"/>
          <w:kern w:val="0"/>
          <w:sz w:val="24"/>
          <w14:ligatures w14:val="none"/>
        </w:rPr>
        <w:t xml:space="preserve"> </w:t>
      </w:r>
      <w:r w:rsidRPr="00F425DD">
        <w:rPr>
          <w:rFonts w:ascii="Calibri" w:eastAsia="宋体" w:hAnsi="Calibri" w:cs="Calibri"/>
          <w:color w:val="000000"/>
          <w:kern w:val="0"/>
          <w:sz w:val="24"/>
          <w14:ligatures w14:val="none"/>
        </w:rPr>
        <w:t xml:space="preserve">These inconsistencies highlight the limitations of purely statistical feature selection </w:t>
      </w:r>
      <w:r w:rsidRPr="00F425DD">
        <w:rPr>
          <w:rFonts w:ascii="Calibri" w:eastAsia="宋体" w:hAnsi="Calibri" w:cs="Calibri"/>
          <w:color w:val="000000"/>
          <w:kern w:val="0"/>
          <w:sz w:val="24"/>
          <w14:ligatures w14:val="none"/>
        </w:rPr>
        <w:lastRenderedPageBreak/>
        <w:t xml:space="preserve">and indicate the need for a mechanistic framework explaining when—and why—different heights capture the atmospheric forcing relevant to farm power. </w:t>
      </w:r>
    </w:p>
    <w:p w:rsidR="008725F4" w:rsidRDefault="008725F4" w:rsidP="005E7115">
      <w:pPr>
        <w:widowControl/>
        <w:spacing w:before="100" w:beforeAutospacing="1" w:after="100" w:afterAutospacing="1" w:line="360" w:lineRule="auto"/>
        <w:rPr>
          <w:rFonts w:ascii="Calibri" w:eastAsia="宋体" w:hAnsi="Calibri" w:cs="Calibri"/>
          <w:color w:val="000000"/>
          <w:kern w:val="0"/>
          <w:sz w:val="24"/>
          <w14:ligatures w14:val="none"/>
        </w:rPr>
      </w:pPr>
      <w:bookmarkStart w:id="3" w:name="_Hlk215348055"/>
      <w:r w:rsidRPr="008725F4">
        <w:rPr>
          <w:rFonts w:ascii="Calibri" w:eastAsia="宋体" w:hAnsi="Calibri" w:cs="Calibri"/>
          <w:color w:val="000000"/>
          <w:kern w:val="0"/>
          <w:sz w:val="24"/>
          <w14:ligatures w14:val="none"/>
        </w:rPr>
        <w:t xml:space="preserve">A mechanistic understanding begins with free-flow conditions. Early single-turbine studies demonstrated that the rotor-equivalent wind speed (REWS)—the swept-area–integrated wind profile—outperforms hub-height wind speed in predicting turbine power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{"citationID":"xjc50lsX","properties":{"formattedCitation":"(Wagner et al., 2009)","plainCitation":"(Wagner et al., 2009)","noteIndex":0},"citationItems":[{"id":1646,"uris":["http://zotero.org/users/14274501/items/3UCCBBT6"],"itemData":{"id":1646,"type":"article-journal","abstract":"Abstract\n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speeds between 6 m s\n              −1\n              and 8 m s\n              −1\n              are normalized at 7 m s\n              −1\n              and grouped to a number of mean shear profiles. The energy in the profiles varies considerably for the same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sidR="00A90D9F">
        <w:rPr>
          <w:rFonts w:ascii="Calibri" w:eastAsia="宋体" w:hAnsi="Calibri" w:cs="Calibri" w:hint="eastAsia"/>
          <w:color w:val="000000"/>
          <w:kern w:val="0"/>
          <w:sz w:val="24"/>
          <w14:ligatures w14:val="none"/>
        </w:rPr>
        <w:instrText>ount. Electrical power is found to correlate significantly better to the equivalent wind speed than to the single point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hint="eastAsia"/>
          <w:color w:val="000000"/>
          <w:kern w:val="0"/>
          <w:sz w:val="24"/>
          <w14:ligatures w14:val="none"/>
        </w:rPr>
        <w:instrText>height wind speed. Copyright © 2008 John Wiley &amp; Sons, Ltd.","container-title":"Wind Energy","DOI":"10.1002/we.297","ISSN":"1095-42</w:instrText>
      </w:r>
      <w:r w:rsidR="00A90D9F">
        <w:rPr>
          <w:rFonts w:ascii="Calibri" w:eastAsia="宋体" w:hAnsi="Calibri" w:cs="Calibri"/>
          <w:color w:val="000000"/>
          <w:kern w:val="0"/>
          <w:sz w:val="24"/>
          <w14:ligatures w14:val="none"/>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(Wagner et al., 2009)</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Further work under controlled free-stream conditions showed that atmospheric stability can induce 15–20% power variation at the same wind speed, with turbulent kinetic energy (TKE) identified as a dominant modulation factor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{"citationID":"9cdtqIlW","properties":{"formattedCitation":"(Wharton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 a turbine will produce different amounts of power. This variability may be induced by atmospheric stability, which affects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(Wharton &amp; Lundquist, 2012)</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These findings establish that turbine performance depends on </w:t>
      </w:r>
      <w:r w:rsidR="00A90D9F" w:rsidRPr="00A90D9F">
        <w:rPr>
          <w:rFonts w:ascii="Calibri" w:eastAsia="宋体" w:hAnsi="Calibri" w:cs="Calibri"/>
          <w:color w:val="000000"/>
          <w:kern w:val="0"/>
          <w:sz w:val="24"/>
          <w14:ligatures w14:val="none"/>
        </w:rPr>
        <w:t>swept-area–related</w:t>
      </w:r>
      <w:r w:rsidR="00A90D9F">
        <w:rPr>
          <w:rFonts w:ascii="Calibri" w:eastAsia="宋体" w:hAnsi="Calibri" w:cs="Calibri" w:hint="eastAsia"/>
          <w:color w:val="000000"/>
          <w:kern w:val="0"/>
          <w:sz w:val="24"/>
          <w14:ligatures w14:val="none"/>
        </w:rPr>
        <w:t xml:space="preserve"> </w:t>
      </w:r>
      <w:r w:rsidRPr="008725F4">
        <w:rPr>
          <w:rFonts w:ascii="Calibri" w:eastAsia="宋体" w:hAnsi="Calibri" w:cs="Calibri"/>
          <w:color w:val="000000"/>
          <w:kern w:val="0"/>
          <w:sz w:val="24"/>
          <w14:ligatures w14:val="none"/>
        </w:rPr>
        <w:t xml:space="preserve">profile structure, stability, and turbulence rather than any fixed height. </w:t>
      </w:r>
    </w:p>
    <w:bookmarkEnd w:id="3"/>
    <w:p w:rsidR="00BE403F" w:rsidRDefault="00BE403F"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BE403F">
        <w:rPr>
          <w:rFonts w:ascii="Calibri" w:eastAsia="宋体" w:hAnsi="Calibri" w:cs="Calibri"/>
          <w:color w:val="000000"/>
          <w:kern w:val="0"/>
          <w:sz w:val="24"/>
          <w14:ligatures w14:val="none"/>
        </w:rPr>
        <w:t xml:space="preserve">Studies using operational wind farm observations extended these insights to full-field conditions. Cutler et al. </w:t>
      </w:r>
      <w:r w:rsidR="00D02340">
        <w:rPr>
          <w:rFonts w:ascii="Calibri" w:eastAsia="宋体" w:hAnsi="Calibri" w:cs="Calibri"/>
          <w:color w:val="000000"/>
          <w:kern w:val="0"/>
          <w:sz w:val="24"/>
          <w14:ligatures w14:val="none"/>
        </w:rPr>
        <w:fldChar w:fldCharType="begin"/>
      </w:r>
      <w:r w:rsidR="00D02340">
        <w:rPr>
          <w:rFonts w:ascii="Calibri" w:eastAsia="宋体" w:hAnsi="Calibri" w:cs="Calibri"/>
          <w:color w:val="000000"/>
          <w:kern w:val="0"/>
          <w:sz w:val="24"/>
          <w14:ligatures w14:val="none"/>
        </w:rPr>
        <w:instrText xml:space="preserve"> ADDIN ZOTERO_ITEM CSL_CITATION {"citationID":"4VfrghBX","properties":{"formattedCitation":"(2012)","plainCitation":"(2012)","noteIndex":0},"citationItems":[{"id":1652,"uris":["http://zotero.org/users/14274501/items/F867UAJR"],"itemData":{"id":1652,"type":"article-journal","abstract":"Wind power forecasting for projection times 0–48 h can have particular value in facilitating the integration of wind power into power systems. Accurate observations of the wind speed received by wind turbines are important inputs for some of the most useful methods for making such forecasts. In particular, they are used to derive power curves relating wind speeds to wind power production. By using power curve modeling, this paper compares two types of wind speed observations typically available at wind farms: the wind speed and wind direction measurements at the nacelles of the wind turbines and those at one or more on-site meteorological masts (met masts). For the three Australian wind farms studied in this project, the results favor the nacelle-based observations despite the inherent interference from the nacelle and the blades and despite calibration corrections to the met mast observations. This trend was found to be stronger for wind farm sites with more complex terrain. In addition, a numerical weather prediction (NWP) system was used to show that, for the wind farms studied, smaller single time-series forecast errors can be achieved with the average wind speed from the nacelle-based observations. This suggests that the nacelle-average observations are more representative of the wind behavior predicted by an NWP system than the met mast observations. Also, when using an NWP system to predict wind farm power production, it suggests the use of a wind farm power curve based on nacelle-average observations is superior to using met mast observations. Further, it suggests that historical and real-time nacelle-average observations should be calculated for large wind farms and used in wind power forecasting. Copyright © 2011 John Wiley &amp; Sons, Ltd.","container-title":"Wind Energy","DOI":"10.1002/we.465","ISSN":"1095-4244, 1099-1824","issue":"2","journalAbbreviation":"Wind Energy","language":"en","license":"http://onlinelibrary.wiley.com/termsAndConditions#vor","page":"245-258"</w:instrText>
      </w:r>
      <w:r w:rsidR="00D02340">
        <w:rPr>
          <w:rFonts w:ascii="Calibri" w:eastAsia="宋体" w:hAnsi="Calibri" w:cs="Calibri" w:hint="eastAsia"/>
          <w:color w:val="000000"/>
          <w:kern w:val="0"/>
          <w:sz w:val="24"/>
          <w14:ligatures w14:val="none"/>
        </w:rPr>
        <w:instrText>,"source":"DOI.org (Crossref)","title":"Using nacelle</w:instrText>
      </w:r>
      <w:r w:rsidR="00D02340">
        <w:rPr>
          <w:rFonts w:ascii="Calibri" w:eastAsia="宋体" w:hAnsi="Calibri" w:cs="Calibri" w:hint="eastAsia"/>
          <w:color w:val="000000"/>
          <w:kern w:val="0"/>
          <w:sz w:val="24"/>
          <w14:ligatures w14:val="none"/>
        </w:rPr>
        <w:instrText>‐</w:instrText>
      </w:r>
      <w:r w:rsidR="00D02340">
        <w:rPr>
          <w:rFonts w:ascii="Calibri" w:eastAsia="宋体" w:hAnsi="Calibri" w:cs="Calibri" w:hint="eastAsia"/>
          <w:color w:val="000000"/>
          <w:kern w:val="0"/>
          <w:sz w:val="24"/>
          <w14:ligatures w14:val="none"/>
        </w:rPr>
        <w:instrText>based wind speed observations to improve power curve modeling for wind power forecasting","volume":"15","author":[{"family":"Cutler","given":"Nicholas J."},{"family":"Outhred","given":"Hugh R."},{"fami</w:instrText>
      </w:r>
      <w:r w:rsidR="00D02340">
        <w:rPr>
          <w:rFonts w:ascii="Calibri" w:eastAsia="宋体" w:hAnsi="Calibri" w:cs="Calibri"/>
          <w:color w:val="000000"/>
          <w:kern w:val="0"/>
          <w:sz w:val="24"/>
          <w14:ligatures w14:val="none"/>
        </w:rPr>
        <w:instrText xml:space="preserve">ly":"MacGill","given":"Iain F."}],"issued":{"date-parts":[["2012",3]]}},"suppress-author":true}],"schema":"https://github.com/citation-style-language/schema/raw/master/csl-citation.json"} </w:instrText>
      </w:r>
      <w:r w:rsidR="00D02340">
        <w:rPr>
          <w:rFonts w:ascii="Calibri" w:eastAsia="宋体" w:hAnsi="Calibri" w:cs="Calibri"/>
          <w:color w:val="000000"/>
          <w:kern w:val="0"/>
          <w:sz w:val="24"/>
          <w14:ligatures w14:val="none"/>
        </w:rPr>
        <w:fldChar w:fldCharType="separate"/>
      </w:r>
      <w:r w:rsidR="00D02340">
        <w:rPr>
          <w:rFonts w:ascii="Calibri" w:eastAsia="宋体" w:hAnsi="Calibri" w:cs="Calibri"/>
          <w:noProof/>
          <w:color w:val="000000"/>
          <w:kern w:val="0"/>
          <w:sz w:val="24"/>
          <w14:ligatures w14:val="none"/>
        </w:rPr>
        <w:t>(2012)</w:t>
      </w:r>
      <w:r w:rsidR="00D02340">
        <w:rPr>
          <w:rFonts w:ascii="Calibri" w:eastAsia="宋体" w:hAnsi="Calibri" w:cs="Calibri"/>
          <w:color w:val="000000"/>
          <w:kern w:val="0"/>
          <w:sz w:val="24"/>
          <w14:ligatures w14:val="none"/>
        </w:rPr>
        <w:fldChar w:fldCharType="end"/>
      </w:r>
      <w:r w:rsidRPr="00BE403F">
        <w:rPr>
          <w:rFonts w:ascii="Calibri" w:eastAsia="宋体" w:hAnsi="Calibri" w:cs="Calibri"/>
          <w:color w:val="000000"/>
          <w:kern w:val="0"/>
          <w:sz w:val="24"/>
          <w14:ligatures w14:val="none"/>
        </w:rPr>
        <w:t xml:space="preserve"> found nacelle-level averaged winds more representative of farm-wide power than tower-based hub-height observations. Sasser et al. </w:t>
      </w:r>
      <w:r w:rsidR="00D02340">
        <w:rPr>
          <w:rFonts w:ascii="Calibri" w:eastAsia="宋体" w:hAnsi="Calibri" w:cs="Calibri"/>
          <w:color w:val="000000"/>
          <w:kern w:val="0"/>
          <w:sz w:val="24"/>
          <w14:ligatures w14:val="none"/>
        </w:rPr>
        <w:fldChar w:fldCharType="begin"/>
      </w:r>
      <w:r w:rsidR="00D02340">
        <w:rPr>
          <w:rFonts w:ascii="Calibri" w:eastAsia="宋体" w:hAnsi="Calibri" w:cs="Calibri"/>
          <w:color w:val="000000"/>
          <w:kern w:val="0"/>
          <w:sz w:val="24"/>
          <w14:ligatures w14:val="none"/>
        </w:rPr>
        <w:instrText xml:space="preserve"> ADDIN ZOTERO_ITEM CSL_CITATION {"citationID":"8kSOKiGS","properties":{"formattedCitation":"(2022)","plainCitation":"(2022)","noteIndex":0},"citationItems":[{"id":1650,"uris":["http://zotero.org/users/14274501/items/45YLP2JC"],"itemData":{"id":1650,"type":"article-journal","abstract":"To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D02340">
        <w:rPr>
          <w:rFonts w:ascii="Times New Roman" w:eastAsia="宋体" w:hAnsi="Times New Roman" w:cs="Times New Roman"/>
          <w:color w:val="000000"/>
          <w:kern w:val="0"/>
          <w:sz w:val="24"/>
          <w14:ligatures w14:val="none"/>
        </w:rPr>
        <w:instrText>ﬁ</w:instrText>
      </w:r>
      <w:r w:rsidR="00D02340">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sidR="00D02340">
        <w:rPr>
          <w:rFonts w:ascii="Times New Roman" w:eastAsia="宋体" w:hAnsi="Times New Roman" w:cs="Times New Roman"/>
          <w:color w:val="000000"/>
          <w:kern w:val="0"/>
          <w:sz w:val="24"/>
          <w14:ligatures w14:val="none"/>
        </w:rPr>
        <w:instrText>ﬁ</w:instrText>
      </w:r>
      <w:r w:rsidR="00D02340">
        <w:rPr>
          <w:rFonts w:ascii="Calibri" w:eastAsia="宋体" w:hAnsi="Calibri" w:cs="Calibri"/>
          <w:color w:val="000000"/>
          <w:kern w:val="0"/>
          <w:sz w:val="24"/>
          <w14:ligatures w14:val="none"/>
        </w:rPr>
        <w:instrText>le classi</w:instrText>
      </w:r>
      <w:r w:rsidR="00D02340">
        <w:rPr>
          <w:rFonts w:ascii="Times New Roman" w:eastAsia="宋体" w:hAnsi="Times New Roman" w:cs="Times New Roman"/>
          <w:color w:val="000000"/>
          <w:kern w:val="0"/>
          <w:sz w:val="24"/>
          <w14:ligatures w14:val="none"/>
        </w:rPr>
        <w:instrText>ﬁ</w:instrText>
      </w:r>
      <w:r w:rsidR="00D02340">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D02340">
        <w:rPr>
          <w:rFonts w:ascii="Times New Roman" w:eastAsia="宋体" w:hAnsi="Times New Roman" w:cs="Times New Roman"/>
          <w:color w:val="000000"/>
          <w:kern w:val="0"/>
          <w:sz w:val="24"/>
          <w14:ligatures w14:val="none"/>
        </w:rPr>
        <w:instrText>ﬁ</w:instrText>
      </w:r>
      <w:r w:rsidR="00D02340">
        <w:rPr>
          <w:rFonts w:ascii="Calibri" w:eastAsia="宋体" w:hAnsi="Calibri" w:cs="Calibri"/>
          <w:color w:val="000000"/>
          <w:kern w:val="0"/>
          <w:sz w:val="24"/>
          <w14:ligatures w14:val="none"/>
        </w:rPr>
        <w:instrText>ed vertical wind pro</w:instrText>
      </w:r>
      <w:r w:rsidR="00D02340">
        <w:rPr>
          <w:rFonts w:ascii="Times New Roman" w:eastAsia="宋体" w:hAnsi="Times New Roman" w:cs="Times New Roman"/>
          <w:color w:val="000000"/>
          <w:kern w:val="0"/>
          <w:sz w:val="24"/>
          <w14:ligatures w14:val="none"/>
        </w:rPr>
        <w:instrText>ﬁ</w:instrText>
      </w:r>
      <w:r w:rsidR="00D02340">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sidR="00D02340">
        <w:rPr>
          <w:rFonts w:ascii="Calibri" w:eastAsia="宋体" w:hAnsi="Calibri" w:cs="Calibri"/>
          <w:color w:val="000000"/>
          <w:kern w:val="0"/>
          <w:sz w:val="24"/>
          <w14:ligatures w14:val="none"/>
        </w:rPr>
        <w:fldChar w:fldCharType="separate"/>
      </w:r>
      <w:r w:rsidR="00D02340">
        <w:rPr>
          <w:rFonts w:ascii="Calibri" w:eastAsia="宋体" w:hAnsi="Calibri" w:cs="Calibri"/>
          <w:noProof/>
          <w:color w:val="000000"/>
          <w:kern w:val="0"/>
          <w:sz w:val="24"/>
          <w14:ligatures w14:val="none"/>
        </w:rPr>
        <w:t>(2022)</w:t>
      </w:r>
      <w:r w:rsidR="00D02340">
        <w:rPr>
          <w:rFonts w:ascii="Calibri" w:eastAsia="宋体" w:hAnsi="Calibri" w:cs="Calibri"/>
          <w:color w:val="000000"/>
          <w:kern w:val="0"/>
          <w:sz w:val="24"/>
          <w14:ligatures w14:val="none"/>
        </w:rPr>
        <w:fldChar w:fldCharType="end"/>
      </w:r>
      <w:r w:rsidR="00D02340">
        <w:rPr>
          <w:rFonts w:ascii="Calibri" w:eastAsia="宋体" w:hAnsi="Calibri" w:cs="Calibri" w:hint="eastAsia"/>
          <w:color w:val="000000"/>
          <w:kern w:val="0"/>
          <w:sz w:val="24"/>
          <w14:ligatures w14:val="none"/>
        </w:rPr>
        <w:t xml:space="preserve"> </w:t>
      </w:r>
      <w:r w:rsidRPr="00BE403F">
        <w:rPr>
          <w:rFonts w:ascii="Calibri" w:eastAsia="宋体" w:hAnsi="Calibri" w:cs="Calibri"/>
          <w:color w:val="000000"/>
          <w:kern w:val="0"/>
          <w:sz w:val="24"/>
          <w14:ligatures w14:val="none"/>
        </w:rPr>
        <w:t xml:space="preserve">confirmed the advantages of REWS combined with lapse-rate information. Recent explainable-AI studies consistently ranked turbulent variables (TKE, TI) directly behind wind speed in predictive importance </w:t>
      </w:r>
      <w:r w:rsidR="00D02340">
        <w:rPr>
          <w:rFonts w:ascii="Calibri" w:eastAsia="宋体" w:hAnsi="Calibri" w:cs="Calibri"/>
          <w:color w:val="000000"/>
          <w:kern w:val="0"/>
          <w:sz w:val="24"/>
          <w14:ligatures w14:val="none"/>
        </w:rPr>
        <w:fldChar w:fldCharType="begin"/>
      </w:r>
      <w:r w:rsidR="00D02340">
        <w:rPr>
          <w:rFonts w:ascii="Calibri" w:eastAsia="宋体" w:hAnsi="Calibri" w:cs="Calibri"/>
          <w:color w:val="000000"/>
          <w:kern w:val="0"/>
          <w:sz w:val="24"/>
          <w14:ligatures w14:val="none"/>
        </w:rPr>
        <w:instrText xml:space="preserve"> ADDIN ZOTERO_ITEM CSL_CITATION {"citationID":"qIpYgpCO","properties":{"unsorted":true,"formattedCitation":"(Optis &amp; Perr-Sauer, 2019b; Kim &amp; Kim, 2023)","plainCitation":"(Optis &amp; Perr-Sauer, 2019b; Kim &amp; Kim, 2023)","noteIndex":0},"citationItems":[{"id":1654,"uris":["http://zotero.org/users/14274501/items/J4LQQ73I"],"itemData":{"id":1654,"type":"article-journal","abstract":"Machine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1655,"uris":["http://zotero.org/users/14274501/items/K3MH2YRC"],"itemData":{"id":1655,"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sidR="00D02340">
        <w:rPr>
          <w:rFonts w:ascii="Calibri" w:eastAsia="宋体" w:hAnsi="Calibri" w:cs="Calibri"/>
          <w:color w:val="000000"/>
          <w:kern w:val="0"/>
          <w:sz w:val="24"/>
          <w14:ligatures w14:val="none"/>
        </w:rPr>
        <w:fldChar w:fldCharType="separate"/>
      </w:r>
      <w:r w:rsidR="00D02340">
        <w:rPr>
          <w:rFonts w:ascii="Calibri" w:eastAsia="宋体" w:hAnsi="Calibri" w:cs="Calibri"/>
          <w:noProof/>
          <w:color w:val="000000"/>
          <w:kern w:val="0"/>
          <w:sz w:val="24"/>
          <w14:ligatures w14:val="none"/>
        </w:rPr>
        <w:t>(Optis &amp; Perr-Sauer, 2019b; Kim &amp; Kim, 2023)</w:t>
      </w:r>
      <w:r w:rsidR="00D02340">
        <w:rPr>
          <w:rFonts w:ascii="Calibri" w:eastAsia="宋体" w:hAnsi="Calibri" w:cs="Calibri"/>
          <w:color w:val="000000"/>
          <w:kern w:val="0"/>
          <w:sz w:val="24"/>
          <w14:ligatures w14:val="none"/>
        </w:rPr>
        <w:fldChar w:fldCharType="end"/>
      </w:r>
      <w:r w:rsidRPr="00BE403F">
        <w:rPr>
          <w:rFonts w:ascii="Calibri" w:eastAsia="宋体" w:hAnsi="Calibri" w:cs="Calibri"/>
          <w:color w:val="000000"/>
          <w:kern w:val="0"/>
          <w:sz w:val="24"/>
          <w14:ligatures w14:val="none"/>
        </w:rPr>
        <w:t>. Yet these field observations often contain unknown degrees of wake contamination, making it difficult to separate free-stream dynamics from wake-influenced responses.</w:t>
      </w:r>
    </w:p>
    <w:p w:rsidR="00BE403F" w:rsidRDefault="00BE403F" w:rsidP="005E7115">
      <w:pPr>
        <w:widowControl/>
        <w:spacing w:before="100" w:beforeAutospacing="1" w:after="100" w:afterAutospacing="1" w:line="360" w:lineRule="auto"/>
        <w:rPr>
          <w:rFonts w:ascii="Calibri" w:eastAsia="宋体" w:hAnsi="Calibri" w:cs="Calibri"/>
          <w:color w:val="000000"/>
          <w:kern w:val="0"/>
          <w:sz w:val="24"/>
          <w14:ligatures w14:val="none"/>
        </w:rPr>
      </w:pPr>
      <w:bookmarkStart w:id="4" w:name="_Hlk215350692"/>
      <w:r w:rsidRPr="00BE403F">
        <w:rPr>
          <w:rFonts w:ascii="Calibri" w:eastAsia="宋体" w:hAnsi="Calibri" w:cs="Calibri"/>
          <w:color w:val="000000"/>
          <w:kern w:val="0"/>
          <w:sz w:val="24"/>
          <w14:ligatures w14:val="none"/>
        </w:rPr>
        <w:t xml:space="preserve">Recent studies also show that using multi-height wind measurements improves power estimation compared with hub-height or REWS-based approaches </w:t>
      </w:r>
      <w:r>
        <w:rPr>
          <w:rFonts w:ascii="Calibri" w:eastAsia="宋体" w:hAnsi="Calibri" w:cs="Calibri"/>
          <w:color w:val="000000"/>
          <w:kern w:val="0"/>
          <w:sz w:val="24"/>
          <w14:ligatures w14:val="none"/>
        </w:rPr>
        <w:fldChar w:fldCharType="begin"/>
      </w:r>
      <w:r w:rsidR="00E179CE">
        <w:rPr>
          <w:rFonts w:ascii="Calibri" w:eastAsia="宋体" w:hAnsi="Calibri" w:cs="Calibri"/>
          <w:color w:val="000000"/>
          <w:kern w:val="0"/>
          <w:sz w:val="24"/>
          <w14:ligatures w14:val="none"/>
        </w:rPr>
        <w:instrText xml:space="preserve"> ADDIN ZOTERO_ITEM CSL_CITATION {"citationID":"emCa1uT6","properties":{"formattedCitation":"(Sasser et al., 2022; Sebastiani et al., 2024)","plainCitation":"(Sasser et al., 2022; Sebastiani et al., 2024)","noteIndex":0},"citationItems":[{"id":1650,"uris":["http://zotero.org/users/14274501/items/45YLP2JC"],"itemData":{"id":1650,"type":"article-journal","abstract":"To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E179CE">
        <w:rPr>
          <w:rFonts w:ascii="Times New Roman" w:eastAsia="宋体" w:hAnsi="Times New Roman" w:cs="Times New Roman"/>
          <w:color w:val="000000"/>
          <w:kern w:val="0"/>
          <w:sz w:val="24"/>
          <w14:ligatures w14:val="none"/>
        </w:rPr>
        <w:instrText>ﬁ</w:instrText>
      </w:r>
      <w:r w:rsidR="00E179CE">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sidR="00E179CE">
        <w:rPr>
          <w:rFonts w:ascii="Times New Roman" w:eastAsia="宋体" w:hAnsi="Times New Roman" w:cs="Times New Roman"/>
          <w:color w:val="000000"/>
          <w:kern w:val="0"/>
          <w:sz w:val="24"/>
          <w14:ligatures w14:val="none"/>
        </w:rPr>
        <w:instrText>ﬁ</w:instrText>
      </w:r>
      <w:r w:rsidR="00E179CE">
        <w:rPr>
          <w:rFonts w:ascii="Calibri" w:eastAsia="宋体" w:hAnsi="Calibri" w:cs="Calibri"/>
          <w:color w:val="000000"/>
          <w:kern w:val="0"/>
          <w:sz w:val="24"/>
          <w14:ligatures w14:val="none"/>
        </w:rPr>
        <w:instrText>le classi</w:instrText>
      </w:r>
      <w:r w:rsidR="00E179CE">
        <w:rPr>
          <w:rFonts w:ascii="Times New Roman" w:eastAsia="宋体" w:hAnsi="Times New Roman" w:cs="Times New Roman"/>
          <w:color w:val="000000"/>
          <w:kern w:val="0"/>
          <w:sz w:val="24"/>
          <w14:ligatures w14:val="none"/>
        </w:rPr>
        <w:instrText>ﬁ</w:instrText>
      </w:r>
      <w:r w:rsidR="00E179CE">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E179CE">
        <w:rPr>
          <w:rFonts w:ascii="Times New Roman" w:eastAsia="宋体" w:hAnsi="Times New Roman" w:cs="Times New Roman"/>
          <w:color w:val="000000"/>
          <w:kern w:val="0"/>
          <w:sz w:val="24"/>
          <w14:ligatures w14:val="none"/>
        </w:rPr>
        <w:instrText>ﬁ</w:instrText>
      </w:r>
      <w:r w:rsidR="00E179CE">
        <w:rPr>
          <w:rFonts w:ascii="Calibri" w:eastAsia="宋体" w:hAnsi="Calibri" w:cs="Calibri"/>
          <w:color w:val="000000"/>
          <w:kern w:val="0"/>
          <w:sz w:val="24"/>
          <w14:ligatures w14:val="none"/>
        </w:rPr>
        <w:instrText>ed vertical wind pro</w:instrText>
      </w:r>
      <w:r w:rsidR="00E179CE">
        <w:rPr>
          <w:rFonts w:ascii="Times New Roman" w:eastAsia="宋体" w:hAnsi="Times New Roman" w:cs="Times New Roman"/>
          <w:color w:val="000000"/>
          <w:kern w:val="0"/>
          <w:sz w:val="24"/>
          <w14:ligatures w14:val="none"/>
        </w:rPr>
        <w:instrText>ﬁ</w:instrText>
      </w:r>
      <w:r w:rsidR="00E179CE">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id":1644,"uris":["http://zotero.org/users/14274501/items/GSH62KFA"],"itemData":{"id":1644,"type":"article-journal","abstract":"Most wind turbines are installed inside wind farms, where they often operate under wake-affected inflow conditions. New methods are required to evaluate the power performance of a wind turbine in wake, as the International Electrotechnical Commission (IEC) standard procedure is applicable only to wake-free turbines. In this work, we investigate the accuracy of a multivariate power curve acquired through a polynomial regression, whose input variables are wind speed and turbulence measurements retrieved upstream of the turbine’s rotor. For this purpose, we use measurements from the SpinnerLidar, a continuous-wave, scanning Doppler lidar measuring the turbine inflow. The SpinnerLidar was mounted in the spinner of a Neg Micon 80 wind turbine located within an onshore wind farm in western Denmark. The input variables are selected among the available lidar measurements with a feature-selection algorithm, resulting in seven input variables, distributed in different locations along the rotor area: six wind speed and one turbulence measurements. The multivariate power curve is tested and compared with IEC-similar power curves under both wake-affected and wake-free conditions. Results show that the multivariate power curve estimates the turbine’s power output more accurately than the IEC-similar power curves, with error reductions up to 66.5% and 34.2% under wake-affected and wake-free conditions, respectively. Furthermore, the multivariate power curve estimates have an accuracy of the same order under both wake-affected and wake-free conditions. Finally, we show that the multivariate model accurately predicts the power even when a simple measuring geometry is used, such as circular scanning pattern with a diameter equal to 90% of the rotor.","container-title":"Applied Energy","DOI":"10.1016/j.apenergy.2024.122985","ISSN":"03062619","journalAbbreviation":"Applied Energy","language":"en","page":"122985","source":"DOI.org (Crossref)","title":"Wind turbine power curve modelling under wake conditions using measurements from a spinner-mounted lidar","volume":"364","author":[{"family":"Sebastiani","given":"Alessandro"},{"family":"Angelou","given":"Nikolas"},{"family":"Peña","given":"Alfredo"}],"issued":{"date-parts":[["2024",6]]}}}],"schema":"https://github.com/citation-style-language/schema/raw/master/csl-citation.json"} </w:instrText>
      </w:r>
      <w:r>
        <w:rPr>
          <w:rFonts w:ascii="Calibri" w:eastAsia="宋体" w:hAnsi="Calibri" w:cs="Calibri"/>
          <w:color w:val="000000"/>
          <w:kern w:val="0"/>
          <w:sz w:val="24"/>
          <w14:ligatures w14:val="none"/>
        </w:rPr>
        <w:fldChar w:fldCharType="separate"/>
      </w:r>
      <w:r w:rsidR="00E179CE">
        <w:rPr>
          <w:rFonts w:ascii="Calibri" w:eastAsia="宋体" w:hAnsi="Calibri" w:cs="Calibri"/>
          <w:noProof/>
          <w:color w:val="000000"/>
          <w:kern w:val="0"/>
          <w:sz w:val="24"/>
          <w14:ligatures w14:val="none"/>
        </w:rPr>
        <w:t>(Sasser et al., 2022; Sebastiani et al., 2024)</w:t>
      </w:r>
      <w:r>
        <w:rPr>
          <w:rFonts w:ascii="Calibri" w:eastAsia="宋体" w:hAnsi="Calibri" w:cs="Calibri"/>
          <w:color w:val="000000"/>
          <w:kern w:val="0"/>
          <w:sz w:val="24"/>
          <w14:ligatures w14:val="none"/>
        </w:rPr>
        <w:fldChar w:fldCharType="end"/>
      </w:r>
      <w:r w:rsidRPr="00BE403F">
        <w:rPr>
          <w:rFonts w:ascii="Calibri" w:eastAsia="宋体" w:hAnsi="Calibri" w:cs="Calibri"/>
          <w:color w:val="000000"/>
          <w:kern w:val="0"/>
          <w:sz w:val="24"/>
          <w14:ligatures w14:val="none"/>
        </w:rPr>
        <w:t xml:space="preserve">. </w:t>
      </w:r>
      <w:r w:rsidR="00737D09" w:rsidRPr="00737D09">
        <w:rPr>
          <w:rFonts w:ascii="Calibri" w:eastAsia="宋体" w:hAnsi="Calibri" w:cs="Calibri"/>
          <w:color w:val="000000"/>
          <w:kern w:val="0"/>
          <w:sz w:val="24"/>
          <w14:ligatures w14:val="none"/>
        </w:rPr>
        <w:t>These works confirm the benefit of multi-height inputs but do not explain why such improvement occurs or which subset of heights is most effective under different flow regimes, underscoring the need for a mechanistic understanding of wind profile effects.</w:t>
      </w:r>
    </w:p>
    <w:bookmarkEnd w:id="4"/>
    <w:p w:rsidR="00AC6665" w:rsidRDefault="00BE403F"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BE403F">
        <w:rPr>
          <w:rFonts w:ascii="Calibri" w:eastAsia="宋体" w:hAnsi="Calibri" w:cs="Calibri"/>
          <w:color w:val="000000"/>
          <w:kern w:val="0"/>
          <w:sz w:val="24"/>
          <w14:ligatures w14:val="none"/>
        </w:rPr>
        <w:lastRenderedPageBreak/>
        <w:t xml:space="preserve">Wake-induced flow alteration is fundamental in real wind farms. Seminal measurements by </w:t>
      </w:r>
      <w:proofErr w:type="spellStart"/>
      <w:r w:rsidRPr="00BE403F">
        <w:rPr>
          <w:rFonts w:ascii="Calibri" w:eastAsia="宋体" w:hAnsi="Calibri" w:cs="Calibri"/>
          <w:color w:val="000000"/>
          <w:kern w:val="0"/>
          <w:sz w:val="24"/>
          <w14:ligatures w14:val="none"/>
        </w:rPr>
        <w:t>Barthelmie</w:t>
      </w:r>
      <w:proofErr w:type="spellEnd"/>
      <w:r w:rsidRPr="00BE403F">
        <w:rPr>
          <w:rFonts w:ascii="Calibri" w:eastAsia="宋体" w:hAnsi="Calibri" w:cs="Calibri"/>
          <w:color w:val="000000"/>
          <w:kern w:val="0"/>
          <w:sz w:val="24"/>
          <w14:ligatures w14:val="none"/>
        </w:rPr>
        <w:t xml:space="preserve"> et al. </w:t>
      </w:r>
      <w:r w:rsidR="005E7115">
        <w:rPr>
          <w:rFonts w:ascii="Calibri" w:eastAsia="宋体" w:hAnsi="Calibri" w:cs="Calibri"/>
          <w:color w:val="000000"/>
          <w:kern w:val="0"/>
          <w:sz w:val="24"/>
          <w14:ligatures w14:val="none"/>
        </w:rPr>
        <w:fldChar w:fldCharType="begin"/>
      </w:r>
      <w:r w:rsidR="005E7115">
        <w:rPr>
          <w:rFonts w:ascii="Calibri" w:eastAsia="宋体" w:hAnsi="Calibri" w:cs="Calibri"/>
          <w:color w:val="000000"/>
          <w:kern w:val="0"/>
          <w:sz w:val="24"/>
          <w14:ligatures w14:val="none"/>
        </w:rPr>
        <w:instrText xml:space="preserve"> ADDIN ZOTERO_ITEM CSL_CITATION {"citationID":"SNK0NmD6","properties":{"formattedCitation":"(2007)","plainCitation":"(2007)","noteIndex":0},"citationItems":[{"id":1659,"uris":["http://zotero.org/users/14274501/items/7SBSEFPR"],"itemData":{"id":1659,"type":"article-journal","abstract":"Abstract\n            Understanding of power losses and turbulence increase due to wind turbine wake interactions in large offshore wind farms is crucial to optimizing wind farm design. Power losses and turbulence increase d</w:instrText>
      </w:r>
      <w:r w:rsidR="005E7115">
        <w:rPr>
          <w:rFonts w:ascii="Calibri" w:eastAsia="宋体" w:hAnsi="Calibri" w:cs="Calibri" w:hint="eastAsia"/>
          <w:color w:val="000000"/>
          <w:kern w:val="0"/>
          <w:sz w:val="24"/>
          <w14:ligatures w14:val="none"/>
        </w:rPr>
        <w:instrText>ue to wakes are quantified based on observations from Middelgrunden and state</w:instrText>
      </w:r>
      <w:r w:rsidR="005E7115">
        <w:rPr>
          <w:rFonts w:ascii="Calibri" w:eastAsia="宋体" w:hAnsi="Calibri" w:cs="Calibri" w:hint="eastAsia"/>
          <w:color w:val="000000"/>
          <w:kern w:val="0"/>
          <w:sz w:val="24"/>
          <w14:ligatures w14:val="none"/>
        </w:rPr>
        <w:instrText>‐</w:instrText>
      </w:r>
      <w:r w:rsidR="005E7115">
        <w:rPr>
          <w:rFonts w:ascii="Calibri" w:eastAsia="宋体" w:hAnsi="Calibri" w:cs="Calibri" w:hint="eastAsia"/>
          <w:color w:val="000000"/>
          <w:kern w:val="0"/>
          <w:sz w:val="24"/>
          <w14:ligatures w14:val="none"/>
        </w:rPr>
        <w:instrText>of</w:instrText>
      </w:r>
      <w:r w:rsidR="005E7115">
        <w:rPr>
          <w:rFonts w:ascii="Calibri" w:eastAsia="宋体" w:hAnsi="Calibri" w:cs="Calibri" w:hint="eastAsia"/>
          <w:color w:val="000000"/>
          <w:kern w:val="0"/>
          <w:sz w:val="24"/>
          <w14:ligatures w14:val="none"/>
        </w:rPr>
        <w:instrText>‐</w:instrText>
      </w:r>
      <w:r w:rsidR="005E7115">
        <w:rPr>
          <w:rFonts w:ascii="Calibri" w:eastAsia="宋体" w:hAnsi="Calibri" w:cs="Calibri" w:hint="eastAsia"/>
          <w:color w:val="000000"/>
          <w:kern w:val="0"/>
          <w:sz w:val="24"/>
          <w14:ligatures w14:val="none"/>
        </w:rPr>
        <w:instrText>the</w:instrText>
      </w:r>
      <w:r w:rsidR="005E7115">
        <w:rPr>
          <w:rFonts w:ascii="Calibri" w:eastAsia="宋体" w:hAnsi="Calibri" w:cs="Calibri" w:hint="eastAsia"/>
          <w:color w:val="000000"/>
          <w:kern w:val="0"/>
          <w:sz w:val="24"/>
          <w14:ligatures w14:val="none"/>
        </w:rPr>
        <w:instrText>‐</w:instrText>
      </w:r>
      <w:r w:rsidR="005E7115">
        <w:rPr>
          <w:rFonts w:ascii="Calibri" w:eastAsia="宋体" w:hAnsi="Calibri" w:cs="Calibri" w:hint="eastAsia"/>
          <w:color w:val="000000"/>
          <w:kern w:val="0"/>
          <w:sz w:val="24"/>
          <w14:ligatures w14:val="none"/>
        </w:rPr>
        <w:instrText>art models. Observed power losses due solely to wakes are approximately 10% on average. These are relatively high for a single line of wind turbines due in part to the cl</w:instrText>
      </w:r>
      <w:r w:rsidR="005E7115">
        <w:rPr>
          <w:rFonts w:ascii="Calibri" w:eastAsia="宋体" w:hAnsi="Calibri" w:cs="Calibri"/>
          <w:color w:val="000000"/>
          <w:kern w:val="0"/>
          <w:sz w:val="24"/>
          <w14:ligatures w14:val="none"/>
        </w:rPr>
        <w:instrText>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w:instrText>
      </w:r>
      <w:r w:rsidR="005E7115">
        <w:rPr>
          <w:rFonts w:ascii="Calibri" w:eastAsia="宋体" w:hAnsi="Calibri" w:cs="Calibri" w:hint="eastAsia"/>
          <w:color w:val="000000"/>
          <w:kern w:val="0"/>
          <w:sz w:val="24"/>
          <w14:ligatures w14:val="none"/>
        </w:rPr>
        <w:instrText>bine wakes at Middelgrunden offshore wind farm","volume":"10","author":[{"family":"Barthelmie","given":"R. J."},{"family":"Frandsen","given":"S. T."},{"family":"Nielsen","given":"M. N."},{"family":"Pryor","given":"S. C."},{"family":"Rethore","given":"P.</w:instrText>
      </w:r>
      <w:r w:rsidR="005E7115">
        <w:rPr>
          <w:rFonts w:ascii="Calibri" w:eastAsia="宋体" w:hAnsi="Calibri" w:cs="Calibri" w:hint="eastAsia"/>
          <w:color w:val="000000"/>
          <w:kern w:val="0"/>
          <w:sz w:val="24"/>
          <w14:ligatures w14:val="none"/>
        </w:rPr>
        <w:instrText>‐</w:instrText>
      </w:r>
      <w:r w:rsidR="005E7115">
        <w:rPr>
          <w:rFonts w:ascii="Calibri" w:eastAsia="宋体" w:hAnsi="Calibri" w:cs="Calibri" w:hint="eastAsia"/>
          <w:color w:val="000000"/>
          <w:kern w:val="0"/>
          <w:sz w:val="24"/>
          <w14:ligatures w14:val="none"/>
        </w:rPr>
        <w:instrText>E</w:instrText>
      </w:r>
      <w:r w:rsidR="005E7115">
        <w:rPr>
          <w:rFonts w:ascii="Calibri" w:eastAsia="宋体" w:hAnsi="Calibri" w:cs="Calibri"/>
          <w:color w:val="000000"/>
          <w:kern w:val="0"/>
          <w:sz w:val="24"/>
          <w14:ligatures w14:val="none"/>
        </w:rPr>
        <w:instrText xml:space="preserve">."},{"family":"Jørgensen","given":"H. E."}],"issued":{"date-parts":[["2007",11]]}},"suppress-author":true}],"schema":"https://github.com/citation-style-language/schema/raw/master/csl-citation.json"} </w:instrText>
      </w:r>
      <w:r w:rsidR="005E7115">
        <w:rPr>
          <w:rFonts w:ascii="Calibri" w:eastAsia="宋体" w:hAnsi="Calibri" w:cs="Calibri"/>
          <w:color w:val="000000"/>
          <w:kern w:val="0"/>
          <w:sz w:val="24"/>
          <w14:ligatures w14:val="none"/>
        </w:rPr>
        <w:fldChar w:fldCharType="separate"/>
      </w:r>
      <w:r w:rsidR="005E7115">
        <w:rPr>
          <w:rFonts w:ascii="Calibri" w:eastAsia="宋体" w:hAnsi="Calibri" w:cs="Calibri"/>
          <w:noProof/>
          <w:color w:val="000000"/>
          <w:kern w:val="0"/>
          <w:sz w:val="24"/>
          <w14:ligatures w14:val="none"/>
        </w:rPr>
        <w:t>(2007)</w:t>
      </w:r>
      <w:r w:rsidR="005E7115">
        <w:rPr>
          <w:rFonts w:ascii="Calibri" w:eastAsia="宋体" w:hAnsi="Calibri" w:cs="Calibri"/>
          <w:color w:val="000000"/>
          <w:kern w:val="0"/>
          <w:sz w:val="24"/>
          <w14:ligatures w14:val="none"/>
        </w:rPr>
        <w:fldChar w:fldCharType="end"/>
      </w:r>
      <w:r w:rsidRPr="00BE403F">
        <w:rPr>
          <w:rFonts w:ascii="Calibri" w:eastAsia="宋体" w:hAnsi="Calibri" w:cs="Calibri"/>
          <w:color w:val="000000"/>
          <w:kern w:val="0"/>
          <w:sz w:val="24"/>
          <w14:ligatures w14:val="none"/>
        </w:rPr>
        <w:t xml:space="preserve"> showed that wakes cause 10–20% power losses and elevate turbulence intensity by up to 20%. More recent work </w:t>
      </w:r>
      <w:r w:rsidR="005E7115">
        <w:rPr>
          <w:rFonts w:ascii="Calibri" w:eastAsia="宋体" w:hAnsi="Calibri" w:cs="Calibri"/>
          <w:color w:val="000000"/>
          <w:kern w:val="0"/>
          <w:sz w:val="24"/>
          <w14:ligatures w14:val="none"/>
        </w:rPr>
        <w:fldChar w:fldCharType="begin"/>
      </w:r>
      <w:r w:rsidR="005E7115">
        <w:rPr>
          <w:rFonts w:ascii="Calibri" w:eastAsia="宋体" w:hAnsi="Calibri" w:cs="Calibri"/>
          <w:color w:val="000000"/>
          <w:kern w:val="0"/>
          <w:sz w:val="24"/>
          <w14:ligatures w14:val="none"/>
        </w:rPr>
        <w:instrText xml:space="preserve"> ADDIN ZOTERO_ITEM CSL_CITATION {"citationID":"Wt1qwDN8","properties":{"formattedCitation":"(Feroz et al., 2020; Moss et al., 2024)","plainCitation":"(Feroz et al., 2020; Moss et al., 2024)","noteIndex":0},"citationItems":[{"id":1661,"uris":["http://zotero.org/users/14274501/items/IK6DQM6L"],"itemData":{"id":1661,"type":"article-journal","abstract":"Forecasting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Abbas"},{"family":"Uddin","given":"Emad"}],"issued":{"date-parts":[["2020",12]]}}},{"id":1663,"uris":["http://zotero.org/users/14274501/items/BLHAM8PT"],"itemData":{"id":1663,"type":"article-journal","abstract":"Data-driven techniques can enable enhanced insights into wind turbine operations by efficiently extracting information from turbine data. This work outlines a data-driven strategy to augment these insights, describing its benefits and limitations. Different data-driven models are trained on supervisory control and data acquisition (SCADA) and meteorological data collected at an onshore wind farm. The developed models are used to predict wind speed, turbulence intensity (</w:instrText>
      </w:r>
      <w:r w:rsidR="005E7115">
        <w:rPr>
          <w:rFonts w:ascii="Cambria Math" w:eastAsia="宋体" w:hAnsi="Cambria Math" w:cs="Cambria Math"/>
          <w:color w:val="000000"/>
          <w:kern w:val="0"/>
          <w:sz w:val="24"/>
          <w14:ligatures w14:val="none"/>
        </w:rPr>
        <w:instrText>𝑇</w:instrText>
      </w:r>
      <w:r w:rsidR="005E7115">
        <w:rPr>
          <w:rFonts w:ascii="Calibri" w:eastAsia="宋体" w:hAnsi="Calibri" w:cs="Calibri"/>
          <w:color w:val="000000"/>
          <w:kern w:val="0"/>
          <w:sz w:val="24"/>
          <w14:ligatures w14:val="none"/>
        </w:rPr>
        <w:instrText xml:space="preserve"> </w:instrText>
      </w:r>
      <w:r w:rsidR="005E7115">
        <w:rPr>
          <w:rFonts w:ascii="Cambria Math" w:eastAsia="宋体" w:hAnsi="Cambria Math" w:cs="Cambria Math"/>
          <w:color w:val="000000"/>
          <w:kern w:val="0"/>
          <w:sz w:val="24"/>
          <w14:ligatures w14:val="none"/>
        </w:rPr>
        <w:instrText>𝐼</w:instrText>
      </w:r>
      <w:r w:rsidR="005E7115">
        <w:rPr>
          <w:rFonts w:ascii="Calibri" w:eastAsia="宋体" w:hAnsi="Calibri" w:cs="Calibri"/>
          <w:color w:val="000000"/>
          <w:kern w:val="0"/>
          <w:sz w:val="24"/>
          <w14:ligatures w14:val="none"/>
        </w:rPr>
        <w:instrText xml:space="preserve">), and power capture for each turbine with excellent accuracy for different wind and atmospheric conditions. Modifications of the incoming freestream wind speed and </w:instrText>
      </w:r>
      <w:r w:rsidR="005E7115">
        <w:rPr>
          <w:rFonts w:ascii="Cambria Math" w:eastAsia="宋体" w:hAnsi="Cambria Math" w:cs="Cambria Math"/>
          <w:color w:val="000000"/>
          <w:kern w:val="0"/>
          <w:sz w:val="24"/>
          <w14:ligatures w14:val="none"/>
        </w:rPr>
        <w:instrText>𝑇</w:instrText>
      </w:r>
      <w:r w:rsidR="005E7115">
        <w:rPr>
          <w:rFonts w:ascii="Calibri" w:eastAsia="宋体" w:hAnsi="Calibri" w:cs="Calibri"/>
          <w:color w:val="000000"/>
          <w:kern w:val="0"/>
          <w:sz w:val="24"/>
          <w14:ligatures w14:val="none"/>
        </w:rPr>
        <w:instrText xml:space="preserve"> </w:instrText>
      </w:r>
      <w:r w:rsidR="005E7115">
        <w:rPr>
          <w:rFonts w:ascii="Cambria Math" w:eastAsia="宋体" w:hAnsi="Cambria Math" w:cs="Cambria Math"/>
          <w:color w:val="000000"/>
          <w:kern w:val="0"/>
          <w:sz w:val="24"/>
          <w14:ligatures w14:val="none"/>
        </w:rPr>
        <w:instrText>𝐼</w:instrText>
      </w:r>
      <w:r w:rsidR="005E7115">
        <w:rPr>
          <w:rFonts w:ascii="Calibri" w:eastAsia="宋体" w:hAnsi="Calibri" w:cs="Calibri"/>
          <w:color w:val="000000"/>
          <w:kern w:val="0"/>
          <w:sz w:val="24"/>
          <w14:ligatures w14:val="none"/>
        </w:rPr>
        <w:instrText xml:space="preserve"> due to the evolution of the wind field over the wind farm and effects associated with operating turbines are captured enabling modeling at the turbine level. Farm-level modeling is achieved by combining models predicting wind speed and </w:instrText>
      </w:r>
      <w:r w:rsidR="005E7115">
        <w:rPr>
          <w:rFonts w:ascii="Cambria Math" w:eastAsia="宋体" w:hAnsi="Cambria Math" w:cs="Cambria Math"/>
          <w:color w:val="000000"/>
          <w:kern w:val="0"/>
          <w:sz w:val="24"/>
          <w14:ligatures w14:val="none"/>
        </w:rPr>
        <w:instrText>𝑇</w:instrText>
      </w:r>
      <w:r w:rsidR="005E7115">
        <w:rPr>
          <w:rFonts w:ascii="Calibri" w:eastAsia="宋体" w:hAnsi="Calibri" w:cs="Calibri"/>
          <w:color w:val="000000"/>
          <w:kern w:val="0"/>
          <w:sz w:val="24"/>
          <w14:ligatures w14:val="none"/>
        </w:rPr>
        <w:instrText xml:space="preserve"> </w:instrText>
      </w:r>
      <w:r w:rsidR="005E7115">
        <w:rPr>
          <w:rFonts w:ascii="Cambria Math" w:eastAsia="宋体" w:hAnsi="Cambria Math" w:cs="Cambria Math"/>
          <w:color w:val="000000"/>
          <w:kern w:val="0"/>
          <w:sz w:val="24"/>
          <w14:ligatures w14:val="none"/>
        </w:rPr>
        <w:instrText>𝐼</w:instrText>
      </w:r>
      <w:r w:rsidR="005E7115">
        <w:rPr>
          <w:rFonts w:ascii="Calibri" w:eastAsia="宋体" w:hAnsi="Calibri" w:cs="Calibri"/>
          <w:color w:val="000000"/>
          <w:kern w:val="0"/>
          <w:sz w:val="24"/>
          <w14:ligatures w14:val="none"/>
        </w:rPr>
        <w:instrText xml:space="preserve"> at each turbine location from inflow conditions with models predicting power capture. Datadriven filters are also considered in the context of generating accurate data-driven models. In contrast to many current works that utilize simulated data, the proposed approach can describe subtle phenomena, such as speedups, TI damping, and wake-generated turbulence, from real-world turbine data. It is noteworthy that the accuracy achievable through data-driven modeling is limited by the quality of the data; therefore, guidelines are proposed to estimate resultant model performance from a given training set without the need to train or test a model.","container-title":"Applied Energy","DOI":"10.1016/j.apenergy.2024.124116","ISSN":"03062619","journalAbbreviation":"Applied Energy","language":"en","page":"124116","source":"DOI.org (Crossref)","title":"Augmenting insights from wind turbine data through data-driven approaches","volume":"376","author":[{"family":"Moss","given":"Coleman"},{"family":"Maulik","given":"Romit"},{"family":"Iungo","given":"Giacomo Valerio"}],"issued":{"date-parts":[["2024",12]]}}}],"schema":"https://github.com/citation-style-language/schema/raw/master/csl-citation.json"} </w:instrText>
      </w:r>
      <w:r w:rsidR="005E7115">
        <w:rPr>
          <w:rFonts w:ascii="Calibri" w:eastAsia="宋体" w:hAnsi="Calibri" w:cs="Calibri"/>
          <w:color w:val="000000"/>
          <w:kern w:val="0"/>
          <w:sz w:val="24"/>
          <w14:ligatures w14:val="none"/>
        </w:rPr>
        <w:fldChar w:fldCharType="separate"/>
      </w:r>
      <w:r w:rsidR="005E7115">
        <w:rPr>
          <w:rFonts w:ascii="Calibri" w:eastAsia="宋体" w:hAnsi="Calibri" w:cs="Calibri"/>
          <w:noProof/>
          <w:color w:val="000000"/>
          <w:kern w:val="0"/>
          <w:sz w:val="24"/>
          <w14:ligatures w14:val="none"/>
        </w:rPr>
        <w:t>(Feroz et al., 2020; Moss et al., 2024)</w:t>
      </w:r>
      <w:r w:rsidR="005E7115">
        <w:rPr>
          <w:rFonts w:ascii="Calibri" w:eastAsia="宋体" w:hAnsi="Calibri" w:cs="Calibri"/>
          <w:color w:val="000000"/>
          <w:kern w:val="0"/>
          <w:sz w:val="24"/>
          <w14:ligatures w14:val="none"/>
        </w:rPr>
        <w:fldChar w:fldCharType="end"/>
      </w:r>
      <w:r w:rsidRPr="00BE403F">
        <w:rPr>
          <w:rFonts w:ascii="Calibri" w:eastAsia="宋体" w:hAnsi="Calibri" w:cs="Calibri"/>
          <w:color w:val="000000"/>
          <w:kern w:val="0"/>
          <w:sz w:val="24"/>
          <w14:ligatures w14:val="none"/>
        </w:rPr>
        <w:t xml:space="preserve"> demonstrated strong seasonal and spatial variability, including flow deceleration, local acceleration, and turbulence damping. These findings indicate that predictor effectiveness should differ between free-stream and wake-influenced regions and that single-height measurements cannot represent all inflow states.</w:t>
      </w:r>
      <w:r w:rsidR="00AB6D95" w:rsidRPr="00AB6D95">
        <w:rPr>
          <w:rFonts w:ascii="Calibri" w:eastAsia="宋体" w:hAnsi="Calibri" w:cs="Calibri"/>
          <w:color w:val="000000"/>
          <w:kern w:val="0"/>
          <w:sz w:val="24"/>
          <w14:ligatures w14:val="none"/>
        </w:rPr>
        <w:t xml:space="preserve"> </w:t>
      </w:r>
    </w:p>
    <w:p w:rsidR="00AC6665" w:rsidRDefault="00AB6D95"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AB6D95">
        <w:rPr>
          <w:rFonts w:ascii="Calibri" w:eastAsia="宋体" w:hAnsi="Calibri" w:cs="Calibri"/>
          <w:color w:val="000000"/>
          <w:kern w:val="0"/>
          <w:sz w:val="24"/>
          <w14:ligatures w14:val="none"/>
        </w:rPr>
        <w:t>Synthesizing existing evidence reveals three fundamental gaps.</w:t>
      </w:r>
      <w:r w:rsidR="00671094">
        <w:rPr>
          <w:rFonts w:ascii="Calibri" w:eastAsia="宋体" w:hAnsi="Calibri" w:cs="Calibri" w:hint="eastAsia"/>
          <w:color w:val="000000"/>
          <w:kern w:val="0"/>
          <w:sz w:val="24"/>
          <w14:ligatures w14:val="none"/>
        </w:rPr>
        <w:t xml:space="preserve"> </w:t>
      </w:r>
      <w:r w:rsidRPr="00AB6D95">
        <w:rPr>
          <w:rFonts w:ascii="Calibri" w:eastAsia="宋体" w:hAnsi="Calibri" w:cs="Calibri"/>
          <w:color w:val="000000"/>
          <w:kern w:val="0"/>
          <w:sz w:val="24"/>
          <w14:ligatures w14:val="none"/>
        </w:rPr>
        <w:t>First, the atmospheric timescales governing total-field power remain unclear; without understanding the scale-dependent power response to atmospheric forcing, predictor selection lacks physical grounding and cannot explain anomalies such as the 10 m correlation.</w:t>
      </w:r>
      <w:r w:rsidR="00671094">
        <w:rPr>
          <w:rFonts w:ascii="Calibri" w:eastAsia="宋体" w:hAnsi="Calibri" w:cs="Calibri" w:hint="eastAsia"/>
          <w:color w:val="000000"/>
          <w:kern w:val="0"/>
          <w:sz w:val="24"/>
          <w14:ligatures w14:val="none"/>
        </w:rPr>
        <w:t xml:space="preserve"> </w:t>
      </w:r>
      <w:r w:rsidRPr="00AB6D95">
        <w:rPr>
          <w:rFonts w:ascii="Calibri" w:eastAsia="宋体" w:hAnsi="Calibri" w:cs="Calibri"/>
          <w:color w:val="000000"/>
          <w:kern w:val="0"/>
          <w:sz w:val="24"/>
          <w14:ligatures w14:val="none"/>
        </w:rPr>
        <w:t>Second, free-flow and wake-flow regimes exhibit distinct dynamics, yet few studies systematically compare predictor importance across these regimes. This limits adaptive predictor selection under mixed observational conditions.</w:t>
      </w:r>
      <w:r w:rsidR="00671094">
        <w:rPr>
          <w:rFonts w:ascii="Calibri" w:eastAsia="宋体" w:hAnsi="Calibri" w:cs="Calibri" w:hint="eastAsia"/>
          <w:color w:val="000000"/>
          <w:kern w:val="0"/>
          <w:sz w:val="24"/>
          <w14:ligatures w14:val="none"/>
        </w:rPr>
        <w:t xml:space="preserve"> </w:t>
      </w:r>
      <w:r w:rsidRPr="00AB6D95">
        <w:rPr>
          <w:rFonts w:ascii="Calibri" w:eastAsia="宋体" w:hAnsi="Calibri" w:cs="Calibri"/>
          <w:color w:val="000000"/>
          <w:kern w:val="0"/>
          <w:sz w:val="24"/>
          <w14:ligatures w14:val="none"/>
        </w:rPr>
        <w:t>Third, despite extensive knowledge of wind profile structure, stability, and turbulence, these physical insights have not been translated into operational day-ahead forecasting strategies, which still rely primarily on empirical hub-height inputs</w:t>
      </w:r>
      <w:r w:rsidR="00AC6665" w:rsidRPr="00AC6665">
        <w:rPr>
          <w:rFonts w:ascii="Calibri" w:eastAsia="宋体" w:hAnsi="Calibri" w:cs="Calibri"/>
          <w:color w:val="000000"/>
          <w:kern w:val="0"/>
          <w:sz w:val="24"/>
          <w14:ligatures w14:val="none"/>
        </w:rPr>
        <w:t>.</w:t>
      </w:r>
    </w:p>
    <w:p w:rsidR="00671094" w:rsidRDefault="005E7115"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5E7115">
        <w:rPr>
          <w:rFonts w:ascii="Calibri" w:eastAsia="宋体" w:hAnsi="Calibri" w:cs="Calibri"/>
          <w:color w:val="000000"/>
          <w:kern w:val="0"/>
          <w:sz w:val="24"/>
          <w14:ligatures w14:val="none"/>
        </w:rPr>
        <w:t>To address these issues, this study uses full-profile wind observations (10 m, 30 m, 50 m, 70 m) together with whole-farm power production from a representative site and develops a three-tiered framework.</w:t>
      </w:r>
      <w:r w:rsidR="00671094" w:rsidRPr="00671094">
        <w:rPr>
          <w:rFonts w:ascii="Calibri" w:eastAsia="宋体" w:hAnsi="Calibri" w:cs="Calibri"/>
          <w:color w:val="000000"/>
          <w:kern w:val="0"/>
          <w:sz w:val="24"/>
          <w14:ligatures w14:val="none"/>
        </w:rPr>
        <w:t xml:space="preserve"> First, ensemble empirical mode decomposition (EEMD) and empirical orthogonal function (EOF) analysis are applied to quantify the dominant atmospheric timescales governing farm power and their physical mechanisms. Second, free-stream and wake-flow conditions are classified using wind direction, and SHAP analysis is used to identify differentiated predictor characteristics for each regime. Third, the physically informed </w:t>
      </w:r>
      <w:r w:rsidR="006B273C" w:rsidRPr="00394449">
        <w:rPr>
          <w:rFonts w:ascii="Calibri" w:eastAsia="宋体" w:hAnsi="Calibri" w:cs="Calibri"/>
          <w:color w:val="000000"/>
          <w:kern w:val="0"/>
          <w:sz w:val="24"/>
          <w14:ligatures w14:val="none"/>
        </w:rPr>
        <w:t>inputs</w:t>
      </w:r>
      <w:r w:rsidR="006B273C">
        <w:rPr>
          <w:rFonts w:ascii="Calibri" w:eastAsia="宋体" w:hAnsi="Calibri" w:cs="Calibri" w:hint="eastAsia"/>
          <w:color w:val="000000"/>
          <w:kern w:val="0"/>
          <w:sz w:val="24"/>
          <w14:ligatures w14:val="none"/>
        </w:rPr>
        <w:t xml:space="preserve"> </w:t>
      </w:r>
      <w:r w:rsidR="00671094" w:rsidRPr="00671094">
        <w:rPr>
          <w:rFonts w:ascii="Calibri" w:eastAsia="宋体" w:hAnsi="Calibri" w:cs="Calibri"/>
          <w:color w:val="000000"/>
          <w:kern w:val="0"/>
          <w:sz w:val="24"/>
          <w14:ligatures w14:val="none"/>
        </w:rPr>
        <w:t>identified from observations are integrated with retrospective NWP forecasts (EC-WRF and GFS-</w:t>
      </w:r>
      <w:r w:rsidR="00671094" w:rsidRPr="00671094">
        <w:rPr>
          <w:rFonts w:ascii="Calibri" w:eastAsia="宋体" w:hAnsi="Calibri" w:cs="Calibri"/>
          <w:color w:val="000000"/>
          <w:kern w:val="0"/>
          <w:sz w:val="24"/>
          <w14:ligatures w14:val="none"/>
        </w:rPr>
        <w:lastRenderedPageBreak/>
        <w:t xml:space="preserve">WRF) to construct day-ahead power forecasting strategies using </w:t>
      </w:r>
      <w:proofErr w:type="spellStart"/>
      <w:r w:rsidR="00671094" w:rsidRPr="00671094">
        <w:rPr>
          <w:rFonts w:ascii="Calibri" w:eastAsia="宋体" w:hAnsi="Calibri" w:cs="Calibri"/>
          <w:color w:val="000000"/>
          <w:kern w:val="0"/>
          <w:sz w:val="24"/>
          <w14:ligatures w14:val="none"/>
        </w:rPr>
        <w:t>LightGBM</w:t>
      </w:r>
      <w:proofErr w:type="spellEnd"/>
      <w:r w:rsidR="00671094" w:rsidRPr="00671094">
        <w:rPr>
          <w:rFonts w:ascii="Calibri" w:eastAsia="宋体" w:hAnsi="Calibri" w:cs="Calibri"/>
          <w:color w:val="000000"/>
          <w:kern w:val="0"/>
          <w:sz w:val="24"/>
          <w14:ligatures w14:val="none"/>
        </w:rPr>
        <w:t xml:space="preserve"> models tailored to inflow characteristics. </w:t>
      </w:r>
    </w:p>
    <w:p w:rsidR="000138EE" w:rsidRDefault="00EA5ED1"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EA5ED1">
        <w:rPr>
          <w:rFonts w:ascii="Calibri" w:eastAsia="宋体" w:hAnsi="Calibri" w:cs="Calibri"/>
          <w:color w:val="000000"/>
          <w:kern w:val="0"/>
          <w:sz w:val="24"/>
          <w14:ligatures w14:val="none"/>
        </w:rPr>
        <w:t xml:space="preserve">This study makes three key contributions. (1) It establishes that predictor selection should be grounded in atmospheric processes: the EEMD–EOF analyses show that farm power responds primarily to weather-scale forcing expressed through vertical profile changes, which cannot be captured by a single height. (2) It demonstrates that free-stream and wake flows exhibit distinct predictor behaviors: multi-height wind speeds and temperature consistently emerge as core </w:t>
      </w:r>
      <w:r w:rsidR="006B273C" w:rsidRPr="00394449">
        <w:rPr>
          <w:rFonts w:ascii="Calibri" w:eastAsia="宋体" w:hAnsi="Calibri" w:cs="Calibri"/>
          <w:color w:val="000000"/>
          <w:kern w:val="0"/>
          <w:sz w:val="24"/>
          <w14:ligatures w14:val="none"/>
        </w:rPr>
        <w:t>inputs</w:t>
      </w:r>
      <w:r w:rsidRPr="00EA5ED1">
        <w:rPr>
          <w:rFonts w:ascii="Calibri" w:eastAsia="宋体" w:hAnsi="Calibri" w:cs="Calibri"/>
          <w:color w:val="000000"/>
          <w:kern w:val="0"/>
          <w:sz w:val="24"/>
          <w14:ligatures w14:val="none"/>
        </w:rPr>
        <w:t xml:space="preserve">, but optimal height combinations differ across regimes. </w:t>
      </w:r>
      <w:r w:rsidR="001D61F8" w:rsidRPr="001D61F8">
        <w:rPr>
          <w:rFonts w:ascii="Calibri" w:eastAsia="宋体" w:hAnsi="Calibri" w:cs="Calibri"/>
          <w:color w:val="000000"/>
          <w:kern w:val="0"/>
          <w:sz w:val="24"/>
          <w14:ligatures w14:val="none"/>
        </w:rPr>
        <w:t xml:space="preserve">(3) It provides operational forecasting strategies that combine physically consistent </w:t>
      </w:r>
      <w:r w:rsidR="006B273C" w:rsidRPr="00394449">
        <w:rPr>
          <w:rFonts w:ascii="Calibri" w:eastAsia="宋体" w:hAnsi="Calibri" w:cs="Calibri"/>
          <w:color w:val="000000"/>
          <w:kern w:val="0"/>
          <w:sz w:val="24"/>
          <w14:ligatures w14:val="none"/>
        </w:rPr>
        <w:t>inputs</w:t>
      </w:r>
      <w:r w:rsidR="006B273C">
        <w:rPr>
          <w:rFonts w:ascii="Calibri" w:eastAsia="宋体" w:hAnsi="Calibri" w:cs="Calibri" w:hint="eastAsia"/>
          <w:color w:val="000000"/>
          <w:kern w:val="0"/>
          <w:sz w:val="24"/>
          <w14:ligatures w14:val="none"/>
        </w:rPr>
        <w:t xml:space="preserve"> </w:t>
      </w:r>
      <w:r w:rsidR="001D61F8" w:rsidRPr="001D61F8">
        <w:rPr>
          <w:rFonts w:ascii="Calibri" w:eastAsia="宋体" w:hAnsi="Calibri" w:cs="Calibri"/>
          <w:color w:val="000000"/>
          <w:kern w:val="0"/>
          <w:sz w:val="24"/>
          <w14:ligatures w14:val="none"/>
        </w:rPr>
        <w:t>with NWP-driven machine learning models, using reliable wind-direction forecasts from NWP-WRF to enable regime-specific prediction and improve accuracy over hub-height–based baselines.</w:t>
      </w:r>
    </w:p>
    <w:p w:rsidR="002C2073" w:rsidRDefault="00640A47" w:rsidP="005E7115">
      <w:pPr>
        <w:widowControl/>
        <w:spacing w:before="100" w:beforeAutospacing="1" w:after="100" w:afterAutospacing="1" w:line="36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 xml:space="preserve">2. </w:t>
      </w:r>
      <w:r w:rsidR="002C2073">
        <w:rPr>
          <w:rFonts w:ascii="Calibri" w:eastAsia="宋体" w:hAnsi="Calibri" w:cs="Calibri"/>
          <w:color w:val="000000"/>
          <w:kern w:val="0"/>
          <w:sz w:val="24"/>
          <w14:ligatures w14:val="none"/>
        </w:rPr>
        <w:t>M</w:t>
      </w:r>
      <w:r w:rsidR="002C2073">
        <w:rPr>
          <w:rFonts w:ascii="Calibri" w:eastAsia="宋体" w:hAnsi="Calibri" w:cs="Calibri" w:hint="eastAsia"/>
          <w:color w:val="000000"/>
          <w:kern w:val="0"/>
          <w:sz w:val="24"/>
          <w14:ligatures w14:val="none"/>
        </w:rPr>
        <w:t xml:space="preserve">ethod </w:t>
      </w:r>
      <w:r w:rsidR="002C2073">
        <w:rPr>
          <w:rFonts w:ascii="Calibri" w:eastAsia="宋体" w:hAnsi="Calibri" w:cs="Calibri"/>
          <w:color w:val="000000"/>
          <w:kern w:val="0"/>
          <w:sz w:val="24"/>
          <w14:ligatures w14:val="none"/>
        </w:rPr>
        <w:t>and data</w:t>
      </w:r>
    </w:p>
    <w:p w:rsidR="002C2073" w:rsidRDefault="002C2073" w:rsidP="005E7115">
      <w:pPr>
        <w:widowControl/>
        <w:spacing w:before="100" w:beforeAutospacing="1" w:after="100" w:afterAutospacing="1" w:line="360" w:lineRule="auto"/>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t xml:space="preserve">2.1 </w:t>
      </w:r>
      <w:r>
        <w:rPr>
          <w:rFonts w:ascii="Calibri" w:eastAsia="宋体" w:hAnsi="Calibri" w:cs="Calibri" w:hint="eastAsia"/>
          <w:color w:val="000000"/>
          <w:kern w:val="0"/>
          <w:sz w:val="24"/>
          <w14:ligatures w14:val="none"/>
        </w:rPr>
        <w:t xml:space="preserve">description </w:t>
      </w:r>
      <w:r>
        <w:rPr>
          <w:rFonts w:ascii="Calibri" w:eastAsia="宋体" w:hAnsi="Calibri" w:cs="Calibri"/>
          <w:color w:val="000000"/>
          <w:kern w:val="0"/>
          <w:sz w:val="24"/>
          <w14:ligatures w14:val="none"/>
        </w:rPr>
        <w:t xml:space="preserve">of the test site and the met mast </w:t>
      </w:r>
      <w:r>
        <w:rPr>
          <w:rFonts w:ascii="Calibri" w:eastAsia="宋体" w:hAnsi="Calibri" w:cs="Calibri" w:hint="eastAsia"/>
          <w:color w:val="000000"/>
          <w:kern w:val="0"/>
          <w:sz w:val="24"/>
          <w14:ligatures w14:val="none"/>
        </w:rPr>
        <w:t>measurement</w:t>
      </w:r>
    </w:p>
    <w:p w:rsidR="002C2073" w:rsidRDefault="002C2073" w:rsidP="005E7115">
      <w:pPr>
        <w:widowControl/>
        <w:spacing w:before="100" w:beforeAutospacing="1" w:after="100" w:afterAutospacing="1" w:line="360" w:lineRule="auto"/>
        <w:rPr>
          <w:rFonts w:ascii="Calibri" w:eastAsia="宋体" w:hAnsi="Calibri" w:cs="Calibri"/>
          <w:color w:val="000000"/>
          <w:kern w:val="0"/>
          <w:sz w:val="24"/>
          <w14:ligatures w14:val="none"/>
        </w:rPr>
      </w:pPr>
    </w:p>
    <w:p w:rsidR="002C2073" w:rsidRDefault="002C2073" w:rsidP="005E7115">
      <w:pPr>
        <w:widowControl/>
        <w:spacing w:before="100" w:beforeAutospacing="1" w:after="100" w:afterAutospacing="1" w:line="360" w:lineRule="auto"/>
        <w:rPr>
          <w:rFonts w:ascii="Calibri" w:eastAsia="宋体" w:hAnsi="Calibri" w:cs="Calibri"/>
          <w:color w:val="000000"/>
          <w:kern w:val="0"/>
          <w:sz w:val="24"/>
          <w14:ligatures w14:val="none"/>
        </w:rPr>
      </w:pPr>
    </w:p>
    <w:p w:rsidR="002C2073" w:rsidRDefault="002C2073">
      <w:pPr>
        <w:widowControl/>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br w:type="page"/>
      </w:r>
    </w:p>
    <w:p w:rsidR="002C2073" w:rsidRPr="002C2073" w:rsidRDefault="002C2073" w:rsidP="005E7115">
      <w:pPr>
        <w:widowControl/>
        <w:spacing w:before="100" w:beforeAutospacing="1" w:after="100" w:afterAutospacing="1" w:line="360" w:lineRule="auto"/>
        <w:rPr>
          <w:rFonts w:ascii="Calibri" w:eastAsia="宋体" w:hAnsi="Calibri" w:cs="Calibri"/>
          <w:color w:val="000000"/>
          <w:kern w:val="0"/>
          <w:sz w:val="24"/>
          <w14:ligatures w14:val="none"/>
        </w:rPr>
      </w:pPr>
    </w:p>
    <w:p w:rsidR="005E7115" w:rsidRPr="005E7115" w:rsidRDefault="00EC1864" w:rsidP="005E7115">
      <w:pPr>
        <w:pStyle w:val="af4"/>
        <w:rPr>
          <w:rFonts w:ascii="Calibri" w:hAnsi="Calibri" w:cs="Calibri"/>
          <w:color w:val="000000"/>
          <w:sz w:val="24"/>
        </w:rPr>
      </w:pPr>
      <w:r>
        <w:rPr>
          <w:rFonts w:ascii="Calibri" w:eastAsia="宋体" w:hAnsi="Calibri" w:cs="Calibri"/>
          <w:color w:val="000000"/>
          <w14:ligatures w14:val="none"/>
        </w:rPr>
        <w:fldChar w:fldCharType="begin"/>
      </w:r>
      <w:r w:rsidR="00401647">
        <w:rPr>
          <w:rFonts w:ascii="Calibri" w:eastAsia="宋体" w:hAnsi="Calibri" w:cs="Calibri"/>
          <w:color w:val="000000"/>
          <w14:ligatures w14:val="none"/>
        </w:rPr>
        <w:instrText xml:space="preserve"> ADDIN ZOTERO_BIBL {"uncited":[],"omitted":[],"custom":[]} CSL_BIBLIOGRAPHY </w:instrText>
      </w:r>
      <w:r>
        <w:rPr>
          <w:rFonts w:ascii="Calibri" w:eastAsia="宋体" w:hAnsi="Calibri" w:cs="Calibri"/>
          <w:color w:val="000000"/>
          <w14:ligatures w14:val="none"/>
        </w:rPr>
        <w:fldChar w:fldCharType="separate"/>
      </w:r>
      <w:r w:rsidR="005E7115" w:rsidRPr="005E7115">
        <w:rPr>
          <w:rFonts w:ascii="Calibri" w:hAnsi="Calibri" w:cs="Calibri"/>
          <w:color w:val="000000"/>
          <w:sz w:val="24"/>
        </w:rPr>
        <w:t xml:space="preserve">Barthelmie, R. J., Frandsen, S. T., Nielsen, M. N., Pryor, S. C., Rethore, P. ‐E., &amp; Jørgensen, H. E. (2007). Modelling and measurements of power losses and turbulence intensity in wind turbine wakes at Middelgrunden offshore wind farm. </w:t>
      </w:r>
      <w:r w:rsidR="005E7115" w:rsidRPr="005E7115">
        <w:rPr>
          <w:rFonts w:ascii="Calibri" w:hAnsi="Calibri" w:cs="Calibri"/>
          <w:i/>
          <w:iCs/>
          <w:color w:val="000000"/>
          <w:sz w:val="24"/>
        </w:rPr>
        <w:t>Wind Energy</w:t>
      </w:r>
      <w:r w:rsidR="005E7115" w:rsidRPr="005E7115">
        <w:rPr>
          <w:rFonts w:ascii="Calibri" w:hAnsi="Calibri" w:cs="Calibri"/>
          <w:color w:val="000000"/>
          <w:sz w:val="24"/>
        </w:rPr>
        <w:t xml:space="preserve">, </w:t>
      </w:r>
      <w:r w:rsidR="005E7115" w:rsidRPr="005E7115">
        <w:rPr>
          <w:rFonts w:ascii="Calibri" w:hAnsi="Calibri" w:cs="Calibri"/>
          <w:i/>
          <w:iCs/>
          <w:color w:val="000000"/>
          <w:sz w:val="24"/>
        </w:rPr>
        <w:t>10</w:t>
      </w:r>
      <w:r w:rsidR="005E7115" w:rsidRPr="005E7115">
        <w:rPr>
          <w:rFonts w:ascii="Calibri" w:hAnsi="Calibri" w:cs="Calibri"/>
          <w:color w:val="000000"/>
          <w:sz w:val="24"/>
        </w:rPr>
        <w:t>(6), 517–528. https://doi.org/10.1002/we.238</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Che, Y., A. Salazar, A., Peng, S., Zheng, J., Chen, Y., &amp; Yuan, L. (2022). A multi-scale model for day-ahead wind speed forecasting: A case study of the Houhoku wind farm, Japan. </w:t>
      </w:r>
      <w:r w:rsidRPr="005E7115">
        <w:rPr>
          <w:rFonts w:ascii="Calibri" w:hAnsi="Calibri" w:cs="Calibri"/>
          <w:i/>
          <w:iCs/>
          <w:color w:val="000000"/>
          <w:sz w:val="24"/>
        </w:rPr>
        <w:t>Sustainable Energy Technologies and Assessments</w:t>
      </w:r>
      <w:r w:rsidRPr="005E7115">
        <w:rPr>
          <w:rFonts w:ascii="Calibri" w:hAnsi="Calibri" w:cs="Calibri"/>
          <w:color w:val="000000"/>
          <w:sz w:val="24"/>
        </w:rPr>
        <w:t xml:space="preserve">, </w:t>
      </w:r>
      <w:r w:rsidRPr="005E7115">
        <w:rPr>
          <w:rFonts w:ascii="Calibri" w:hAnsi="Calibri" w:cs="Calibri"/>
          <w:i/>
          <w:iCs/>
          <w:color w:val="000000"/>
          <w:sz w:val="24"/>
        </w:rPr>
        <w:t>52</w:t>
      </w:r>
      <w:r w:rsidRPr="005E7115">
        <w:rPr>
          <w:rFonts w:ascii="Calibri" w:hAnsi="Calibri" w:cs="Calibri"/>
          <w:color w:val="000000"/>
          <w:sz w:val="24"/>
        </w:rPr>
        <w:t>, 101995. https://doi.org/10.1016/j.seta.2022.101995</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Chen, Y., &amp; Xu, J. (2022). Solar and wind power data from the Chinese State Grid Renewable Energy Generation Forecasting Competition. </w:t>
      </w:r>
      <w:r w:rsidRPr="005E7115">
        <w:rPr>
          <w:rFonts w:ascii="Calibri" w:hAnsi="Calibri" w:cs="Calibri"/>
          <w:i/>
          <w:iCs/>
          <w:color w:val="000000"/>
          <w:sz w:val="24"/>
        </w:rPr>
        <w:t>Scientific Data</w:t>
      </w:r>
      <w:r w:rsidRPr="005E7115">
        <w:rPr>
          <w:rFonts w:ascii="Calibri" w:hAnsi="Calibri" w:cs="Calibri"/>
          <w:color w:val="000000"/>
          <w:sz w:val="24"/>
        </w:rPr>
        <w:t xml:space="preserve">, </w:t>
      </w:r>
      <w:r w:rsidRPr="005E7115">
        <w:rPr>
          <w:rFonts w:ascii="Calibri" w:hAnsi="Calibri" w:cs="Calibri"/>
          <w:i/>
          <w:iCs/>
          <w:color w:val="000000"/>
          <w:sz w:val="24"/>
        </w:rPr>
        <w:t>9</w:t>
      </w:r>
      <w:r w:rsidRPr="005E7115">
        <w:rPr>
          <w:rFonts w:ascii="Calibri" w:hAnsi="Calibri" w:cs="Calibri"/>
          <w:color w:val="000000"/>
          <w:sz w:val="24"/>
        </w:rPr>
        <w:t>(1), 577. https://doi.org/10.1038/s41597-022-01696-6</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Clifton, A., Kilcher, L., Lundquist, J. K., &amp; Fleming, P. (2013). Using machine learning to predict wind turbine power output. </w:t>
      </w:r>
      <w:r w:rsidRPr="005E7115">
        <w:rPr>
          <w:rFonts w:ascii="Calibri" w:hAnsi="Calibri" w:cs="Calibri"/>
          <w:i/>
          <w:iCs/>
          <w:color w:val="000000"/>
          <w:sz w:val="24"/>
        </w:rPr>
        <w:t>Environmental Research Letters</w:t>
      </w:r>
      <w:r w:rsidRPr="005E7115">
        <w:rPr>
          <w:rFonts w:ascii="Calibri" w:hAnsi="Calibri" w:cs="Calibri"/>
          <w:color w:val="000000"/>
          <w:sz w:val="24"/>
        </w:rPr>
        <w:t xml:space="preserve">, </w:t>
      </w:r>
      <w:r w:rsidRPr="005E7115">
        <w:rPr>
          <w:rFonts w:ascii="Calibri" w:hAnsi="Calibri" w:cs="Calibri"/>
          <w:i/>
          <w:iCs/>
          <w:color w:val="000000"/>
          <w:sz w:val="24"/>
        </w:rPr>
        <w:t>8</w:t>
      </w:r>
      <w:r w:rsidRPr="005E7115">
        <w:rPr>
          <w:rFonts w:ascii="Calibri" w:hAnsi="Calibri" w:cs="Calibri"/>
          <w:color w:val="000000"/>
          <w:sz w:val="24"/>
        </w:rPr>
        <w:t>(2), 024009. https://doi.org/10.1088/1748-9326/8/2/024009</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Cutler, N. J., Outhred, H. R., &amp; MacGill, I. F. (2012). Using nacelle‐based wind speed observations to improve power curve modeling for wind power forecasting. </w:t>
      </w:r>
      <w:r w:rsidRPr="005E7115">
        <w:rPr>
          <w:rFonts w:ascii="Calibri" w:hAnsi="Calibri" w:cs="Calibri"/>
          <w:i/>
          <w:iCs/>
          <w:color w:val="000000"/>
          <w:sz w:val="24"/>
        </w:rPr>
        <w:t>Wind Energy</w:t>
      </w:r>
      <w:r w:rsidRPr="005E7115">
        <w:rPr>
          <w:rFonts w:ascii="Calibri" w:hAnsi="Calibri" w:cs="Calibri"/>
          <w:color w:val="000000"/>
          <w:sz w:val="24"/>
        </w:rPr>
        <w:t xml:space="preserve">, </w:t>
      </w:r>
      <w:r w:rsidRPr="005E7115">
        <w:rPr>
          <w:rFonts w:ascii="Calibri" w:hAnsi="Calibri" w:cs="Calibri"/>
          <w:i/>
          <w:iCs/>
          <w:color w:val="000000"/>
          <w:sz w:val="24"/>
        </w:rPr>
        <w:t>15</w:t>
      </w:r>
      <w:r w:rsidRPr="005E7115">
        <w:rPr>
          <w:rFonts w:ascii="Calibri" w:hAnsi="Calibri" w:cs="Calibri"/>
          <w:color w:val="000000"/>
          <w:sz w:val="24"/>
        </w:rPr>
        <w:t>(2), 245–258. https://doi.org/10.1002/we.465</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Feroz, R. M. A., Javed, A., Syed, A. H., Kazmi, S. A. A., &amp; Uddin, E. (2020). Wind speed and power forecasting of a utility-scale wind farm with inter-farm wake interference and seasonal variation. </w:t>
      </w:r>
      <w:r w:rsidRPr="005E7115">
        <w:rPr>
          <w:rFonts w:ascii="Calibri" w:hAnsi="Calibri" w:cs="Calibri"/>
          <w:i/>
          <w:iCs/>
          <w:color w:val="000000"/>
          <w:sz w:val="24"/>
        </w:rPr>
        <w:t>Sustainable Energy Technologies and Assessments</w:t>
      </w:r>
      <w:r w:rsidRPr="005E7115">
        <w:rPr>
          <w:rFonts w:ascii="Calibri" w:hAnsi="Calibri" w:cs="Calibri"/>
          <w:color w:val="000000"/>
          <w:sz w:val="24"/>
        </w:rPr>
        <w:t xml:space="preserve">, </w:t>
      </w:r>
      <w:r w:rsidRPr="005E7115">
        <w:rPr>
          <w:rFonts w:ascii="Calibri" w:hAnsi="Calibri" w:cs="Calibri"/>
          <w:i/>
          <w:iCs/>
          <w:color w:val="000000"/>
          <w:sz w:val="24"/>
        </w:rPr>
        <w:t>42</w:t>
      </w:r>
      <w:r w:rsidRPr="005E7115">
        <w:rPr>
          <w:rFonts w:ascii="Calibri" w:hAnsi="Calibri" w:cs="Calibri"/>
          <w:color w:val="000000"/>
          <w:sz w:val="24"/>
        </w:rPr>
        <w:t>, 100882. https://doi.org/10.1016/j.seta.2020.100882</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lastRenderedPageBreak/>
        <w:t xml:space="preserve">Haq, I. U., Kumar, A., &amp; Rathore, P. S. (2025). Machine learning approaches for wind power forecasting: a comprehensive review. </w:t>
      </w:r>
      <w:r w:rsidRPr="005E7115">
        <w:rPr>
          <w:rFonts w:ascii="Calibri" w:hAnsi="Calibri" w:cs="Calibri"/>
          <w:i/>
          <w:iCs/>
          <w:color w:val="000000"/>
          <w:sz w:val="24"/>
        </w:rPr>
        <w:t>Discover Applied Sciences</w:t>
      </w:r>
      <w:r w:rsidRPr="005E7115">
        <w:rPr>
          <w:rFonts w:ascii="Calibri" w:hAnsi="Calibri" w:cs="Calibri"/>
          <w:color w:val="000000"/>
          <w:sz w:val="24"/>
        </w:rPr>
        <w:t xml:space="preserve">, </w:t>
      </w:r>
      <w:r w:rsidRPr="005E7115">
        <w:rPr>
          <w:rFonts w:ascii="Calibri" w:hAnsi="Calibri" w:cs="Calibri"/>
          <w:i/>
          <w:iCs/>
          <w:color w:val="000000"/>
          <w:sz w:val="24"/>
        </w:rPr>
        <w:t>7</w:t>
      </w:r>
      <w:r w:rsidRPr="005E7115">
        <w:rPr>
          <w:rFonts w:ascii="Calibri" w:hAnsi="Calibri" w:cs="Calibri"/>
          <w:color w:val="000000"/>
          <w:sz w:val="24"/>
        </w:rPr>
        <w:t>(10), 1139. https://doi.org/10.1007/s42452-025-07675-x</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Holttinen, H. (2005). Optimal electricity market for wind power. </w:t>
      </w:r>
      <w:r w:rsidRPr="005E7115">
        <w:rPr>
          <w:rFonts w:ascii="Calibri" w:hAnsi="Calibri" w:cs="Calibri"/>
          <w:i/>
          <w:iCs/>
          <w:color w:val="000000"/>
          <w:sz w:val="24"/>
        </w:rPr>
        <w:t>Energy Policy</w:t>
      </w:r>
      <w:r w:rsidRPr="005E7115">
        <w:rPr>
          <w:rFonts w:ascii="Calibri" w:hAnsi="Calibri" w:cs="Calibri"/>
          <w:color w:val="000000"/>
          <w:sz w:val="24"/>
        </w:rPr>
        <w:t xml:space="preserve">, </w:t>
      </w:r>
      <w:r w:rsidRPr="005E7115">
        <w:rPr>
          <w:rFonts w:ascii="Calibri" w:hAnsi="Calibri" w:cs="Calibri"/>
          <w:i/>
          <w:iCs/>
          <w:color w:val="000000"/>
          <w:sz w:val="24"/>
        </w:rPr>
        <w:t>33</w:t>
      </w:r>
      <w:r w:rsidRPr="005E7115">
        <w:rPr>
          <w:rFonts w:ascii="Calibri" w:hAnsi="Calibri" w:cs="Calibri"/>
          <w:color w:val="000000"/>
          <w:sz w:val="24"/>
        </w:rPr>
        <w:t>(16), 2052–2063. https://doi.org/10.1016/j.enpol.2004.04.001</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Kim, D.-Y., &amp; Kim, B.-S. (2023). Contribution of meteorological factors based on explainable artificial intelligence in predicting wind farm power production using machine learning algorithms. </w:t>
      </w:r>
      <w:r w:rsidRPr="005E7115">
        <w:rPr>
          <w:rFonts w:ascii="Calibri" w:hAnsi="Calibri" w:cs="Calibri"/>
          <w:i/>
          <w:iCs/>
          <w:color w:val="000000"/>
          <w:sz w:val="24"/>
        </w:rPr>
        <w:t>Journal of Renewable and Sustainable Energy</w:t>
      </w:r>
      <w:r w:rsidRPr="005E7115">
        <w:rPr>
          <w:rFonts w:ascii="Calibri" w:hAnsi="Calibri" w:cs="Calibri"/>
          <w:color w:val="000000"/>
          <w:sz w:val="24"/>
        </w:rPr>
        <w:t xml:space="preserve">, </w:t>
      </w:r>
      <w:r w:rsidRPr="005E7115">
        <w:rPr>
          <w:rFonts w:ascii="Calibri" w:hAnsi="Calibri" w:cs="Calibri"/>
          <w:i/>
          <w:iCs/>
          <w:color w:val="000000"/>
          <w:sz w:val="24"/>
        </w:rPr>
        <w:t>15</w:t>
      </w:r>
      <w:r w:rsidRPr="005E7115">
        <w:rPr>
          <w:rFonts w:ascii="Calibri" w:hAnsi="Calibri" w:cs="Calibri"/>
          <w:color w:val="000000"/>
          <w:sz w:val="24"/>
        </w:rPr>
        <w:t>(1), 013307. https://doi.org/10.1063/5.0127519</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Mahoney, W. P., Parks, K., Wiener, G., Liu, Y., Myers, W. L., Sun, J., et al. (2012). A Wind Power Forecasting System to Optimize Grid Integration. </w:t>
      </w:r>
      <w:r w:rsidRPr="005E7115">
        <w:rPr>
          <w:rFonts w:ascii="Calibri" w:hAnsi="Calibri" w:cs="Calibri"/>
          <w:i/>
          <w:iCs/>
          <w:color w:val="000000"/>
          <w:sz w:val="24"/>
        </w:rPr>
        <w:t>IEEE Transactions on Sustainable Energy</w:t>
      </w:r>
      <w:r w:rsidRPr="005E7115">
        <w:rPr>
          <w:rFonts w:ascii="Calibri" w:hAnsi="Calibri" w:cs="Calibri"/>
          <w:color w:val="000000"/>
          <w:sz w:val="24"/>
        </w:rPr>
        <w:t xml:space="preserve">, </w:t>
      </w:r>
      <w:r w:rsidRPr="005E7115">
        <w:rPr>
          <w:rFonts w:ascii="Calibri" w:hAnsi="Calibri" w:cs="Calibri"/>
          <w:i/>
          <w:iCs/>
          <w:color w:val="000000"/>
          <w:sz w:val="24"/>
        </w:rPr>
        <w:t>3</w:t>
      </w:r>
      <w:r w:rsidRPr="005E7115">
        <w:rPr>
          <w:rFonts w:ascii="Calibri" w:hAnsi="Calibri" w:cs="Calibri"/>
          <w:color w:val="000000"/>
          <w:sz w:val="24"/>
        </w:rPr>
        <w:t>(4), 670–682. https://doi.org/10.1109/TSTE.2012.2201758</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Moss, C., Maulik, R., &amp; Iungo, G. V. (2024). Augmenting insights from wind turbine data through data-driven approaches. </w:t>
      </w:r>
      <w:r w:rsidRPr="005E7115">
        <w:rPr>
          <w:rFonts w:ascii="Calibri" w:hAnsi="Calibri" w:cs="Calibri"/>
          <w:i/>
          <w:iCs/>
          <w:color w:val="000000"/>
          <w:sz w:val="24"/>
        </w:rPr>
        <w:t>Applied Energy</w:t>
      </w:r>
      <w:r w:rsidRPr="005E7115">
        <w:rPr>
          <w:rFonts w:ascii="Calibri" w:hAnsi="Calibri" w:cs="Calibri"/>
          <w:color w:val="000000"/>
          <w:sz w:val="24"/>
        </w:rPr>
        <w:t xml:space="preserve">, </w:t>
      </w:r>
      <w:r w:rsidRPr="005E7115">
        <w:rPr>
          <w:rFonts w:ascii="Calibri" w:hAnsi="Calibri" w:cs="Calibri"/>
          <w:i/>
          <w:iCs/>
          <w:color w:val="000000"/>
          <w:sz w:val="24"/>
        </w:rPr>
        <w:t>376</w:t>
      </w:r>
      <w:r w:rsidRPr="005E7115">
        <w:rPr>
          <w:rFonts w:ascii="Calibri" w:hAnsi="Calibri" w:cs="Calibri"/>
          <w:color w:val="000000"/>
          <w:sz w:val="24"/>
        </w:rPr>
        <w:t>, 124116. https://doi.org/10.1016/j.apenergy.2024.124116</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Optis, M., &amp; Perr-Sauer, J. (2019a). The importance of atmospheric turbulence and stability in machine-learning models of wind farm power production. </w:t>
      </w:r>
      <w:r w:rsidRPr="005E7115">
        <w:rPr>
          <w:rFonts w:ascii="Calibri" w:hAnsi="Calibri" w:cs="Calibri"/>
          <w:i/>
          <w:iCs/>
          <w:color w:val="000000"/>
          <w:sz w:val="24"/>
        </w:rPr>
        <w:t>Renewable and Sustainable Energy Reviews</w:t>
      </w:r>
      <w:r w:rsidRPr="005E7115">
        <w:rPr>
          <w:rFonts w:ascii="Calibri" w:hAnsi="Calibri" w:cs="Calibri"/>
          <w:color w:val="000000"/>
          <w:sz w:val="24"/>
        </w:rPr>
        <w:t xml:space="preserve">, </w:t>
      </w:r>
      <w:r w:rsidRPr="005E7115">
        <w:rPr>
          <w:rFonts w:ascii="Calibri" w:hAnsi="Calibri" w:cs="Calibri"/>
          <w:i/>
          <w:iCs/>
          <w:color w:val="000000"/>
          <w:sz w:val="24"/>
        </w:rPr>
        <w:t>112</w:t>
      </w:r>
      <w:r w:rsidRPr="005E7115">
        <w:rPr>
          <w:rFonts w:ascii="Calibri" w:hAnsi="Calibri" w:cs="Calibri"/>
          <w:color w:val="000000"/>
          <w:sz w:val="24"/>
        </w:rPr>
        <w:t>, 27–41. https://doi.org/10.1016/j.rser.2019.05.031</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Optis, M., &amp; Perr-Sauer, J. (2019b). The importance of atmospheric turbulence and stability in machine-learning models of wind farm power production. </w:t>
      </w:r>
      <w:r w:rsidRPr="005E7115">
        <w:rPr>
          <w:rFonts w:ascii="Calibri" w:hAnsi="Calibri" w:cs="Calibri"/>
          <w:i/>
          <w:iCs/>
          <w:color w:val="000000"/>
          <w:sz w:val="24"/>
        </w:rPr>
        <w:lastRenderedPageBreak/>
        <w:t>Renewable and Sustainable Energy Reviews</w:t>
      </w:r>
      <w:r w:rsidRPr="005E7115">
        <w:rPr>
          <w:rFonts w:ascii="Calibri" w:hAnsi="Calibri" w:cs="Calibri"/>
          <w:color w:val="000000"/>
          <w:sz w:val="24"/>
        </w:rPr>
        <w:t xml:space="preserve">, </w:t>
      </w:r>
      <w:r w:rsidRPr="005E7115">
        <w:rPr>
          <w:rFonts w:ascii="Calibri" w:hAnsi="Calibri" w:cs="Calibri"/>
          <w:i/>
          <w:iCs/>
          <w:color w:val="000000"/>
          <w:sz w:val="24"/>
        </w:rPr>
        <w:t>112</w:t>
      </w:r>
      <w:r w:rsidRPr="005E7115">
        <w:rPr>
          <w:rFonts w:ascii="Calibri" w:hAnsi="Calibri" w:cs="Calibri"/>
          <w:color w:val="000000"/>
          <w:sz w:val="24"/>
        </w:rPr>
        <w:t>, 27–41. https://doi.org/10.1016/j.rser.2019.05.031</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Rubanenko, O., Miroshnyk, O., Shevchenko, S., Yanovych, V., Danylchenko, D., &amp; Rubanenko, O. (2020). Distribution of Wind Power Generation Dependently of Meteorological Factors. In </w:t>
      </w:r>
      <w:r w:rsidRPr="005E7115">
        <w:rPr>
          <w:rFonts w:ascii="Calibri" w:hAnsi="Calibri" w:cs="Calibri"/>
          <w:i/>
          <w:iCs/>
          <w:color w:val="000000"/>
          <w:sz w:val="24"/>
        </w:rPr>
        <w:t>2020 IEEE KhPI Week on Advanced Technology (KhPIWeek)</w:t>
      </w:r>
      <w:r w:rsidRPr="005E7115">
        <w:rPr>
          <w:rFonts w:ascii="Calibri" w:hAnsi="Calibri" w:cs="Calibri"/>
          <w:color w:val="000000"/>
          <w:sz w:val="24"/>
        </w:rPr>
        <w:t xml:space="preserve"> (pp. 472–477). Kharkiv, Ukraine: IEEE. https://doi.org/10.1109/KhPIWeek51551.2020.9250114</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Sasser, C., Yu, M., &amp; Delgado, R. (2022). Improvement of wind power prediction from meteorological characterization with machine learning models. </w:t>
      </w:r>
      <w:r w:rsidRPr="005E7115">
        <w:rPr>
          <w:rFonts w:ascii="Calibri" w:hAnsi="Calibri" w:cs="Calibri"/>
          <w:i/>
          <w:iCs/>
          <w:color w:val="000000"/>
          <w:sz w:val="24"/>
        </w:rPr>
        <w:t>Renewable Energy</w:t>
      </w:r>
      <w:r w:rsidRPr="005E7115">
        <w:rPr>
          <w:rFonts w:ascii="Calibri" w:hAnsi="Calibri" w:cs="Calibri"/>
          <w:color w:val="000000"/>
          <w:sz w:val="24"/>
        </w:rPr>
        <w:t xml:space="preserve">, </w:t>
      </w:r>
      <w:r w:rsidRPr="005E7115">
        <w:rPr>
          <w:rFonts w:ascii="Calibri" w:hAnsi="Calibri" w:cs="Calibri"/>
          <w:i/>
          <w:iCs/>
          <w:color w:val="000000"/>
          <w:sz w:val="24"/>
        </w:rPr>
        <w:t>183</w:t>
      </w:r>
      <w:r w:rsidRPr="005E7115">
        <w:rPr>
          <w:rFonts w:ascii="Calibri" w:hAnsi="Calibri" w:cs="Calibri"/>
          <w:color w:val="000000"/>
          <w:sz w:val="24"/>
        </w:rPr>
        <w:t>, 491–501. https://doi.org/10.1016/j.renene.2021.10.034</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Sebastiani, A., Angelou, N., &amp; Peña, A. (2024). Wind turbine power curve modelling under wake conditions using measurements from a spinner-mounted lidar. </w:t>
      </w:r>
      <w:r w:rsidRPr="005E7115">
        <w:rPr>
          <w:rFonts w:ascii="Calibri" w:hAnsi="Calibri" w:cs="Calibri"/>
          <w:i/>
          <w:iCs/>
          <w:color w:val="000000"/>
          <w:sz w:val="24"/>
        </w:rPr>
        <w:t>Applied Energy</w:t>
      </w:r>
      <w:r w:rsidRPr="005E7115">
        <w:rPr>
          <w:rFonts w:ascii="Calibri" w:hAnsi="Calibri" w:cs="Calibri"/>
          <w:color w:val="000000"/>
          <w:sz w:val="24"/>
        </w:rPr>
        <w:t xml:space="preserve">, </w:t>
      </w:r>
      <w:r w:rsidRPr="005E7115">
        <w:rPr>
          <w:rFonts w:ascii="Calibri" w:hAnsi="Calibri" w:cs="Calibri"/>
          <w:i/>
          <w:iCs/>
          <w:color w:val="000000"/>
          <w:sz w:val="24"/>
        </w:rPr>
        <w:t>364</w:t>
      </w:r>
      <w:r w:rsidRPr="005E7115">
        <w:rPr>
          <w:rFonts w:ascii="Calibri" w:hAnsi="Calibri" w:cs="Calibri"/>
          <w:color w:val="000000"/>
          <w:sz w:val="24"/>
        </w:rPr>
        <w:t>, 122985. https://doi.org/10.1016/j.apenergy.2024.122985</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Turbines—Part, W. (2005). 12-1: Power Performance Measurements of Electricity Producing Wind Turbines. </w:t>
      </w:r>
      <w:r w:rsidRPr="005E7115">
        <w:rPr>
          <w:rFonts w:ascii="Calibri" w:hAnsi="Calibri" w:cs="Calibri"/>
          <w:i/>
          <w:iCs/>
          <w:color w:val="000000"/>
          <w:sz w:val="24"/>
        </w:rPr>
        <w:t>British Standard, IEC</w:t>
      </w:r>
      <w:r w:rsidRPr="005E7115">
        <w:rPr>
          <w:rFonts w:ascii="Calibri" w:hAnsi="Calibri" w:cs="Calibri"/>
          <w:color w:val="000000"/>
          <w:sz w:val="24"/>
        </w:rPr>
        <w:t>, 61400–12.</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Verdone, A., Panella, M., De Santis, E., &amp; Rizzi, A. (2025). A review of solar and wind energy forecasting: from single-site to multi-site paradigm. </w:t>
      </w:r>
      <w:r w:rsidRPr="005E7115">
        <w:rPr>
          <w:rFonts w:ascii="Calibri" w:hAnsi="Calibri" w:cs="Calibri"/>
          <w:i/>
          <w:iCs/>
          <w:color w:val="000000"/>
          <w:sz w:val="24"/>
        </w:rPr>
        <w:t>Applied Energy</w:t>
      </w:r>
      <w:r w:rsidRPr="005E7115">
        <w:rPr>
          <w:rFonts w:ascii="Calibri" w:hAnsi="Calibri" w:cs="Calibri"/>
          <w:color w:val="000000"/>
          <w:sz w:val="24"/>
        </w:rPr>
        <w:t xml:space="preserve">, </w:t>
      </w:r>
      <w:r w:rsidRPr="005E7115">
        <w:rPr>
          <w:rFonts w:ascii="Calibri" w:hAnsi="Calibri" w:cs="Calibri"/>
          <w:i/>
          <w:iCs/>
          <w:color w:val="000000"/>
          <w:sz w:val="24"/>
        </w:rPr>
        <w:t>392</w:t>
      </w:r>
      <w:r w:rsidRPr="005E7115">
        <w:rPr>
          <w:rFonts w:ascii="Calibri" w:hAnsi="Calibri" w:cs="Calibri"/>
          <w:color w:val="000000"/>
          <w:sz w:val="24"/>
        </w:rPr>
        <w:t>, 126016. https://doi.org/10.1016/j.apenergy.2025.126016</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Wagner, R., Antoniou, I., Pedersen, S. M., Courtney, M. S., &amp; Jørgensen, H. E. (2009). The influence of the wind speed profile on wind turbine performance measurements. </w:t>
      </w:r>
      <w:r w:rsidRPr="005E7115">
        <w:rPr>
          <w:rFonts w:ascii="Calibri" w:hAnsi="Calibri" w:cs="Calibri"/>
          <w:i/>
          <w:iCs/>
          <w:color w:val="000000"/>
          <w:sz w:val="24"/>
        </w:rPr>
        <w:t>Wind Energy</w:t>
      </w:r>
      <w:r w:rsidRPr="005E7115">
        <w:rPr>
          <w:rFonts w:ascii="Calibri" w:hAnsi="Calibri" w:cs="Calibri"/>
          <w:color w:val="000000"/>
          <w:sz w:val="24"/>
        </w:rPr>
        <w:t xml:space="preserve">, </w:t>
      </w:r>
      <w:r w:rsidRPr="005E7115">
        <w:rPr>
          <w:rFonts w:ascii="Calibri" w:hAnsi="Calibri" w:cs="Calibri"/>
          <w:i/>
          <w:iCs/>
          <w:color w:val="000000"/>
          <w:sz w:val="24"/>
        </w:rPr>
        <w:t>12</w:t>
      </w:r>
      <w:r w:rsidRPr="005E7115">
        <w:rPr>
          <w:rFonts w:ascii="Calibri" w:hAnsi="Calibri" w:cs="Calibri"/>
          <w:color w:val="000000"/>
          <w:sz w:val="24"/>
        </w:rPr>
        <w:t xml:space="preserve">(4), 348–362. </w:t>
      </w:r>
      <w:r w:rsidRPr="005E7115">
        <w:rPr>
          <w:rFonts w:ascii="Calibri" w:hAnsi="Calibri" w:cs="Calibri"/>
          <w:color w:val="000000"/>
          <w:sz w:val="24"/>
        </w:rPr>
        <w:lastRenderedPageBreak/>
        <w:t>https://doi.org/10.1002/we.297</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Wharton, S., &amp; Lundquist, J. K. (2012). Atmospheric stability affects wind turbine power collection. </w:t>
      </w:r>
      <w:r w:rsidRPr="005E7115">
        <w:rPr>
          <w:rFonts w:ascii="Calibri" w:hAnsi="Calibri" w:cs="Calibri"/>
          <w:i/>
          <w:iCs/>
          <w:color w:val="000000"/>
          <w:sz w:val="24"/>
        </w:rPr>
        <w:t>Environmental Research Letters</w:t>
      </w:r>
      <w:r w:rsidRPr="005E7115">
        <w:rPr>
          <w:rFonts w:ascii="Calibri" w:hAnsi="Calibri" w:cs="Calibri"/>
          <w:color w:val="000000"/>
          <w:sz w:val="24"/>
        </w:rPr>
        <w:t xml:space="preserve">, </w:t>
      </w:r>
      <w:r w:rsidRPr="005E7115">
        <w:rPr>
          <w:rFonts w:ascii="Calibri" w:hAnsi="Calibri" w:cs="Calibri"/>
          <w:i/>
          <w:iCs/>
          <w:color w:val="000000"/>
          <w:sz w:val="24"/>
        </w:rPr>
        <w:t>7</w:t>
      </w:r>
      <w:r w:rsidRPr="005E7115">
        <w:rPr>
          <w:rFonts w:ascii="Calibri" w:hAnsi="Calibri" w:cs="Calibri"/>
          <w:color w:val="000000"/>
          <w:sz w:val="24"/>
        </w:rPr>
        <w:t>(1), 014005. https://doi.org/10.1088/1748-9326/7/1/014005</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Ye, L., Zhao, Y., Zeng, C., &amp; Zhang, C. (2017). Short-term wind power prediction based on spatial model. </w:t>
      </w:r>
      <w:r w:rsidRPr="005E7115">
        <w:rPr>
          <w:rFonts w:ascii="Calibri" w:hAnsi="Calibri" w:cs="Calibri"/>
          <w:i/>
          <w:iCs/>
          <w:color w:val="000000"/>
          <w:sz w:val="24"/>
        </w:rPr>
        <w:t>Renewable Energy</w:t>
      </w:r>
      <w:r w:rsidRPr="005E7115">
        <w:rPr>
          <w:rFonts w:ascii="Calibri" w:hAnsi="Calibri" w:cs="Calibri"/>
          <w:color w:val="000000"/>
          <w:sz w:val="24"/>
        </w:rPr>
        <w:t xml:space="preserve">, </w:t>
      </w:r>
      <w:r w:rsidRPr="005E7115">
        <w:rPr>
          <w:rFonts w:ascii="Calibri" w:hAnsi="Calibri" w:cs="Calibri"/>
          <w:i/>
          <w:iCs/>
          <w:color w:val="000000"/>
          <w:sz w:val="24"/>
        </w:rPr>
        <w:t>101</w:t>
      </w:r>
      <w:r w:rsidRPr="005E7115">
        <w:rPr>
          <w:rFonts w:ascii="Calibri" w:hAnsi="Calibri" w:cs="Calibri"/>
          <w:color w:val="000000"/>
          <w:sz w:val="24"/>
        </w:rPr>
        <w:t>, 1067–1074. https://doi.org/10.1016/j.renene.2016.09.069</w:t>
      </w:r>
    </w:p>
    <w:p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Zhang, Z., Lin, L., Gao, S., Wang, J., Zhao, H., &amp; Yu, H. (2025). A machine learning model for hub-height short-term wind speed prediction. </w:t>
      </w:r>
      <w:r w:rsidRPr="005E7115">
        <w:rPr>
          <w:rFonts w:ascii="Calibri" w:hAnsi="Calibri" w:cs="Calibri"/>
          <w:i/>
          <w:iCs/>
          <w:color w:val="000000"/>
          <w:sz w:val="24"/>
        </w:rPr>
        <w:t>Nature Communications</w:t>
      </w:r>
      <w:r w:rsidRPr="005E7115">
        <w:rPr>
          <w:rFonts w:ascii="Calibri" w:hAnsi="Calibri" w:cs="Calibri"/>
          <w:color w:val="000000"/>
          <w:sz w:val="24"/>
        </w:rPr>
        <w:t xml:space="preserve">, </w:t>
      </w:r>
      <w:r w:rsidRPr="005E7115">
        <w:rPr>
          <w:rFonts w:ascii="Calibri" w:hAnsi="Calibri" w:cs="Calibri"/>
          <w:i/>
          <w:iCs/>
          <w:color w:val="000000"/>
          <w:sz w:val="24"/>
        </w:rPr>
        <w:t>16</w:t>
      </w:r>
      <w:r w:rsidRPr="005E7115">
        <w:rPr>
          <w:rFonts w:ascii="Calibri" w:hAnsi="Calibri" w:cs="Calibri"/>
          <w:color w:val="000000"/>
          <w:sz w:val="24"/>
        </w:rPr>
        <w:t>(1), 3195. https://doi.org/10.1038/s41467-025-58456-4</w:t>
      </w:r>
    </w:p>
    <w:p w:rsidR="00EC1864" w:rsidRDefault="00EC1864" w:rsidP="005E7115">
      <w:pPr>
        <w:pStyle w:val="af4"/>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fldChar w:fldCharType="end"/>
      </w:r>
      <w:bookmarkEnd w:id="0"/>
      <w:bookmarkEnd w:id="1"/>
    </w:p>
    <w:sectPr w:rsidR="00EC1864" w:rsidSect="00DF62CA">
      <w:footerReference w:type="even" r:id="rId8"/>
      <w:footerReference w:type="default" r:id="rId9"/>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4E71" w:rsidRDefault="00FC4E71" w:rsidP="007144ED">
      <w:pPr>
        <w:spacing w:after="0" w:line="240" w:lineRule="auto"/>
      </w:pPr>
      <w:r>
        <w:separator/>
      </w:r>
    </w:p>
  </w:endnote>
  <w:endnote w:type="continuationSeparator" w:id="0">
    <w:p w:rsidR="00FC4E71" w:rsidRDefault="00FC4E71" w:rsidP="00714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altName w:val="Sylfaen"/>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579720682"/>
      <w:docPartObj>
        <w:docPartGallery w:val="Page Numbers (Bottom of Page)"/>
        <w:docPartUnique/>
      </w:docPartObj>
    </w:sdtPr>
    <w:sdtContent>
      <w:p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rsidR="007144ED" w:rsidRDefault="007144ED">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687147574"/>
      <w:docPartObj>
        <w:docPartGallery w:val="Page Numbers (Bottom of Page)"/>
        <w:docPartUnique/>
      </w:docPartObj>
    </w:sdtPr>
    <w:sdtContent>
      <w:p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rsidR="007144ED" w:rsidRDefault="007144E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4E71" w:rsidRDefault="00FC4E71" w:rsidP="007144ED">
      <w:pPr>
        <w:spacing w:after="0" w:line="240" w:lineRule="auto"/>
      </w:pPr>
      <w:r>
        <w:separator/>
      </w:r>
    </w:p>
  </w:footnote>
  <w:footnote w:type="continuationSeparator" w:id="0">
    <w:p w:rsidR="00FC4E71" w:rsidRDefault="00FC4E71" w:rsidP="007144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63DFE"/>
    <w:multiLevelType w:val="multilevel"/>
    <w:tmpl w:val="F4D6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1116E"/>
    <w:multiLevelType w:val="multilevel"/>
    <w:tmpl w:val="C38C8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4D385B"/>
    <w:multiLevelType w:val="hybridMultilevel"/>
    <w:tmpl w:val="675252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D3558F2"/>
    <w:multiLevelType w:val="multilevel"/>
    <w:tmpl w:val="142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666055">
    <w:abstractNumId w:val="1"/>
  </w:num>
  <w:num w:numId="2" w16cid:durableId="2104186948">
    <w:abstractNumId w:val="2"/>
  </w:num>
  <w:num w:numId="3" w16cid:durableId="162167136">
    <w:abstractNumId w:val="3"/>
  </w:num>
  <w:num w:numId="4" w16cid:durableId="2114085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64E"/>
    <w:rsid w:val="0000203B"/>
    <w:rsid w:val="00012B7F"/>
    <w:rsid w:val="00013028"/>
    <w:rsid w:val="000138EE"/>
    <w:rsid w:val="0006189D"/>
    <w:rsid w:val="00061B9A"/>
    <w:rsid w:val="000A7979"/>
    <w:rsid w:val="000C2457"/>
    <w:rsid w:val="00141881"/>
    <w:rsid w:val="00161C2C"/>
    <w:rsid w:val="0016658F"/>
    <w:rsid w:val="0018194D"/>
    <w:rsid w:val="001A160B"/>
    <w:rsid w:val="001A5216"/>
    <w:rsid w:val="001A77C3"/>
    <w:rsid w:val="001D4C8D"/>
    <w:rsid w:val="001D61F8"/>
    <w:rsid w:val="002013D5"/>
    <w:rsid w:val="00202400"/>
    <w:rsid w:val="002102C4"/>
    <w:rsid w:val="00211AD7"/>
    <w:rsid w:val="002267EB"/>
    <w:rsid w:val="00267713"/>
    <w:rsid w:val="00280274"/>
    <w:rsid w:val="00296C53"/>
    <w:rsid w:val="002C2073"/>
    <w:rsid w:val="002C443F"/>
    <w:rsid w:val="002D002E"/>
    <w:rsid w:val="002E4720"/>
    <w:rsid w:val="002E7183"/>
    <w:rsid w:val="002F46B3"/>
    <w:rsid w:val="00300A44"/>
    <w:rsid w:val="00311C0F"/>
    <w:rsid w:val="00357447"/>
    <w:rsid w:val="0038664E"/>
    <w:rsid w:val="00391FA4"/>
    <w:rsid w:val="00394449"/>
    <w:rsid w:val="003978C1"/>
    <w:rsid w:val="004005D9"/>
    <w:rsid w:val="00401647"/>
    <w:rsid w:val="00414955"/>
    <w:rsid w:val="00455E8F"/>
    <w:rsid w:val="0047082B"/>
    <w:rsid w:val="004872BD"/>
    <w:rsid w:val="004B1E8D"/>
    <w:rsid w:val="004C2EC3"/>
    <w:rsid w:val="004C727A"/>
    <w:rsid w:val="004D27B3"/>
    <w:rsid w:val="00504287"/>
    <w:rsid w:val="00506216"/>
    <w:rsid w:val="00561CD6"/>
    <w:rsid w:val="005A0788"/>
    <w:rsid w:val="005B5C5D"/>
    <w:rsid w:val="005C27DB"/>
    <w:rsid w:val="005E7115"/>
    <w:rsid w:val="00624575"/>
    <w:rsid w:val="00637236"/>
    <w:rsid w:val="00640A47"/>
    <w:rsid w:val="00661A31"/>
    <w:rsid w:val="00671094"/>
    <w:rsid w:val="006A1F5E"/>
    <w:rsid w:val="006A6089"/>
    <w:rsid w:val="006B273C"/>
    <w:rsid w:val="007144ED"/>
    <w:rsid w:val="00737D09"/>
    <w:rsid w:val="00741D7E"/>
    <w:rsid w:val="007423BF"/>
    <w:rsid w:val="00745A37"/>
    <w:rsid w:val="00746010"/>
    <w:rsid w:val="00747630"/>
    <w:rsid w:val="00751EA8"/>
    <w:rsid w:val="00753F8E"/>
    <w:rsid w:val="007608F0"/>
    <w:rsid w:val="00770DAF"/>
    <w:rsid w:val="0077162F"/>
    <w:rsid w:val="007948C0"/>
    <w:rsid w:val="007A4C39"/>
    <w:rsid w:val="007B5479"/>
    <w:rsid w:val="007D77AD"/>
    <w:rsid w:val="007F610F"/>
    <w:rsid w:val="00804E7B"/>
    <w:rsid w:val="00827936"/>
    <w:rsid w:val="00835E9A"/>
    <w:rsid w:val="00837AA6"/>
    <w:rsid w:val="008408DA"/>
    <w:rsid w:val="00864713"/>
    <w:rsid w:val="008725F4"/>
    <w:rsid w:val="00883857"/>
    <w:rsid w:val="008B1AE0"/>
    <w:rsid w:val="008B53B2"/>
    <w:rsid w:val="008D17BA"/>
    <w:rsid w:val="008D7EB9"/>
    <w:rsid w:val="008F4840"/>
    <w:rsid w:val="00904287"/>
    <w:rsid w:val="00920844"/>
    <w:rsid w:val="00944A8F"/>
    <w:rsid w:val="00956B05"/>
    <w:rsid w:val="00963061"/>
    <w:rsid w:val="009639FC"/>
    <w:rsid w:val="009720F7"/>
    <w:rsid w:val="00976362"/>
    <w:rsid w:val="009A4D96"/>
    <w:rsid w:val="009B05F1"/>
    <w:rsid w:val="009D0D98"/>
    <w:rsid w:val="009E1E35"/>
    <w:rsid w:val="009E2FA0"/>
    <w:rsid w:val="009F3B97"/>
    <w:rsid w:val="00A03F0B"/>
    <w:rsid w:val="00A15D63"/>
    <w:rsid w:val="00A2440F"/>
    <w:rsid w:val="00A27232"/>
    <w:rsid w:val="00A3480A"/>
    <w:rsid w:val="00A44840"/>
    <w:rsid w:val="00A743E1"/>
    <w:rsid w:val="00A83D32"/>
    <w:rsid w:val="00A90D9F"/>
    <w:rsid w:val="00A943FC"/>
    <w:rsid w:val="00AB5DCA"/>
    <w:rsid w:val="00AB6D95"/>
    <w:rsid w:val="00AC5681"/>
    <w:rsid w:val="00AC6665"/>
    <w:rsid w:val="00AD026C"/>
    <w:rsid w:val="00AD1AC0"/>
    <w:rsid w:val="00B256EC"/>
    <w:rsid w:val="00B36F5B"/>
    <w:rsid w:val="00B80E73"/>
    <w:rsid w:val="00B8410F"/>
    <w:rsid w:val="00B85209"/>
    <w:rsid w:val="00B94970"/>
    <w:rsid w:val="00BE403F"/>
    <w:rsid w:val="00C214A3"/>
    <w:rsid w:val="00CD01C7"/>
    <w:rsid w:val="00CF5AF3"/>
    <w:rsid w:val="00D02340"/>
    <w:rsid w:val="00D25A88"/>
    <w:rsid w:val="00D66B96"/>
    <w:rsid w:val="00D8544A"/>
    <w:rsid w:val="00DB0D6C"/>
    <w:rsid w:val="00DD5737"/>
    <w:rsid w:val="00DE1F37"/>
    <w:rsid w:val="00DE59B6"/>
    <w:rsid w:val="00DF62CA"/>
    <w:rsid w:val="00E0450D"/>
    <w:rsid w:val="00E179CE"/>
    <w:rsid w:val="00E30FB8"/>
    <w:rsid w:val="00E4496B"/>
    <w:rsid w:val="00E658F8"/>
    <w:rsid w:val="00EA5ED1"/>
    <w:rsid w:val="00EB7FBA"/>
    <w:rsid w:val="00EC1864"/>
    <w:rsid w:val="00EC6998"/>
    <w:rsid w:val="00EF1991"/>
    <w:rsid w:val="00F122D8"/>
    <w:rsid w:val="00F22794"/>
    <w:rsid w:val="00F24EC8"/>
    <w:rsid w:val="00F425DD"/>
    <w:rsid w:val="00F61B56"/>
    <w:rsid w:val="00F6572B"/>
    <w:rsid w:val="00F80C17"/>
    <w:rsid w:val="00F844AA"/>
    <w:rsid w:val="00FC4CAC"/>
    <w:rsid w:val="00FC4E71"/>
    <w:rsid w:val="00FF41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5880C"/>
  <w15:chartTrackingRefBased/>
  <w15:docId w15:val="{9F8B29D2-CEFF-E144-B6C1-C0231DD1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7115"/>
    <w:pPr>
      <w:widowControl w:val="0"/>
    </w:pPr>
  </w:style>
  <w:style w:type="paragraph" w:styleId="1">
    <w:name w:val="heading 1"/>
    <w:basedOn w:val="a"/>
    <w:next w:val="a"/>
    <w:link w:val="10"/>
    <w:uiPriority w:val="9"/>
    <w:qFormat/>
    <w:rsid w:val="003866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866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866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66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66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66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66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66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66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66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866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866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664E"/>
    <w:rPr>
      <w:rFonts w:cstheme="majorBidi"/>
      <w:color w:val="0F4761" w:themeColor="accent1" w:themeShade="BF"/>
      <w:sz w:val="28"/>
      <w:szCs w:val="28"/>
    </w:rPr>
  </w:style>
  <w:style w:type="character" w:customStyle="1" w:styleId="50">
    <w:name w:val="标题 5 字符"/>
    <w:basedOn w:val="a0"/>
    <w:link w:val="5"/>
    <w:uiPriority w:val="9"/>
    <w:semiHidden/>
    <w:rsid w:val="0038664E"/>
    <w:rPr>
      <w:rFonts w:cstheme="majorBidi"/>
      <w:color w:val="0F4761" w:themeColor="accent1" w:themeShade="BF"/>
      <w:sz w:val="24"/>
    </w:rPr>
  </w:style>
  <w:style w:type="character" w:customStyle="1" w:styleId="60">
    <w:name w:val="标题 6 字符"/>
    <w:basedOn w:val="a0"/>
    <w:link w:val="6"/>
    <w:uiPriority w:val="9"/>
    <w:semiHidden/>
    <w:rsid w:val="0038664E"/>
    <w:rPr>
      <w:rFonts w:cstheme="majorBidi"/>
      <w:b/>
      <w:bCs/>
      <w:color w:val="0F4761" w:themeColor="accent1" w:themeShade="BF"/>
    </w:rPr>
  </w:style>
  <w:style w:type="character" w:customStyle="1" w:styleId="70">
    <w:name w:val="标题 7 字符"/>
    <w:basedOn w:val="a0"/>
    <w:link w:val="7"/>
    <w:uiPriority w:val="9"/>
    <w:semiHidden/>
    <w:rsid w:val="0038664E"/>
    <w:rPr>
      <w:rFonts w:cstheme="majorBidi"/>
      <w:b/>
      <w:bCs/>
      <w:color w:val="595959" w:themeColor="text1" w:themeTint="A6"/>
    </w:rPr>
  </w:style>
  <w:style w:type="character" w:customStyle="1" w:styleId="80">
    <w:name w:val="标题 8 字符"/>
    <w:basedOn w:val="a0"/>
    <w:link w:val="8"/>
    <w:uiPriority w:val="9"/>
    <w:semiHidden/>
    <w:rsid w:val="0038664E"/>
    <w:rPr>
      <w:rFonts w:cstheme="majorBidi"/>
      <w:color w:val="595959" w:themeColor="text1" w:themeTint="A6"/>
    </w:rPr>
  </w:style>
  <w:style w:type="character" w:customStyle="1" w:styleId="90">
    <w:name w:val="标题 9 字符"/>
    <w:basedOn w:val="a0"/>
    <w:link w:val="9"/>
    <w:uiPriority w:val="9"/>
    <w:semiHidden/>
    <w:rsid w:val="0038664E"/>
    <w:rPr>
      <w:rFonts w:eastAsiaTheme="majorEastAsia" w:cstheme="majorBidi"/>
      <w:color w:val="595959" w:themeColor="text1" w:themeTint="A6"/>
    </w:rPr>
  </w:style>
  <w:style w:type="paragraph" w:styleId="a3">
    <w:name w:val="Title"/>
    <w:basedOn w:val="a"/>
    <w:next w:val="a"/>
    <w:link w:val="a4"/>
    <w:uiPriority w:val="10"/>
    <w:qFormat/>
    <w:rsid w:val="003866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66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6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66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664E"/>
    <w:pPr>
      <w:spacing w:before="160"/>
      <w:jc w:val="center"/>
    </w:pPr>
    <w:rPr>
      <w:i/>
      <w:iCs/>
      <w:color w:val="404040" w:themeColor="text1" w:themeTint="BF"/>
    </w:rPr>
  </w:style>
  <w:style w:type="character" w:customStyle="1" w:styleId="a8">
    <w:name w:val="引用 字符"/>
    <w:basedOn w:val="a0"/>
    <w:link w:val="a7"/>
    <w:uiPriority w:val="29"/>
    <w:rsid w:val="0038664E"/>
    <w:rPr>
      <w:i/>
      <w:iCs/>
      <w:color w:val="404040" w:themeColor="text1" w:themeTint="BF"/>
    </w:rPr>
  </w:style>
  <w:style w:type="paragraph" w:styleId="a9">
    <w:name w:val="List Paragraph"/>
    <w:basedOn w:val="a"/>
    <w:uiPriority w:val="34"/>
    <w:qFormat/>
    <w:rsid w:val="0038664E"/>
    <w:pPr>
      <w:ind w:left="720"/>
      <w:contextualSpacing/>
    </w:pPr>
  </w:style>
  <w:style w:type="character" w:styleId="aa">
    <w:name w:val="Intense Emphasis"/>
    <w:basedOn w:val="a0"/>
    <w:uiPriority w:val="21"/>
    <w:qFormat/>
    <w:rsid w:val="0038664E"/>
    <w:rPr>
      <w:i/>
      <w:iCs/>
      <w:color w:val="0F4761" w:themeColor="accent1" w:themeShade="BF"/>
    </w:rPr>
  </w:style>
  <w:style w:type="paragraph" w:styleId="ab">
    <w:name w:val="Intense Quote"/>
    <w:basedOn w:val="a"/>
    <w:next w:val="a"/>
    <w:link w:val="ac"/>
    <w:uiPriority w:val="30"/>
    <w:qFormat/>
    <w:rsid w:val="00386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664E"/>
    <w:rPr>
      <w:i/>
      <w:iCs/>
      <w:color w:val="0F4761" w:themeColor="accent1" w:themeShade="BF"/>
    </w:rPr>
  </w:style>
  <w:style w:type="character" w:styleId="ad">
    <w:name w:val="Intense Reference"/>
    <w:basedOn w:val="a0"/>
    <w:uiPriority w:val="32"/>
    <w:qFormat/>
    <w:rsid w:val="0038664E"/>
    <w:rPr>
      <w:b/>
      <w:bCs/>
      <w:smallCaps/>
      <w:color w:val="0F4761" w:themeColor="accent1" w:themeShade="BF"/>
      <w:spacing w:val="5"/>
    </w:rPr>
  </w:style>
  <w:style w:type="paragraph" w:styleId="ae">
    <w:name w:val="Normal (Web)"/>
    <w:basedOn w:val="a"/>
    <w:uiPriority w:val="99"/>
    <w:semiHidden/>
    <w:unhideWhenUsed/>
    <w:rsid w:val="0038664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38664E"/>
    <w:rPr>
      <w:b/>
      <w:bCs/>
    </w:rPr>
  </w:style>
  <w:style w:type="character" w:customStyle="1" w:styleId="apple-converted-space">
    <w:name w:val="apple-converted-space"/>
    <w:basedOn w:val="a0"/>
    <w:rsid w:val="0038664E"/>
  </w:style>
  <w:style w:type="paragraph" w:styleId="HTML">
    <w:name w:val="HTML Preformatted"/>
    <w:basedOn w:val="a"/>
    <w:link w:val="HTML0"/>
    <w:uiPriority w:val="99"/>
    <w:semiHidden/>
    <w:unhideWhenUsed/>
    <w:rsid w:val="003866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38664E"/>
    <w:rPr>
      <w:rFonts w:ascii="宋体" w:eastAsia="宋体" w:hAnsi="宋体" w:cs="宋体"/>
      <w:kern w:val="0"/>
      <w:sz w:val="24"/>
      <w14:ligatures w14:val="none"/>
    </w:rPr>
  </w:style>
  <w:style w:type="character" w:styleId="HTML1">
    <w:name w:val="HTML Code"/>
    <w:basedOn w:val="a0"/>
    <w:uiPriority w:val="99"/>
    <w:semiHidden/>
    <w:unhideWhenUsed/>
    <w:rsid w:val="0038664E"/>
    <w:rPr>
      <w:rFonts w:ascii="宋体" w:eastAsia="宋体" w:hAnsi="宋体" w:cs="宋体"/>
      <w:sz w:val="24"/>
      <w:szCs w:val="24"/>
    </w:rPr>
  </w:style>
  <w:style w:type="paragraph" w:customStyle="1" w:styleId="p1">
    <w:name w:val="p1"/>
    <w:basedOn w:val="a"/>
    <w:rsid w:val="001D4C8D"/>
    <w:pPr>
      <w:widowControl/>
      <w:spacing w:after="0" w:line="240" w:lineRule="auto"/>
    </w:pPr>
    <w:rPr>
      <w:rFonts w:ascii="Times" w:eastAsia="宋体" w:hAnsi="Times" w:cs="Times"/>
      <w:color w:val="141413"/>
      <w:kern w:val="0"/>
      <w:sz w:val="15"/>
      <w:szCs w:val="15"/>
      <w14:ligatures w14:val="none"/>
    </w:rPr>
  </w:style>
  <w:style w:type="character" w:customStyle="1" w:styleId="s1">
    <w:name w:val="s1"/>
    <w:basedOn w:val="a0"/>
    <w:rsid w:val="001D4C8D"/>
    <w:rPr>
      <w:rFonts w:ascii="Times" w:hAnsi="Times" w:cs="Times" w:hint="default"/>
      <w:sz w:val="9"/>
      <w:szCs w:val="9"/>
    </w:rPr>
  </w:style>
  <w:style w:type="paragraph" w:customStyle="1" w:styleId="whitespace-normal">
    <w:name w:val="whitespace-normal"/>
    <w:basedOn w:val="a"/>
    <w:rsid w:val="009E2FA0"/>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line number"/>
    <w:basedOn w:val="a0"/>
    <w:uiPriority w:val="99"/>
    <w:semiHidden/>
    <w:unhideWhenUsed/>
    <w:rsid w:val="00DF62CA"/>
  </w:style>
  <w:style w:type="paragraph" w:customStyle="1" w:styleId="font-claude-response-body">
    <w:name w:val="font-claude-response-body"/>
    <w:basedOn w:val="a"/>
    <w:rsid w:val="00311C0F"/>
    <w:pPr>
      <w:widowControl/>
      <w:spacing w:before="100" w:beforeAutospacing="1" w:after="100" w:afterAutospacing="1" w:line="240" w:lineRule="auto"/>
    </w:pPr>
    <w:rPr>
      <w:rFonts w:ascii="宋体" w:eastAsia="宋体" w:hAnsi="宋体" w:cs="宋体"/>
      <w:kern w:val="0"/>
      <w:sz w:val="24"/>
      <w14:ligatures w14:val="none"/>
    </w:rPr>
  </w:style>
  <w:style w:type="paragraph" w:styleId="af1">
    <w:name w:val="footer"/>
    <w:basedOn w:val="a"/>
    <w:link w:val="af2"/>
    <w:uiPriority w:val="99"/>
    <w:unhideWhenUsed/>
    <w:rsid w:val="007144ED"/>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7144ED"/>
    <w:rPr>
      <w:sz w:val="18"/>
      <w:szCs w:val="18"/>
    </w:rPr>
  </w:style>
  <w:style w:type="character" w:styleId="af3">
    <w:name w:val="page number"/>
    <w:basedOn w:val="a0"/>
    <w:uiPriority w:val="99"/>
    <w:semiHidden/>
    <w:unhideWhenUsed/>
    <w:rsid w:val="007144ED"/>
  </w:style>
  <w:style w:type="paragraph" w:styleId="af4">
    <w:name w:val="Bibliography"/>
    <w:basedOn w:val="a"/>
    <w:next w:val="a"/>
    <w:uiPriority w:val="37"/>
    <w:unhideWhenUsed/>
    <w:rsid w:val="00EC1864"/>
    <w:pPr>
      <w:tabs>
        <w:tab w:val="left" w:pos="380"/>
      </w:tabs>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EE999-09C4-1046-9B70-148730759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8</Pages>
  <Words>9528</Words>
  <Characters>54316</Characters>
  <Application>Microsoft Office Word</Application>
  <DocSecurity>0</DocSecurity>
  <Lines>452</Lines>
  <Paragraphs>127</Paragraphs>
  <ScaleCrop>false</ScaleCrop>
  <Company/>
  <LinksUpToDate>false</LinksUpToDate>
  <CharactersWithSpaces>63717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116</cp:revision>
  <dcterms:created xsi:type="dcterms:W3CDTF">2025-11-22T17:28:00Z</dcterms:created>
  <dcterms:modified xsi:type="dcterms:W3CDTF">2025-11-30T10:23:00Z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id="ppaPuWfw"/&gt;&lt;style id="http://www.zotero.org/styles/american-geophysical-union" hasBibliography="1" bibliographyStyleHasBeenSet="1"/&gt;&lt;prefs&gt;&lt;pref name="fieldType" value="Field"/&gt;&lt;/prefs&gt;&lt;/data&gt;</vt:lpwstr>
  </property>
</Properties>
</file>