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20A68F29" w:rsidR="00391FA4" w:rsidRPr="00391FA4" w:rsidRDefault="00DB748A"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5"/>
      <w:bookmarkStart w:id="1" w:name="OLE_LINK4"/>
      <w:r w:rsidRPr="00DB748A">
        <w:rPr>
          <w:rFonts w:ascii="Calibri" w:eastAsia="宋体" w:hAnsi="Calibri" w:cs="Calibri"/>
          <w:color w:val="000000"/>
          <w:kern w:val="0"/>
          <w:sz w:val="28"/>
          <w:szCs w:val="28"/>
          <w14:ligatures w14:val="none"/>
        </w:rPr>
        <w:t>Multi-Height and Flow-Regime-Dependent Inputs for Day-Ahead Wind Farm Power Forecasting</w:t>
      </w:r>
    </w:p>
    <w:p w14:paraId="5B071989" w14:textId="156DABCA" w:rsidR="00394449" w:rsidRDefault="001A3EEA"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R</w:t>
      </w:r>
      <w:r w:rsidR="00837D1F">
        <w:rPr>
          <w:rFonts w:ascii="Calibri" w:eastAsia="宋体" w:hAnsi="Calibri" w:cs="Calibri" w:hint="eastAsia"/>
          <w:color w:val="000000"/>
          <w:kern w:val="0"/>
          <w:sz w:val="24"/>
          <w14:ligatures w14:val="none"/>
        </w:rPr>
        <w:t>e</w:t>
      </w:r>
      <w:r w:rsidR="00837D1F">
        <w:rPr>
          <w:rFonts w:ascii="Calibri" w:eastAsia="宋体" w:hAnsi="Calibri" w:cs="Calibri"/>
          <w:color w:val="000000"/>
          <w:kern w:val="0"/>
          <w:sz w:val="24"/>
          <w14:ligatures w14:val="none"/>
        </w:rPr>
        <w:t>cent 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{"citationID":"duzA2wVf","properties":{"formattedCitation":"(Optis &amp; Perr-Sauer, 2019a)","plainCitation":"(Optis &amp; Perr-Sauer, 2019a)","noteIndex":0},"citationItems":[{"id":1629,"uris":["http://zotero.org/users/14274501/items/H7R5M7ZN"],"itemData":{"id":1629,"type":"article-journal","abstract":"Machine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(Optis &amp; Perr-Sauer, 2019a)</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2"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placed disproportionate emphasis on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837D1F">
        <w:rPr>
          <w:rFonts w:ascii="Calibri" w:eastAsia="宋体" w:hAnsi="Calibri" w:cs="Calibri"/>
          <w:color w:val="000000"/>
          <w:kern w:val="0"/>
          <w:sz w:val="24"/>
          <w14:ligatures w14:val="none"/>
        </w:rPr>
        <w:t xml:space="preserve"> </w:t>
      </w:r>
      <w:r w:rsidR="00837D1F" w:rsidRPr="00837D1F">
        <w:rPr>
          <w:rFonts w:ascii="Calibri" w:eastAsia="宋体" w:hAnsi="Calibri" w:cs="Calibri"/>
          <w:color w:val="000000"/>
          <w:kern w:val="0"/>
          <w:sz w:val="24"/>
          <w14:ligatures w14:val="none"/>
        </w:rPr>
        <w:t>in model-driven studies</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2"/>
    </w:p>
    <w:p w14:paraId="172F2C37" w14:textId="2B7DE161" w:rsidR="00710F66" w:rsidRDefault="005F024E" w:rsidP="00644F6A">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performance can be characterized by a single </w:t>
      </w:r>
      <w:r w:rsidR="00B16E71">
        <w:rPr>
          <w:rFonts w:ascii="Calibri" w:eastAsia="宋体" w:hAnsi="Calibri" w:cs="Calibri"/>
          <w:color w:val="000000"/>
          <w:kern w:val="0"/>
          <w:sz w:val="24"/>
          <w14:ligatures w14:val="none"/>
        </w:rPr>
        <w:t>hub</w:t>
      </w:r>
      <w:r w:rsidR="00F425DD" w:rsidRPr="00F425DD">
        <w:rPr>
          <w:rFonts w:ascii="Calibri" w:eastAsia="宋体" w:hAnsi="Calibri" w:cs="Calibri"/>
          <w:color w:val="000000"/>
          <w:kern w:val="0"/>
          <w:sz w:val="24"/>
          <w14:ligatures w14:val="none"/>
        </w:rPr>
        <w:t xml:space="preserve"> height</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power forecasting based on only the hub-height speed could be not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(Chen &amp; Xu, 2022)</w:t>
      </w:r>
      <w:r w:rsidR="00B16E71">
        <w:rPr>
          <w:rFonts w:ascii="Calibri" w:eastAsia="宋体" w:hAnsi="Calibri" w:cs="Calibri"/>
          <w:color w:val="000000"/>
          <w:kern w:val="0"/>
          <w:sz w:val="24"/>
          <w14:ligatures w14:val="none"/>
        </w:rPr>
        <w:fldChar w:fldCharType="end"/>
      </w:r>
      <w:r w:rsidR="00207993">
        <w:rPr>
          <w:rFonts w:ascii="Calibri" w:eastAsia="宋体" w:hAnsi="Calibri" w:cs="Calibri" w:hint="eastAsia"/>
          <w:color w:val="000000"/>
          <w:kern w:val="0"/>
          <w:sz w:val="24"/>
          <w14:ligatures w14:val="none"/>
        </w:rPr>
        <w:t xml:space="preserve">. </w:t>
      </w:r>
      <w:r w:rsidR="006A1ECD" w:rsidRPr="004B1E8D">
        <w:rPr>
          <w:rFonts w:ascii="Calibri" w:eastAsia="宋体" w:hAnsi="Calibri" w:cs="Calibri"/>
          <w:color w:val="000000"/>
          <w:kern w:val="0"/>
          <w:sz w:val="24"/>
          <w14:ligatures w14:val="none"/>
        </w:rPr>
        <w:t>Similar behavior appears in other wind farm observations</w:t>
      </w:r>
      <w:r w:rsidR="006A1ECD" w:rsidRPr="00BE403F">
        <w:rPr>
          <w:rFonts w:ascii="Calibri" w:eastAsia="宋体" w:hAnsi="Calibri" w:cs="Calibri"/>
          <w:color w:val="000000"/>
          <w:kern w:val="0"/>
          <w:sz w:val="24"/>
          <w14:ligatures w14:val="none"/>
        </w:rPr>
        <w:t xml:space="preserve"> </w:t>
      </w:r>
      <w:r w:rsidR="006A1ECD">
        <w:rPr>
          <w:rFonts w:ascii="Calibri" w:eastAsia="宋体" w:hAnsi="Calibri" w:cs="Calibri"/>
          <w:color w:val="000000"/>
          <w:kern w:val="0"/>
          <w:sz w:val="24"/>
          <w14:ligatures w14:val="none"/>
        </w:rPr>
        <w:fldChar w:fldCharType="begin"/>
      </w:r>
      <w:r w:rsidR="006A1ECD">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6A1ECD">
        <w:rPr>
          <w:rFonts w:ascii="Calibri" w:eastAsia="宋体" w:hAnsi="Calibri" w:cs="Calibri"/>
          <w:color w:val="000000"/>
          <w:kern w:val="0"/>
          <w:sz w:val="24"/>
          <w14:ligatures w14:val="none"/>
        </w:rPr>
        <w:fldChar w:fldCharType="separate"/>
      </w:r>
      <w:r w:rsidR="006A1ECD">
        <w:rPr>
          <w:rFonts w:ascii="Calibri" w:eastAsia="宋体" w:hAnsi="Calibri" w:cs="Calibri"/>
          <w:noProof/>
          <w:color w:val="000000"/>
          <w:kern w:val="0"/>
          <w:sz w:val="24"/>
          <w14:ligatures w14:val="none"/>
        </w:rPr>
        <w:t>(Rubanenko et al., 2020; Chen &amp; Xu, 2022)</w:t>
      </w:r>
      <w:r w:rsidR="006A1ECD">
        <w:rPr>
          <w:rFonts w:ascii="Calibri" w:eastAsia="宋体" w:hAnsi="Calibri" w:cs="Calibri"/>
          <w:color w:val="000000"/>
          <w:kern w:val="0"/>
          <w:sz w:val="24"/>
          <w14:ligatures w14:val="none"/>
        </w:rPr>
        <w:fldChar w:fldCharType="end"/>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w:t>
      </w:r>
      <w:r w:rsidR="001B2DB1" w:rsidRPr="00F425DD">
        <w:rPr>
          <w:rFonts w:ascii="Calibri" w:eastAsia="宋体" w:hAnsi="Calibri" w:cs="Calibri"/>
          <w:color w:val="000000"/>
          <w:kern w:val="0"/>
          <w:sz w:val="24"/>
          <w14:ligatures w14:val="none"/>
        </w:rPr>
        <w:lastRenderedPageBreak/>
        <w:t>mechanistic 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 at </w:t>
      </w:r>
      <w:r w:rsidR="001B2DB1" w:rsidRPr="00F425DD">
        <w:rPr>
          <w:rFonts w:ascii="Calibri" w:eastAsia="宋体" w:hAnsi="Calibri" w:cs="Calibri"/>
          <w:color w:val="000000"/>
          <w:kern w:val="0"/>
          <w:sz w:val="24"/>
          <w14:ligatures w14:val="none"/>
        </w:rPr>
        <w:t>different heights capture the atmospheric forcing relevant to farm power.</w:t>
      </w:r>
    </w:p>
    <w:p w14:paraId="49934F00" w14:textId="3695D291" w:rsidR="007271F2"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3"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Early single-turbine studies demonstrated that the rotor-equivalent wind speed (REWS)—the swept-area–integrated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3"/>
      <w:r w:rsidR="00872C24" w:rsidRPr="00872C24">
        <w:rPr>
          <w:rFonts w:ascii="Calibri" w:eastAsia="宋体" w:hAnsi="Calibri" w:cs="Calibri"/>
          <w:color w:val="000000"/>
          <w:kern w:val="0"/>
          <w:sz w:val="24"/>
          <w14:ligatures w14:val="none"/>
        </w:rPr>
        <w:t>These findings suggest that turbine performance depends on swept-area related wind profile structure, stability, and turbulence, not merely on the wind speed at a single fixed height such as hub height.</w:t>
      </w:r>
    </w:p>
    <w:p w14:paraId="6CEF1ADB" w14:textId="4E28D41F" w:rsidR="00BE403F" w:rsidRDefault="00191F33"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91F33">
        <w:rPr>
          <w:rFonts w:ascii="Calibri" w:eastAsia="宋体" w:hAnsi="Calibri" w:cs="Calibri"/>
          <w:color w:val="000000"/>
          <w:kern w:val="0"/>
          <w:sz w:val="24"/>
          <w14:ligatures w14:val="none"/>
        </w:rPr>
        <w:t xml:space="preserve">Extending these insights to operational wind farms introduces observational complexity as field measurements inevitably mix </w:t>
      </w:r>
      <w:r w:rsidR="00E02581">
        <w:rPr>
          <w:rFonts w:ascii="Calibri" w:eastAsia="宋体" w:hAnsi="Calibri" w:cs="Calibri"/>
          <w:color w:val="000000"/>
          <w:kern w:val="0"/>
          <w:sz w:val="24"/>
          <w14:ligatures w14:val="none"/>
        </w:rPr>
        <w:t>free-stream</w:t>
      </w:r>
      <w:r w:rsidRPr="00191F33">
        <w:rPr>
          <w:rFonts w:ascii="Calibri" w:eastAsia="宋体" w:hAnsi="Calibri" w:cs="Calibri"/>
          <w:color w:val="000000"/>
          <w:kern w:val="0"/>
          <w:sz w:val="24"/>
          <w14:ligatures w14:val="none"/>
        </w:rPr>
        <w:t xml:space="preserve"> and </w:t>
      </w:r>
      <w:r w:rsidR="008A0A30" w:rsidRPr="008A0A30">
        <w:rPr>
          <w:rFonts w:ascii="Calibri" w:eastAsia="宋体" w:hAnsi="Calibri" w:cs="Calibri"/>
          <w:color w:val="000000"/>
          <w:kern w:val="0"/>
          <w:sz w:val="24"/>
          <w14:ligatures w14:val="none"/>
        </w:rPr>
        <w:t>wake-flow</w:t>
      </w:r>
      <w:r w:rsidRPr="00191F33">
        <w:rPr>
          <w:rFonts w:ascii="Calibri" w:eastAsia="宋体" w:hAnsi="Calibri" w:cs="Calibri"/>
          <w:color w:val="000000"/>
          <w:kern w:val="0"/>
          <w:sz w:val="24"/>
          <w14:ligatures w14:val="none"/>
        </w:rPr>
        <w:t xml:space="preserve"> conditions.</w:t>
      </w:r>
      <w:r w:rsidR="00BE403F" w:rsidRPr="00BE403F">
        <w:rPr>
          <w:rFonts w:ascii="Calibri" w:eastAsia="宋体" w:hAnsi="Calibri" w:cs="Calibri"/>
          <w:color w:val="000000"/>
          <w:kern w:val="0"/>
          <w:sz w:val="24"/>
          <w14:ligatures w14:val="none"/>
        </w:rPr>
        <w:t xml:space="preserve"> Cutler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02340">
        <w:rPr>
          <w:rFonts w:ascii="Calibri" w:eastAsia="宋体" w:hAnsi="Calibri" w:cs="Calibri" w:hint="eastAsia"/>
          <w:color w:val="000000"/>
          <w:kern w:val="0"/>
          <w:sz w:val="24"/>
          <w14:ligatures w14:val="none"/>
        </w:rPr>
        <w:instrText>,"source":"DOI.org (Crossref)","title":"Using nacelle</w:instrText>
      </w:r>
      <w:r w:rsidR="00D02340">
        <w:rPr>
          <w:rFonts w:ascii="Calibri" w:eastAsia="宋体" w:hAnsi="Calibri" w:cs="Calibri" w:hint="eastAsia"/>
          <w:color w:val="000000"/>
          <w:kern w:val="0"/>
          <w:sz w:val="24"/>
          <w14:ligatures w14:val="none"/>
        </w:rPr>
        <w:instrText>‐</w:instrText>
      </w:r>
      <w:r w:rsidR="00D02340">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02340">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(2012)</w:t>
      </w:r>
      <w:r w:rsidR="00D02340">
        <w:rPr>
          <w:rFonts w:ascii="Calibri" w:eastAsia="宋体" w:hAnsi="Calibri" w:cs="Calibri"/>
          <w:color w:val="000000"/>
          <w:kern w:val="0"/>
          <w:sz w:val="24"/>
          <w14:ligatures w14:val="none"/>
        </w:rPr>
        <w:fldChar w:fldCharType="end"/>
      </w:r>
      <w:r w:rsidR="00BE403F" w:rsidRPr="00BE403F">
        <w:rPr>
          <w:rFonts w:ascii="Calibri" w:eastAsia="宋体" w:hAnsi="Calibri" w:cs="Calibri"/>
          <w:color w:val="000000"/>
          <w:kern w:val="0"/>
          <w:sz w:val="24"/>
          <w14:ligatures w14:val="none"/>
        </w:rPr>
        <w:t xml:space="preserve"> found nacelle-level averaged winds more representative of farm-wide power than tower-based hub-height observations. Sasser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{"citationID":"8kSOKiGS","properties":{"formattedCitation":"(2022)","plainCitation":"(2022)","noteIndex":0},"citationItems":[{"id":1650,"uris":["http://zotero.org/users/14274501/items/45YLP2JC"],"itemData":{"id":1650,"type":"article-journal","abstract":"To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le classi</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ed vertical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(2022)</w:t>
      </w:r>
      <w:r w:rsidR="00D02340">
        <w:rPr>
          <w:rFonts w:ascii="Calibri" w:eastAsia="宋体" w:hAnsi="Calibri" w:cs="Calibri"/>
          <w:color w:val="000000"/>
          <w:kern w:val="0"/>
          <w:sz w:val="24"/>
          <w14:ligatures w14:val="none"/>
        </w:rPr>
        <w:fldChar w:fldCharType="end"/>
      </w:r>
      <w:r w:rsidR="00D02340">
        <w:rPr>
          <w:rFonts w:ascii="Calibri" w:eastAsia="宋体" w:hAnsi="Calibri" w:cs="Calibri" w:hint="eastAsia"/>
          <w:color w:val="000000"/>
          <w:kern w:val="0"/>
          <w:sz w:val="24"/>
          <w14:ligatures w14:val="none"/>
        </w:rPr>
        <w:t xml:space="preserve"> </w:t>
      </w:r>
      <w:r w:rsidR="00BE403F" w:rsidRPr="00BE403F">
        <w:rPr>
          <w:rFonts w:ascii="Calibri" w:eastAsia="宋体" w:hAnsi="Calibri" w:cs="Calibri"/>
          <w:color w:val="000000"/>
          <w:kern w:val="0"/>
          <w:sz w:val="24"/>
          <w14:ligatures w14:val="none"/>
        </w:rPr>
        <w:t>confirmed the advantages of REWS combined with lapse-rate information. Recent explainable</w:t>
      </w:r>
      <w:r w:rsidR="00E7736F">
        <w:rPr>
          <w:rFonts w:ascii="Calibri" w:eastAsia="宋体" w:hAnsi="Calibri" w:cs="Calibri" w:hint="eastAsia"/>
          <w:color w:val="000000"/>
          <w:kern w:val="0"/>
          <w:sz w:val="24"/>
          <w14:ligatures w14:val="none"/>
        </w:rPr>
        <w:t xml:space="preserve"> AI</w:t>
      </w:r>
      <w:r w:rsidR="00BE403F" w:rsidRPr="00BE403F">
        <w:rPr>
          <w:rFonts w:ascii="Calibri" w:eastAsia="宋体" w:hAnsi="Calibri" w:cs="Calibri"/>
          <w:color w:val="000000"/>
          <w:kern w:val="0"/>
          <w:sz w:val="24"/>
          <w14:ligatures w14:val="none"/>
        </w:rPr>
        <w:t xml:space="preserve"> studies consistently ranked turbulent variables </w:t>
      </w:r>
      <w:r w:rsidR="00217F0B" w:rsidRPr="00217F0B">
        <w:rPr>
          <w:rFonts w:ascii="Calibri" w:eastAsia="宋体" w:hAnsi="Calibri" w:cs="Calibri"/>
          <w:color w:val="000000"/>
          <w:kern w:val="0"/>
          <w:sz w:val="24"/>
          <w14:ligatures w14:val="none"/>
        </w:rPr>
        <w:t>(turbulent kinetic energy and turbulence intensity)</w:t>
      </w:r>
      <w:r w:rsidR="00BE403F" w:rsidRPr="00BE403F">
        <w:rPr>
          <w:rFonts w:ascii="Calibri" w:eastAsia="宋体" w:hAnsi="Calibri" w:cs="Calibri"/>
          <w:color w:val="000000"/>
          <w:kern w:val="0"/>
          <w:sz w:val="24"/>
          <w14:ligatures w14:val="none"/>
        </w:rPr>
        <w:t xml:space="preserve"> directly behind wind speed in predictive importance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{"citationID":"qIpYgpCO","properties":{"unsorted":true,"formattedCitation":"(Optis &amp; Perr-Sauer, 2019b; Kim &amp; Kim, 2023)","plainCitation":"(Optis &amp; Perr-Sauer, 2019b; Kim &amp; Kim, 2023)","noteIndex":0},"citationItems":[{"id":1654,"uris":["http://zotero.org/users/14274501/items/J4LQQ73I"],"itemData":{"id":1654,"type":"article-journal","abstract":"Machine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(Optis &amp; Perr-Sauer, 2019b; Kim &amp; Kim, 2023)</w:t>
      </w:r>
      <w:r w:rsidR="00D02340">
        <w:rPr>
          <w:rFonts w:ascii="Calibri" w:eastAsia="宋体" w:hAnsi="Calibri" w:cs="Calibri"/>
          <w:color w:val="000000"/>
          <w:kern w:val="0"/>
          <w:sz w:val="24"/>
          <w14:ligatures w14:val="none"/>
        </w:rPr>
        <w:fldChar w:fldCharType="end"/>
      </w:r>
      <w:r w:rsidR="00BE403F" w:rsidRPr="00BE403F">
        <w:rPr>
          <w:rFonts w:ascii="Calibri" w:eastAsia="宋体" w:hAnsi="Calibri" w:cs="Calibri"/>
          <w:color w:val="000000"/>
          <w:kern w:val="0"/>
          <w:sz w:val="24"/>
          <w14:ligatures w14:val="none"/>
        </w:rPr>
        <w:t xml:space="preserve">. </w:t>
      </w:r>
      <w:r w:rsidR="0090450E" w:rsidRPr="0090450E">
        <w:rPr>
          <w:rFonts w:ascii="Calibri" w:eastAsia="宋体" w:hAnsi="Calibri" w:cs="Calibri"/>
          <w:color w:val="000000"/>
          <w:kern w:val="0"/>
          <w:sz w:val="24"/>
          <w14:ligatures w14:val="none"/>
        </w:rPr>
        <w:t xml:space="preserve">However, the extent of wake contamination in these observations remains unquantified, making it difficult to disentangle </w:t>
      </w:r>
      <w:r w:rsidR="00E02581">
        <w:rPr>
          <w:rFonts w:ascii="Calibri" w:eastAsia="宋体" w:hAnsi="Calibri" w:cs="Calibri"/>
          <w:color w:val="000000"/>
          <w:kern w:val="0"/>
          <w:sz w:val="24"/>
          <w14:ligatures w14:val="none"/>
        </w:rPr>
        <w:t>free-stream</w:t>
      </w:r>
      <w:r w:rsidR="0090450E" w:rsidRPr="0090450E">
        <w:rPr>
          <w:rFonts w:ascii="Calibri" w:eastAsia="宋体" w:hAnsi="Calibri" w:cs="Calibri"/>
          <w:color w:val="000000"/>
          <w:kern w:val="0"/>
          <w:sz w:val="24"/>
          <w14:ligatures w14:val="none"/>
        </w:rPr>
        <w:t xml:space="preserve"> dynamics from wake-influenced responses.</w:t>
      </w:r>
    </w:p>
    <w:p w14:paraId="2BE6420A" w14:textId="2AF05912" w:rsidR="00BE403F"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4" w:name="_Hlk215350692"/>
      <w:r w:rsidRPr="00BE403F">
        <w:rPr>
          <w:rFonts w:ascii="Calibri" w:eastAsia="宋体" w:hAnsi="Calibri" w:cs="Calibri"/>
          <w:color w:val="000000"/>
          <w:kern w:val="0"/>
          <w:sz w:val="24"/>
          <w14:ligatures w14:val="none"/>
        </w:rPr>
        <w:t xml:space="preserve">Recent studies show that using multi-height wind measurements improves power estimation compared with hub-height or REWS-based approaches </w:t>
      </w:r>
      <w:r>
        <w:rPr>
          <w:rFonts w:ascii="Calibri" w:eastAsia="宋体" w:hAnsi="Calibri" w:cs="Calibri"/>
          <w:color w:val="000000"/>
          <w:kern w:val="0"/>
          <w:sz w:val="24"/>
          <w14:ligatures w14:val="none"/>
        </w:rPr>
        <w:fldChar w:fldCharType="begin"/>
      </w:r>
      <w:r w:rsidR="00E179CE">
        <w:rPr>
          <w:rFonts w:ascii="Calibri" w:eastAsia="宋体" w:hAnsi="Calibri" w:cs="Calibri"/>
          <w:color w:val="000000"/>
          <w:kern w:val="0"/>
          <w:sz w:val="24"/>
          <w14:ligatures w14:val="none"/>
        </w:rPr>
        <w:instrText xml:space="preserve"> ADDIN ZOTERO_ITEM CSL_CITATION {"citationID":"emCa1uT6","properties":{"formattedCitation":"(Sasser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le classi</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ed vertical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sidR="00E179CE">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w:t>
      </w:r>
      <w:r w:rsidR="00737D09" w:rsidRPr="00737D09">
        <w:rPr>
          <w:rFonts w:ascii="Calibri" w:eastAsia="宋体" w:hAnsi="Calibri" w:cs="Calibri"/>
          <w:color w:val="000000"/>
          <w:kern w:val="0"/>
          <w:sz w:val="24"/>
          <w14:ligatures w14:val="none"/>
        </w:rPr>
        <w:t xml:space="preserve">These works </w:t>
      </w:r>
      <w:r w:rsidR="00894ABC">
        <w:rPr>
          <w:rFonts w:ascii="Calibri" w:eastAsia="宋体" w:hAnsi="Calibri" w:cs="Calibri" w:hint="eastAsia"/>
          <w:color w:val="000000"/>
          <w:kern w:val="0"/>
          <w:sz w:val="24"/>
          <w14:ligatures w14:val="none"/>
        </w:rPr>
        <w:t>highlight</w:t>
      </w:r>
      <w:r w:rsidR="00737D09" w:rsidRPr="00737D09">
        <w:rPr>
          <w:rFonts w:ascii="Calibri" w:eastAsia="宋体" w:hAnsi="Calibri" w:cs="Calibri"/>
          <w:color w:val="000000"/>
          <w:kern w:val="0"/>
          <w:sz w:val="24"/>
          <w14:ligatures w14:val="none"/>
        </w:rPr>
        <w:t xml:space="preserve"> the benefit of multi-height inputs but do not explain why such improvement occurs or which subset of heights is most effective under different flow regimes, underscoring the need for a mechanistic understanding of wind profile effects.</w:t>
      </w:r>
    </w:p>
    <w:bookmarkEnd w:id="4"/>
    <w:p w14:paraId="3B80447D" w14:textId="0DC1C129" w:rsidR="00AC6665"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BE403F">
        <w:rPr>
          <w:rFonts w:ascii="Calibri" w:eastAsia="宋体" w:hAnsi="Calibri" w:cs="Calibri"/>
          <w:color w:val="000000"/>
          <w:kern w:val="0"/>
          <w:sz w:val="24"/>
          <w14:ligatures w14:val="none"/>
        </w:rPr>
        <w:lastRenderedPageBreak/>
        <w:t xml:space="preserve">Wake-induced flow alteration is fundamental in real wind farms. Seminal measurements by </w:t>
      </w:r>
      <w:proofErr w:type="spellStart"/>
      <w:r w:rsidRPr="00BE403F">
        <w:rPr>
          <w:rFonts w:ascii="Calibri" w:eastAsia="宋体" w:hAnsi="Calibri" w:cs="Calibri"/>
          <w:color w:val="000000"/>
          <w:kern w:val="0"/>
          <w:sz w:val="24"/>
          <w14:ligatures w14:val="none"/>
        </w:rPr>
        <w:t>Barthelmie</w:t>
      </w:r>
      <w:proofErr w:type="spellEnd"/>
      <w:r w:rsidRPr="00BE403F">
        <w:rPr>
          <w:rFonts w:ascii="Calibri" w:eastAsia="宋体" w:hAnsi="Calibri" w:cs="Calibri"/>
          <w:color w:val="000000"/>
          <w:kern w:val="0"/>
          <w:sz w:val="24"/>
          <w14:ligatures w14:val="none"/>
        </w:rPr>
        <w:t xml:space="preserve"> et al. </w:t>
      </w:r>
      <w:r w:rsidR="005E7115">
        <w:rPr>
          <w:rFonts w:ascii="Calibri" w:eastAsia="宋体" w:hAnsi="Calibri" w:cs="Calibri"/>
          <w:color w:val="000000"/>
          <w:kern w:val="0"/>
          <w:sz w:val="24"/>
          <w14:ligatures w14:val="none"/>
        </w:rPr>
        <w:fldChar w:fldCharType="begin"/>
      </w:r>
      <w:r w:rsidR="005E7115">
        <w:rPr>
          <w:rFonts w:ascii="Calibri" w:eastAsia="宋体" w:hAnsi="Calibri" w:cs="Calibri"/>
          <w:color w:val="000000"/>
          <w:kern w:val="0"/>
          <w:sz w:val="24"/>
          <w14:ligatures w14:val="none"/>
        </w:rPr>
        <w:instrText xml:space="preserve"> ADDIN ZOTERO_ITEM CSL_CITATION {"citationID":"SNK0NmD6","properties":{"formattedCitation":"(2007)","plainCitation":"(2007)","noteIndex":0},"citationItems":[{"id":1659,"uris":["http://zotero.org/users/14274501/items/7SBSEFPR"],"itemData":{"id":1659,"type":"article-journal","abstract":"Abstract\n            Understanding of power losses and turbulence increase due to wind turbine wake interactions in large offshore wind farms is crucial to optimizing wind farm design. Power losses and turbulence increase d</w:instrText>
      </w:r>
      <w:r w:rsidR="005E7115">
        <w:rPr>
          <w:rFonts w:ascii="Calibri" w:eastAsia="宋体" w:hAnsi="Calibri" w:cs="Calibri" w:hint="eastAsia"/>
          <w:color w:val="000000"/>
          <w:kern w:val="0"/>
          <w:sz w:val="24"/>
          <w14:ligatures w14:val="none"/>
        </w:rPr>
        <w:instrText>ue to wakes are quantified based on observations from Middelgrunden and state</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of</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the</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art models. Observed power losses due solely to wakes are approximately 10% on average. These are relatively high for a single line of wind turbines due in part to the cl</w:instrText>
      </w:r>
      <w:r w:rsidR="005E7115">
        <w:rPr>
          <w:rFonts w:ascii="Calibri" w:eastAsia="宋体" w:hAnsi="Calibri" w:cs="Calibri"/>
          <w:color w:val="000000"/>
          <w:kern w:val="0"/>
          <w:sz w:val="24"/>
          <w14:ligatures w14:val="none"/>
        </w:rPr>
        <w:instrText>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w:instrText>
      </w:r>
      <w:r w:rsidR="005E7115">
        <w:rPr>
          <w:rFonts w:ascii="Calibri" w:eastAsia="宋体" w:hAnsi="Calibri" w:cs="Calibri" w:hint="eastAsia"/>
          <w:color w:val="000000"/>
          <w:kern w:val="0"/>
          <w:sz w:val="24"/>
          <w14:ligatures w14:val="none"/>
        </w:rPr>
        <w:instrText>bine wakes at Middelgrunden offshore wind farm","volume":"10","author":[{"family":"Barthelmie","given":"R. J."},{"family":"Frandsen","given":"S. T."},{"family":"Nielsen","given":"M. N."},{"family":"Pryor","given":"S. C."},{"family":"Rethore","given":"P.</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E</w:instrText>
      </w:r>
      <w:r w:rsidR="005E7115">
        <w:rPr>
          <w:rFonts w:ascii="Calibri" w:eastAsia="宋体" w:hAnsi="Calibri" w:cs="Calibri"/>
          <w:color w:val="000000"/>
          <w:kern w:val="0"/>
          <w:sz w:val="24"/>
          <w14:ligatures w14:val="none"/>
        </w:rPr>
        <w:instrText xml:space="preserve">."},{"family":"Jørgensen","given":"H. E."}],"issued":{"date-parts":[["2007",11]]}},"suppress-author":true}],"schema":"https://github.com/citation-style-language/schema/raw/master/csl-citation.json"} </w:instrText>
      </w:r>
      <w:r w:rsidR="005E7115">
        <w:rPr>
          <w:rFonts w:ascii="Calibri" w:eastAsia="宋体" w:hAnsi="Calibri" w:cs="Calibri"/>
          <w:color w:val="000000"/>
          <w:kern w:val="0"/>
          <w:sz w:val="24"/>
          <w14:ligatures w14:val="none"/>
        </w:rPr>
        <w:fldChar w:fldCharType="separate"/>
      </w:r>
      <w:r w:rsidR="005E7115">
        <w:rPr>
          <w:rFonts w:ascii="Calibri" w:eastAsia="宋体" w:hAnsi="Calibri" w:cs="Calibri"/>
          <w:noProof/>
          <w:color w:val="000000"/>
          <w:kern w:val="0"/>
          <w:sz w:val="24"/>
          <w14:ligatures w14:val="none"/>
        </w:rPr>
        <w:t>(2007)</w:t>
      </w:r>
      <w:r w:rsidR="005E7115">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showed that wakes cause 10–20% power losses and elevate turbulence intensity by up to 20%. More recent work </w:t>
      </w:r>
      <w:r w:rsidR="005E7115">
        <w:rPr>
          <w:rFonts w:ascii="Calibri" w:eastAsia="宋体" w:hAnsi="Calibri" w:cs="Calibri"/>
          <w:color w:val="000000"/>
          <w:kern w:val="0"/>
          <w:sz w:val="24"/>
          <w14:ligatures w14:val="none"/>
        </w:rPr>
        <w:fldChar w:fldCharType="begin"/>
      </w:r>
      <w:r w:rsidR="005E7115">
        <w:rPr>
          <w:rFonts w:ascii="Calibri" w:eastAsia="宋体" w:hAnsi="Calibri" w:cs="Calibri"/>
          <w:color w:val="000000"/>
          <w:kern w:val="0"/>
          <w:sz w:val="24"/>
          <w14:ligatures w14:val="none"/>
        </w:rPr>
        <w:instrText xml:space="preserve"> ADDIN ZOTERO_ITEM CSL_CITATION {"citationID":"Wt1qwDN8","properties":{"formattedCitation":"(Feroz et al., 2020; Moss et al., 2024)","plainCitation":"(Feroz et al., 2020; Moss et al., 2024)","noteIndex":0},"citationItems":[{"id":1661,"uris":["http://zotero.org/users/14274501/items/IK6DQM6L"],"itemData":{"id":1661,"type":"article-journal","abstract":"Forecasting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Abbas"},{"family":"Uddin","given":"Emad"}],"issued":{"date-parts":[["2020",12]]}}},{"id":1663,"uris":["http://zotero.org/users/14274501/items/BLHAM8PT"],"itemData":{"id":1663,"type":"article-journal","abstract":"Data-driven techniques can enable enhanced insights into wind turbine operations by efficiently extracting information from turbine data. This work outlines a data-driven strategy to augment these insights, describing its benefits and limitations. Different data-driven models are trained on supervisory control and data acquisition (SCADA) and meteorological data collected at an onshore wind farm. The developed models are used to predict wind speed, turbulence intensity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and power capture for each turbine with excellent accuracy for different wind and atmospheric conditions. Modifications of the incoming freestream wind speed and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due to the evolution of the wind field over the wind farm and effects associated with operating turbines are captured enabling modeling at the turbine level. Farm-level modeling is achieved by combining models predicting wind speed and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at each turbine location from inflow conditions with models predicting power capture. Datadriven filters are also considered in the context of generating accurate data-driven models. In contrast to many current works that utilize simulated data, the proposed approach can describe subtle phenomena, such as speedups, TI damping, and wake-generated turbulence, from real-world turbine data. It is noteworthy that the accuracy achievable through data-driven modeling is limited by the quality of the data; therefore, guidelines are proposed to estimate resultant model performance from a given training set without the need to train or test a model.","container-title":"Applied Energy","DOI":"10.1016/j.apenergy.2024.124116","ISSN":"03062619","journalAbbreviation":"Applied Energy","language":"en","page":"124116","source":"DOI.org (Crossref)","title":"Augmenting insights from wind turbine data through data-driven approaches","volume":"376","author":[{"family":"Moss","given":"Coleman"},{"family":"Maulik","given":"Romit"},{"family":"Iungo","given":"Giacomo Valerio"}],"issued":{"date-parts":[["2024",12]]}}}],"schema":"https://github.com/citation-style-language/schema/raw/master/csl-citation.json"} </w:instrText>
      </w:r>
      <w:r w:rsidR="005E7115">
        <w:rPr>
          <w:rFonts w:ascii="Calibri" w:eastAsia="宋体" w:hAnsi="Calibri" w:cs="Calibri"/>
          <w:color w:val="000000"/>
          <w:kern w:val="0"/>
          <w:sz w:val="24"/>
          <w14:ligatures w14:val="none"/>
        </w:rPr>
        <w:fldChar w:fldCharType="separate"/>
      </w:r>
      <w:r w:rsidR="005E7115">
        <w:rPr>
          <w:rFonts w:ascii="Calibri" w:eastAsia="宋体" w:hAnsi="Calibri" w:cs="Calibri"/>
          <w:noProof/>
          <w:color w:val="000000"/>
          <w:kern w:val="0"/>
          <w:sz w:val="24"/>
          <w14:ligatures w14:val="none"/>
        </w:rPr>
        <w:t>(Feroz et al., 2020; Moss et al., 2024)</w:t>
      </w:r>
      <w:r w:rsidR="005E7115">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demonstrated strong seasonal and spatial variability</w:t>
      </w:r>
      <w:r w:rsidR="00F0412D">
        <w:rPr>
          <w:rFonts w:ascii="Calibri" w:eastAsia="宋体" w:hAnsi="Calibri" w:cs="Calibri" w:hint="eastAsia"/>
          <w:color w:val="000000"/>
          <w:kern w:val="0"/>
          <w:sz w:val="24"/>
          <w14:ligatures w14:val="none"/>
        </w:rPr>
        <w:t xml:space="preserve"> of wake</w:t>
      </w:r>
      <w:r w:rsidRPr="00BE403F">
        <w:rPr>
          <w:rFonts w:ascii="Calibri" w:eastAsia="宋体" w:hAnsi="Calibri" w:cs="Calibri"/>
          <w:color w:val="000000"/>
          <w:kern w:val="0"/>
          <w:sz w:val="24"/>
          <w14:ligatures w14:val="none"/>
        </w:rPr>
        <w:t xml:space="preserve">, including flow deceleration, local acceleration, and turbulence damping. These findings indicate that effectiveness </w:t>
      </w:r>
      <w:r w:rsidR="00731DBD">
        <w:rPr>
          <w:rFonts w:ascii="Calibri" w:eastAsia="宋体" w:hAnsi="Calibri" w:cs="Calibri" w:hint="eastAsia"/>
          <w:color w:val="000000"/>
          <w:kern w:val="0"/>
          <w:sz w:val="24"/>
          <w14:ligatures w14:val="none"/>
        </w:rPr>
        <w:t xml:space="preserve">of features </w:t>
      </w:r>
      <w:r w:rsidRPr="00BE403F">
        <w:rPr>
          <w:rFonts w:ascii="Calibri" w:eastAsia="宋体" w:hAnsi="Calibri" w:cs="Calibri"/>
          <w:color w:val="000000"/>
          <w:kern w:val="0"/>
          <w:sz w:val="24"/>
          <w14:ligatures w14:val="none"/>
        </w:rPr>
        <w:t xml:space="preserve">should differ between </w:t>
      </w:r>
      <w:r w:rsidR="00E02581">
        <w:rPr>
          <w:rFonts w:ascii="Calibri" w:eastAsia="宋体" w:hAnsi="Calibri" w:cs="Calibri"/>
          <w:color w:val="000000"/>
          <w:kern w:val="0"/>
          <w:sz w:val="24"/>
          <w14:ligatures w14:val="none"/>
        </w:rPr>
        <w:t>free-stream</w:t>
      </w:r>
      <w:r w:rsidRPr="00BE403F">
        <w:rPr>
          <w:rFonts w:ascii="Calibri" w:eastAsia="宋体" w:hAnsi="Calibri" w:cs="Calibri"/>
          <w:color w:val="000000"/>
          <w:kern w:val="0"/>
          <w:sz w:val="24"/>
          <w14:ligatures w14:val="none"/>
        </w:rPr>
        <w:t xml:space="preserve"> and wake-influenced regions and that single-height measurements cannot represent all inflow states.</w:t>
      </w:r>
      <w:r w:rsidR="00AB6D95" w:rsidRPr="00AB6D95">
        <w:rPr>
          <w:rFonts w:ascii="Calibri" w:eastAsia="宋体" w:hAnsi="Calibri" w:cs="Calibri"/>
          <w:color w:val="000000"/>
          <w:kern w:val="0"/>
          <w:sz w:val="24"/>
          <w14:ligatures w14:val="none"/>
        </w:rPr>
        <w:t xml:space="preserve"> </w:t>
      </w:r>
    </w:p>
    <w:p w14:paraId="42D0347F" w14:textId="7A090F39" w:rsidR="00AC6665" w:rsidRDefault="00AB6D95"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AB6D95">
        <w:rPr>
          <w:rFonts w:ascii="Calibri" w:eastAsia="宋体" w:hAnsi="Calibri" w:cs="Calibri"/>
          <w:color w:val="000000"/>
          <w:kern w:val="0"/>
          <w:sz w:val="24"/>
          <w14:ligatures w14:val="none"/>
        </w:rPr>
        <w:t>Synthesizing existing evidence reveals three fundamental gaps.</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 xml:space="preserve">First, the atmospheric timescales governing total-field power remain unclear; without understanding the scale-dependent power response to atmospheric forcing, </w:t>
      </w:r>
      <w:r w:rsidR="00311F01">
        <w:rPr>
          <w:rFonts w:ascii="Calibri" w:eastAsia="宋体" w:hAnsi="Calibri" w:cs="Calibri" w:hint="eastAsia"/>
          <w:color w:val="000000"/>
          <w:kern w:val="0"/>
          <w:sz w:val="24"/>
          <w14:ligatures w14:val="none"/>
        </w:rPr>
        <w:t>feature</w:t>
      </w:r>
      <w:r w:rsidR="00311F01" w:rsidRPr="00AB6D95">
        <w:rPr>
          <w:rFonts w:ascii="Calibri" w:eastAsia="宋体" w:hAnsi="Calibri" w:cs="Calibri"/>
          <w:color w:val="000000"/>
          <w:kern w:val="0"/>
          <w:sz w:val="24"/>
          <w14:ligatures w14:val="none"/>
        </w:rPr>
        <w:t xml:space="preserve"> </w:t>
      </w:r>
      <w:r w:rsidRPr="00AB6D95">
        <w:rPr>
          <w:rFonts w:ascii="Calibri" w:eastAsia="宋体" w:hAnsi="Calibri" w:cs="Calibri"/>
          <w:color w:val="000000"/>
          <w:kern w:val="0"/>
          <w:sz w:val="24"/>
          <w14:ligatures w14:val="none"/>
        </w:rPr>
        <w:t>selection lacks physical grounding and cannot explain anomalies such as the 10 m correlation.</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 xml:space="preserve">Second, </w:t>
      </w:r>
      <w:r w:rsidR="00E02581">
        <w:rPr>
          <w:rFonts w:ascii="Calibri" w:eastAsia="宋体" w:hAnsi="Calibri" w:cs="Calibri"/>
          <w:color w:val="000000"/>
          <w:kern w:val="0"/>
          <w:sz w:val="24"/>
          <w14:ligatures w14:val="none"/>
        </w:rPr>
        <w:t>free-stream</w:t>
      </w:r>
      <w:r w:rsidRPr="00AB6D95">
        <w:rPr>
          <w:rFonts w:ascii="Calibri" w:eastAsia="宋体" w:hAnsi="Calibri" w:cs="Calibri"/>
          <w:color w:val="000000"/>
          <w:kern w:val="0"/>
          <w:sz w:val="24"/>
          <w14:ligatures w14:val="none"/>
        </w:rPr>
        <w:t xml:space="preserve"> and </w:t>
      </w:r>
      <w:r w:rsidR="00CC3718" w:rsidRPr="00CC3718">
        <w:rPr>
          <w:rFonts w:ascii="Calibri" w:eastAsia="宋体" w:hAnsi="Calibri" w:cs="Calibri"/>
          <w:color w:val="000000"/>
          <w:kern w:val="0"/>
          <w:sz w:val="24"/>
          <w14:ligatures w14:val="none"/>
        </w:rPr>
        <w:t>wake-flow</w:t>
      </w:r>
      <w:r w:rsidR="00CC3718">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 xml:space="preserve">regimes exhibit distinct dynamics, yet few studies </w:t>
      </w:r>
      <w:r w:rsidR="00D64AEB" w:rsidRPr="00AB6D95">
        <w:rPr>
          <w:rFonts w:ascii="Calibri" w:eastAsia="宋体" w:hAnsi="Calibri" w:cs="Calibri"/>
          <w:color w:val="000000"/>
          <w:kern w:val="0"/>
          <w:sz w:val="24"/>
          <w14:ligatures w14:val="none"/>
        </w:rPr>
        <w:t>thoroughly</w:t>
      </w:r>
      <w:r w:rsidRPr="00AB6D95">
        <w:rPr>
          <w:rFonts w:ascii="Calibri" w:eastAsia="宋体" w:hAnsi="Calibri" w:cs="Calibri"/>
          <w:color w:val="000000"/>
          <w:kern w:val="0"/>
          <w:sz w:val="24"/>
          <w14:ligatures w14:val="none"/>
        </w:rPr>
        <w:t xml:space="preserve"> compare </w:t>
      </w:r>
      <w:r w:rsidR="009E302F">
        <w:rPr>
          <w:rFonts w:ascii="Calibri" w:eastAsia="宋体" w:hAnsi="Calibri" w:cs="Calibri" w:hint="eastAsia"/>
          <w:color w:val="000000"/>
          <w:kern w:val="0"/>
          <w:sz w:val="24"/>
          <w14:ligatures w14:val="none"/>
        </w:rPr>
        <w:t>feature</w:t>
      </w:r>
      <w:r w:rsidR="009E302F" w:rsidRPr="00AB6D95">
        <w:rPr>
          <w:rFonts w:ascii="Calibri" w:eastAsia="宋体" w:hAnsi="Calibri" w:cs="Calibri"/>
          <w:color w:val="000000"/>
          <w:kern w:val="0"/>
          <w:sz w:val="24"/>
          <w14:ligatures w14:val="none"/>
        </w:rPr>
        <w:t xml:space="preserve"> </w:t>
      </w:r>
      <w:r w:rsidRPr="00AB6D95">
        <w:rPr>
          <w:rFonts w:ascii="Calibri" w:eastAsia="宋体" w:hAnsi="Calibri" w:cs="Calibri"/>
          <w:color w:val="000000"/>
          <w:kern w:val="0"/>
          <w:sz w:val="24"/>
          <w14:ligatures w14:val="none"/>
        </w:rPr>
        <w:t>importance across these regimes. This limits adaptive</w:t>
      </w:r>
      <w:r w:rsidR="009E302F">
        <w:rPr>
          <w:rFonts w:ascii="Calibri" w:eastAsia="宋体" w:hAnsi="Calibri" w:cs="Calibri" w:hint="eastAsia"/>
          <w:color w:val="000000"/>
          <w:kern w:val="0"/>
          <w:sz w:val="24"/>
          <w14:ligatures w14:val="none"/>
        </w:rPr>
        <w:t xml:space="preserve"> feature</w:t>
      </w:r>
      <w:r w:rsidRPr="00AB6D95">
        <w:rPr>
          <w:rFonts w:ascii="Calibri" w:eastAsia="宋体" w:hAnsi="Calibri" w:cs="Calibri"/>
          <w:color w:val="000000"/>
          <w:kern w:val="0"/>
          <w:sz w:val="24"/>
          <w14:ligatures w14:val="none"/>
        </w:rPr>
        <w:t xml:space="preserve"> selection under mixed observational conditions.</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Third, despite extensive knowledge of wind profile structure, stability, and turbulence, these physical insights have not been translated into operational day-ahead forecasting strategies, which still rely primarily on empirical hub-height inputs</w:t>
      </w:r>
      <w:r w:rsidR="00AC6665" w:rsidRPr="00AC6665">
        <w:rPr>
          <w:rFonts w:ascii="Calibri" w:eastAsia="宋体" w:hAnsi="Calibri" w:cs="Calibri"/>
          <w:color w:val="000000"/>
          <w:kern w:val="0"/>
          <w:sz w:val="24"/>
          <w14:ligatures w14:val="none"/>
        </w:rPr>
        <w:t>.</w:t>
      </w:r>
    </w:p>
    <w:p w14:paraId="487AB1BF" w14:textId="4DFDA393" w:rsidR="00671094" w:rsidRDefault="005E7115"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5E7115">
        <w:rPr>
          <w:rFonts w:ascii="Calibri" w:eastAsia="宋体" w:hAnsi="Calibri" w:cs="Calibri"/>
          <w:color w:val="000000"/>
          <w:kern w:val="0"/>
          <w:sz w:val="24"/>
          <w14:ligatures w14:val="none"/>
        </w:rPr>
        <w:t>To address these issues, this study uses full-profile wind observations (10 m, 30 m, 50 m, 70 m) together with whole-farm power production from a representative site and develops a three-tiered framework.</w:t>
      </w:r>
      <w:r w:rsidR="00671094" w:rsidRPr="00671094">
        <w:rPr>
          <w:rFonts w:ascii="Calibri" w:eastAsia="宋体" w:hAnsi="Calibri" w:cs="Calibri"/>
          <w:color w:val="000000"/>
          <w:kern w:val="0"/>
          <w:sz w:val="24"/>
          <w14:ligatures w14:val="none"/>
        </w:rPr>
        <w:t xml:space="preserve"> First, ensemble empirical mode decomposition (EEMD) and empirical orthogonal function (EOF) analysis are applied to quantify the dominant atmospheric timescales governing farm power and their physical mechanisms. Second, </w:t>
      </w:r>
      <w:r w:rsidR="00E02581">
        <w:rPr>
          <w:rFonts w:ascii="Calibri" w:eastAsia="宋体" w:hAnsi="Calibri" w:cs="Calibri"/>
          <w:color w:val="000000"/>
          <w:kern w:val="0"/>
          <w:sz w:val="24"/>
          <w14:ligatures w14:val="none"/>
        </w:rPr>
        <w:t>free-stream</w:t>
      </w:r>
      <w:r w:rsidR="00671094" w:rsidRPr="00671094">
        <w:rPr>
          <w:rFonts w:ascii="Calibri" w:eastAsia="宋体" w:hAnsi="Calibri" w:cs="Calibri"/>
          <w:color w:val="000000"/>
          <w:kern w:val="0"/>
          <w:sz w:val="24"/>
          <w14:ligatures w14:val="none"/>
        </w:rPr>
        <w:t xml:space="preserve"> and </w:t>
      </w:r>
      <w:r w:rsidR="00F30B53" w:rsidRPr="00CC3718">
        <w:rPr>
          <w:rFonts w:ascii="Calibri" w:eastAsia="宋体" w:hAnsi="Calibri" w:cs="Calibri"/>
          <w:color w:val="000000"/>
          <w:kern w:val="0"/>
          <w:sz w:val="24"/>
          <w14:ligatures w14:val="none"/>
        </w:rPr>
        <w:t>wake-flow</w:t>
      </w:r>
      <w:r w:rsidR="00F30B53">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conditions are classified using wind direction, and SHAP analysis is used to identify differentiated</w:t>
      </w:r>
      <w:r w:rsidR="00D64AEB">
        <w:rPr>
          <w:rFonts w:ascii="Calibri" w:eastAsia="宋体" w:hAnsi="Calibri" w:cs="Calibri" w:hint="eastAsia"/>
          <w:color w:val="000000"/>
          <w:kern w:val="0"/>
          <w:sz w:val="24"/>
          <w14:ligatures w14:val="none"/>
        </w:rPr>
        <w:t xml:space="preserve"> </w:t>
      </w:r>
      <w:r w:rsidR="00D64AEB">
        <w:rPr>
          <w:rFonts w:ascii="Calibri" w:eastAsia="宋体" w:hAnsi="Calibri" w:cs="Calibri"/>
          <w:color w:val="000000"/>
          <w:kern w:val="0"/>
          <w:sz w:val="24"/>
          <w14:ligatures w14:val="none"/>
        </w:rPr>
        <w:t xml:space="preserve">input </w:t>
      </w:r>
      <w:r w:rsidR="00671094" w:rsidRPr="00671094">
        <w:rPr>
          <w:rFonts w:ascii="Calibri" w:eastAsia="宋体" w:hAnsi="Calibri" w:cs="Calibri" w:hint="eastAsia"/>
          <w:color w:val="000000"/>
          <w:kern w:val="0"/>
          <w:sz w:val="24"/>
          <w14:ligatures w14:val="none"/>
        </w:rPr>
        <w:t>c</w:t>
      </w:r>
      <w:r w:rsidR="00671094" w:rsidRPr="00671094">
        <w:rPr>
          <w:rFonts w:ascii="Calibri" w:eastAsia="宋体" w:hAnsi="Calibri" w:cs="Calibri"/>
          <w:color w:val="000000"/>
          <w:kern w:val="0"/>
          <w:sz w:val="24"/>
          <w14:ligatures w14:val="none"/>
        </w:rPr>
        <w:t xml:space="preserve">haracteristics for each regime. Third, the physically informed </w:t>
      </w:r>
      <w:r w:rsidR="00D64AEB">
        <w:rPr>
          <w:rFonts w:ascii="Calibri" w:eastAsia="宋体" w:hAnsi="Calibri" w:cs="Calibri"/>
          <w:color w:val="000000"/>
          <w:kern w:val="0"/>
          <w:sz w:val="24"/>
          <w14:ligatures w14:val="none"/>
        </w:rPr>
        <w:t>inputs</w:t>
      </w:r>
      <w:r w:rsidR="00671094" w:rsidRPr="00671094">
        <w:rPr>
          <w:rFonts w:ascii="Calibri" w:eastAsia="宋体" w:hAnsi="Calibri" w:cs="Calibri"/>
          <w:color w:val="000000"/>
          <w:kern w:val="0"/>
          <w:sz w:val="24"/>
          <w14:ligatures w14:val="none"/>
        </w:rPr>
        <w:t xml:space="preserve"> identified from observations are integrated with retrospective NWP forecasts (EC-WRF and GFS-</w:t>
      </w:r>
      <w:r w:rsidR="00671094" w:rsidRPr="00671094">
        <w:rPr>
          <w:rFonts w:ascii="Calibri" w:eastAsia="宋体" w:hAnsi="Calibri" w:cs="Calibri"/>
          <w:color w:val="000000"/>
          <w:kern w:val="0"/>
          <w:sz w:val="24"/>
          <w14:ligatures w14:val="none"/>
        </w:rPr>
        <w:lastRenderedPageBreak/>
        <w:t xml:space="preserve">WRF) to construct day-ahead power forecasting strategies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p>
    <w:p w14:paraId="272C85F4" w14:textId="6F96BF37" w:rsidR="00494AA6" w:rsidRDefault="00494AA6"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494AA6">
        <w:rPr>
          <w:rFonts w:ascii="Calibri" w:eastAsia="宋体" w:hAnsi="Calibri" w:cs="Calibri"/>
          <w:color w:val="000000"/>
          <w:kern w:val="0"/>
          <w:sz w:val="24"/>
          <w14:ligatures w14:val="none"/>
        </w:rPr>
        <w:t>This study shows that both multi-height wind profiles and flow-regime characteristics significantly affect day-ahead power forecasting accuracy. It advances the physical understanding of wind farm power generation by establishing vertical wind profiles as the fundamental inputs while demonstrating regime-specific height selection. For operational practice, the physically informed forecasting strategies provide actionable guidance for improving NWP-driven day-ahead forecasting.</w:t>
      </w:r>
    </w:p>
    <w:p w14:paraId="4AC6F673" w14:textId="77777777" w:rsidR="00B16E71" w:rsidRPr="00B16E71" w:rsidRDefault="00EC1864" w:rsidP="00B16E71">
      <w:pPr>
        <w:pStyle w:val="af4"/>
        <w:rPr>
          <w:rFonts w:ascii="Calibri" w:hAnsi="Calibri" w:cs="Calibri"/>
          <w:color w:val="000000"/>
          <w:sz w:val="24"/>
        </w:rPr>
      </w:pPr>
      <w:r>
        <w:rPr>
          <w:rFonts w:ascii="Calibri" w:eastAsia="宋体" w:hAnsi="Calibri" w:cs="Calibri"/>
          <w:color w:val="000000"/>
          <w14:ligatures w14:val="none"/>
        </w:rPr>
        <w:fldChar w:fldCharType="begin"/>
      </w:r>
      <w:r w:rsidR="00401647">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B16E71" w:rsidRPr="00B16E71">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B16E71" w:rsidRPr="00B16E71">
        <w:rPr>
          <w:rFonts w:ascii="Calibri" w:hAnsi="Calibri" w:cs="Calibri"/>
          <w:i/>
          <w:iCs/>
          <w:color w:val="000000"/>
          <w:sz w:val="24"/>
        </w:rPr>
        <w:t>Wind Energy</w:t>
      </w:r>
      <w:r w:rsidR="00B16E71" w:rsidRPr="00B16E71">
        <w:rPr>
          <w:rFonts w:ascii="Calibri" w:hAnsi="Calibri" w:cs="Calibri"/>
          <w:color w:val="000000"/>
          <w:sz w:val="24"/>
        </w:rPr>
        <w:t xml:space="preserve">, </w:t>
      </w:r>
      <w:r w:rsidR="00B16E71" w:rsidRPr="00B16E71">
        <w:rPr>
          <w:rFonts w:ascii="Calibri" w:hAnsi="Calibri" w:cs="Calibri"/>
          <w:i/>
          <w:iCs/>
          <w:color w:val="000000"/>
          <w:sz w:val="24"/>
        </w:rPr>
        <w:t>10</w:t>
      </w:r>
      <w:r w:rsidR="00B16E71" w:rsidRPr="00B16E71">
        <w:rPr>
          <w:rFonts w:ascii="Calibri" w:hAnsi="Calibri" w:cs="Calibri"/>
          <w:color w:val="000000"/>
          <w:sz w:val="24"/>
        </w:rPr>
        <w:t>(6), 517–528. https://doi.org/10.1002/we.238</w:t>
      </w:r>
    </w:p>
    <w:p w14:paraId="4DE9672E"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Buhan, S., Ozkazanc, Y., &amp; Cadirci, I. (2016). Wind Pattern Recognition and Reference Wind Mast Data Correlations With NWP for Improved Wind-Electric Power Forecasts. </w:t>
      </w:r>
      <w:r w:rsidRPr="00B16E71">
        <w:rPr>
          <w:rFonts w:ascii="Calibri" w:hAnsi="Calibri" w:cs="Calibri"/>
          <w:i/>
          <w:iCs/>
          <w:color w:val="000000"/>
          <w:sz w:val="24"/>
        </w:rPr>
        <w:t>IEEE Transactions on Industrial Informatics</w:t>
      </w:r>
      <w:r w:rsidRPr="00B16E71">
        <w:rPr>
          <w:rFonts w:ascii="Calibri" w:hAnsi="Calibri" w:cs="Calibri"/>
          <w:color w:val="000000"/>
          <w:sz w:val="24"/>
        </w:rPr>
        <w:t xml:space="preserve">, </w:t>
      </w:r>
      <w:r w:rsidRPr="00B16E71">
        <w:rPr>
          <w:rFonts w:ascii="Calibri" w:hAnsi="Calibri" w:cs="Calibri"/>
          <w:i/>
          <w:iCs/>
          <w:color w:val="000000"/>
          <w:sz w:val="24"/>
        </w:rPr>
        <w:t>12</w:t>
      </w:r>
      <w:r w:rsidRPr="00B16E71">
        <w:rPr>
          <w:rFonts w:ascii="Calibri" w:hAnsi="Calibri" w:cs="Calibri"/>
          <w:color w:val="000000"/>
          <w:sz w:val="24"/>
        </w:rPr>
        <w:t>(3), 991–1004. https://doi.org/10.1109/TII.2016.2543004</w:t>
      </w:r>
    </w:p>
    <w:p w14:paraId="0E281B8B"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B16E71">
        <w:rPr>
          <w:rFonts w:ascii="Calibri" w:hAnsi="Calibri" w:cs="Calibri"/>
          <w:i/>
          <w:iCs/>
          <w:color w:val="000000"/>
          <w:sz w:val="24"/>
        </w:rPr>
        <w:t>Sustainable Energy Technologies and Assessments</w:t>
      </w:r>
      <w:r w:rsidRPr="00B16E71">
        <w:rPr>
          <w:rFonts w:ascii="Calibri" w:hAnsi="Calibri" w:cs="Calibri"/>
          <w:color w:val="000000"/>
          <w:sz w:val="24"/>
        </w:rPr>
        <w:t xml:space="preserve">, </w:t>
      </w:r>
      <w:r w:rsidRPr="00B16E71">
        <w:rPr>
          <w:rFonts w:ascii="Calibri" w:hAnsi="Calibri" w:cs="Calibri"/>
          <w:i/>
          <w:iCs/>
          <w:color w:val="000000"/>
          <w:sz w:val="24"/>
        </w:rPr>
        <w:t>52</w:t>
      </w:r>
      <w:r w:rsidRPr="00B16E71">
        <w:rPr>
          <w:rFonts w:ascii="Calibri" w:hAnsi="Calibri" w:cs="Calibri"/>
          <w:color w:val="000000"/>
          <w:sz w:val="24"/>
        </w:rPr>
        <w:t>, 101995. https://doi.org/10.1016/j.seta.2022.101995</w:t>
      </w:r>
    </w:p>
    <w:p w14:paraId="33B55014"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Chen, Y., &amp; Xu, J. (2022). Solar and wind power data from the Chinese State Grid Renewable Energy Generation Forecasting Competition. </w:t>
      </w:r>
      <w:r w:rsidRPr="00B16E71">
        <w:rPr>
          <w:rFonts w:ascii="Calibri" w:hAnsi="Calibri" w:cs="Calibri"/>
          <w:i/>
          <w:iCs/>
          <w:color w:val="000000"/>
          <w:sz w:val="24"/>
        </w:rPr>
        <w:t>Scientific Data</w:t>
      </w:r>
      <w:r w:rsidRPr="00B16E71">
        <w:rPr>
          <w:rFonts w:ascii="Calibri" w:hAnsi="Calibri" w:cs="Calibri"/>
          <w:color w:val="000000"/>
          <w:sz w:val="24"/>
        </w:rPr>
        <w:t xml:space="preserve">, </w:t>
      </w:r>
      <w:r w:rsidRPr="00B16E71">
        <w:rPr>
          <w:rFonts w:ascii="Calibri" w:hAnsi="Calibri" w:cs="Calibri"/>
          <w:i/>
          <w:iCs/>
          <w:color w:val="000000"/>
          <w:sz w:val="24"/>
        </w:rPr>
        <w:t>9</w:t>
      </w:r>
      <w:r w:rsidRPr="00B16E71">
        <w:rPr>
          <w:rFonts w:ascii="Calibri" w:hAnsi="Calibri" w:cs="Calibri"/>
          <w:color w:val="000000"/>
          <w:sz w:val="24"/>
        </w:rPr>
        <w:t>(1), 577. https://doi.org/10.1038/s41597-022-01696-6</w:t>
      </w:r>
    </w:p>
    <w:p w14:paraId="4DCDEC07"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lastRenderedPageBreak/>
        <w:t xml:space="preserve">Clifton, A., Kilcher, L., Lundquist, J. K., &amp; Fleming, P. (2013). Using machine learning to predict wind turbine power output. </w:t>
      </w:r>
      <w:r w:rsidRPr="00B16E71">
        <w:rPr>
          <w:rFonts w:ascii="Calibri" w:hAnsi="Calibri" w:cs="Calibri"/>
          <w:i/>
          <w:iCs/>
          <w:color w:val="000000"/>
          <w:sz w:val="24"/>
        </w:rPr>
        <w:t>Environmental Research Letters</w:t>
      </w:r>
      <w:r w:rsidRPr="00B16E71">
        <w:rPr>
          <w:rFonts w:ascii="Calibri" w:hAnsi="Calibri" w:cs="Calibri"/>
          <w:color w:val="000000"/>
          <w:sz w:val="24"/>
        </w:rPr>
        <w:t xml:space="preserve">, </w:t>
      </w:r>
      <w:r w:rsidRPr="00B16E71">
        <w:rPr>
          <w:rFonts w:ascii="Calibri" w:hAnsi="Calibri" w:cs="Calibri"/>
          <w:i/>
          <w:iCs/>
          <w:color w:val="000000"/>
          <w:sz w:val="24"/>
        </w:rPr>
        <w:t>8</w:t>
      </w:r>
      <w:r w:rsidRPr="00B16E71">
        <w:rPr>
          <w:rFonts w:ascii="Calibri" w:hAnsi="Calibri" w:cs="Calibri"/>
          <w:color w:val="000000"/>
          <w:sz w:val="24"/>
        </w:rPr>
        <w:t>(2), 024009. https://doi.org/10.1088/1748-9326/8/2/024009</w:t>
      </w:r>
    </w:p>
    <w:p w14:paraId="6FE49D6F"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Cutler, N. J., Outhred, H. R., &amp; MacGill, I. F. (2012). Using nacelle‐based wind speed observations to improve power curve modeling for wind power forecasting. </w:t>
      </w:r>
      <w:r w:rsidRPr="00B16E71">
        <w:rPr>
          <w:rFonts w:ascii="Calibri" w:hAnsi="Calibri" w:cs="Calibri"/>
          <w:i/>
          <w:iCs/>
          <w:color w:val="000000"/>
          <w:sz w:val="24"/>
        </w:rPr>
        <w:t>Wind Energy</w:t>
      </w:r>
      <w:r w:rsidRPr="00B16E71">
        <w:rPr>
          <w:rFonts w:ascii="Calibri" w:hAnsi="Calibri" w:cs="Calibri"/>
          <w:color w:val="000000"/>
          <w:sz w:val="24"/>
        </w:rPr>
        <w:t xml:space="preserve">, </w:t>
      </w:r>
      <w:r w:rsidRPr="00B16E71">
        <w:rPr>
          <w:rFonts w:ascii="Calibri" w:hAnsi="Calibri" w:cs="Calibri"/>
          <w:i/>
          <w:iCs/>
          <w:color w:val="000000"/>
          <w:sz w:val="24"/>
        </w:rPr>
        <w:t>15</w:t>
      </w:r>
      <w:r w:rsidRPr="00B16E71">
        <w:rPr>
          <w:rFonts w:ascii="Calibri" w:hAnsi="Calibri" w:cs="Calibri"/>
          <w:color w:val="000000"/>
          <w:sz w:val="24"/>
        </w:rPr>
        <w:t>(2), 245–258. https://doi.org/10.1002/we.465</w:t>
      </w:r>
    </w:p>
    <w:p w14:paraId="3078A3CF"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B16E71">
        <w:rPr>
          <w:rFonts w:ascii="Calibri" w:hAnsi="Calibri" w:cs="Calibri"/>
          <w:i/>
          <w:iCs/>
          <w:color w:val="000000"/>
          <w:sz w:val="24"/>
        </w:rPr>
        <w:t>Sustainable Energy Technologies and Assessments</w:t>
      </w:r>
      <w:r w:rsidRPr="00B16E71">
        <w:rPr>
          <w:rFonts w:ascii="Calibri" w:hAnsi="Calibri" w:cs="Calibri"/>
          <w:color w:val="000000"/>
          <w:sz w:val="24"/>
        </w:rPr>
        <w:t xml:space="preserve">, </w:t>
      </w:r>
      <w:r w:rsidRPr="00B16E71">
        <w:rPr>
          <w:rFonts w:ascii="Calibri" w:hAnsi="Calibri" w:cs="Calibri"/>
          <w:i/>
          <w:iCs/>
          <w:color w:val="000000"/>
          <w:sz w:val="24"/>
        </w:rPr>
        <w:t>42</w:t>
      </w:r>
      <w:r w:rsidRPr="00B16E71">
        <w:rPr>
          <w:rFonts w:ascii="Calibri" w:hAnsi="Calibri" w:cs="Calibri"/>
          <w:color w:val="000000"/>
          <w:sz w:val="24"/>
        </w:rPr>
        <w:t>, 100882. https://doi.org/10.1016/j.seta.2020.100882</w:t>
      </w:r>
    </w:p>
    <w:p w14:paraId="1F31190A"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Haq, I. U., Kumar, A., &amp; Rathore, P. S. (2025). Machine learning approaches for wind power forecasting: a comprehensive review. </w:t>
      </w:r>
      <w:r w:rsidRPr="00B16E71">
        <w:rPr>
          <w:rFonts w:ascii="Calibri" w:hAnsi="Calibri" w:cs="Calibri"/>
          <w:i/>
          <w:iCs/>
          <w:color w:val="000000"/>
          <w:sz w:val="24"/>
        </w:rPr>
        <w:t>Discover Applied Sciences</w:t>
      </w:r>
      <w:r w:rsidRPr="00B16E71">
        <w:rPr>
          <w:rFonts w:ascii="Calibri" w:hAnsi="Calibri" w:cs="Calibri"/>
          <w:color w:val="000000"/>
          <w:sz w:val="24"/>
        </w:rPr>
        <w:t xml:space="preserve">, </w:t>
      </w:r>
      <w:r w:rsidRPr="00B16E71">
        <w:rPr>
          <w:rFonts w:ascii="Calibri" w:hAnsi="Calibri" w:cs="Calibri"/>
          <w:i/>
          <w:iCs/>
          <w:color w:val="000000"/>
          <w:sz w:val="24"/>
        </w:rPr>
        <w:t>7</w:t>
      </w:r>
      <w:r w:rsidRPr="00B16E71">
        <w:rPr>
          <w:rFonts w:ascii="Calibri" w:hAnsi="Calibri" w:cs="Calibri"/>
          <w:color w:val="000000"/>
          <w:sz w:val="24"/>
        </w:rPr>
        <w:t>(10), 1139. https://doi.org/10.1007/s42452-025-07675-x</w:t>
      </w:r>
    </w:p>
    <w:p w14:paraId="399A4A22"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Holttinen, H. (2005). Optimal electricity market for wind power. </w:t>
      </w:r>
      <w:r w:rsidRPr="00B16E71">
        <w:rPr>
          <w:rFonts w:ascii="Calibri" w:hAnsi="Calibri" w:cs="Calibri"/>
          <w:i/>
          <w:iCs/>
          <w:color w:val="000000"/>
          <w:sz w:val="24"/>
        </w:rPr>
        <w:t>Energy Policy</w:t>
      </w:r>
      <w:r w:rsidRPr="00B16E71">
        <w:rPr>
          <w:rFonts w:ascii="Calibri" w:hAnsi="Calibri" w:cs="Calibri"/>
          <w:color w:val="000000"/>
          <w:sz w:val="24"/>
        </w:rPr>
        <w:t xml:space="preserve">, </w:t>
      </w:r>
      <w:r w:rsidRPr="00B16E71">
        <w:rPr>
          <w:rFonts w:ascii="Calibri" w:hAnsi="Calibri" w:cs="Calibri"/>
          <w:i/>
          <w:iCs/>
          <w:color w:val="000000"/>
          <w:sz w:val="24"/>
        </w:rPr>
        <w:t>33</w:t>
      </w:r>
      <w:r w:rsidRPr="00B16E71">
        <w:rPr>
          <w:rFonts w:ascii="Calibri" w:hAnsi="Calibri" w:cs="Calibri"/>
          <w:color w:val="000000"/>
          <w:sz w:val="24"/>
        </w:rPr>
        <w:t>(16), 2052–2063. https://doi.org/10.1016/j.enpol.2004.04.001</w:t>
      </w:r>
    </w:p>
    <w:p w14:paraId="6F1AC859"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B16E71">
        <w:rPr>
          <w:rFonts w:ascii="Calibri" w:hAnsi="Calibri" w:cs="Calibri"/>
          <w:i/>
          <w:iCs/>
          <w:color w:val="000000"/>
          <w:sz w:val="24"/>
        </w:rPr>
        <w:t>Journal of Renewable and Sustainable Energy</w:t>
      </w:r>
      <w:r w:rsidRPr="00B16E71">
        <w:rPr>
          <w:rFonts w:ascii="Calibri" w:hAnsi="Calibri" w:cs="Calibri"/>
          <w:color w:val="000000"/>
          <w:sz w:val="24"/>
        </w:rPr>
        <w:t xml:space="preserve">, </w:t>
      </w:r>
      <w:r w:rsidRPr="00B16E71">
        <w:rPr>
          <w:rFonts w:ascii="Calibri" w:hAnsi="Calibri" w:cs="Calibri"/>
          <w:i/>
          <w:iCs/>
          <w:color w:val="000000"/>
          <w:sz w:val="24"/>
        </w:rPr>
        <w:t>15</w:t>
      </w:r>
      <w:r w:rsidRPr="00B16E71">
        <w:rPr>
          <w:rFonts w:ascii="Calibri" w:hAnsi="Calibri" w:cs="Calibri"/>
          <w:color w:val="000000"/>
          <w:sz w:val="24"/>
        </w:rPr>
        <w:t>(1), 013307. https://doi.org/10.1063/5.0127519</w:t>
      </w:r>
    </w:p>
    <w:p w14:paraId="718501E7"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Liu, H., &amp; Zhang, Z. (2024). Development and trending of deep learning methods for wind power predictions. </w:t>
      </w:r>
      <w:r w:rsidRPr="00B16E71">
        <w:rPr>
          <w:rFonts w:ascii="Calibri" w:hAnsi="Calibri" w:cs="Calibri"/>
          <w:i/>
          <w:iCs/>
          <w:color w:val="000000"/>
          <w:sz w:val="24"/>
        </w:rPr>
        <w:t>Artificial Intelligence Review</w:t>
      </w:r>
      <w:r w:rsidRPr="00B16E71">
        <w:rPr>
          <w:rFonts w:ascii="Calibri" w:hAnsi="Calibri" w:cs="Calibri"/>
          <w:color w:val="000000"/>
          <w:sz w:val="24"/>
        </w:rPr>
        <w:t xml:space="preserve">, </w:t>
      </w:r>
      <w:r w:rsidRPr="00B16E71">
        <w:rPr>
          <w:rFonts w:ascii="Calibri" w:hAnsi="Calibri" w:cs="Calibri"/>
          <w:i/>
          <w:iCs/>
          <w:color w:val="000000"/>
          <w:sz w:val="24"/>
        </w:rPr>
        <w:t>57</w:t>
      </w:r>
      <w:r w:rsidRPr="00B16E71">
        <w:rPr>
          <w:rFonts w:ascii="Calibri" w:hAnsi="Calibri" w:cs="Calibri"/>
          <w:color w:val="000000"/>
          <w:sz w:val="24"/>
        </w:rPr>
        <w:t>(5), 112. https://doi.org/10.1007/s10462-024-10728-z</w:t>
      </w:r>
    </w:p>
    <w:p w14:paraId="16A6F9A0"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lastRenderedPageBreak/>
        <w:t xml:space="preserve">Mahoney, W. P., Parks, K., Wiener, G., Liu, Y., Myers, W. L., Sun, J., et al. (2012). A Wind Power Forecasting System to Optimize Grid Integration. </w:t>
      </w:r>
      <w:r w:rsidRPr="00B16E71">
        <w:rPr>
          <w:rFonts w:ascii="Calibri" w:hAnsi="Calibri" w:cs="Calibri"/>
          <w:i/>
          <w:iCs/>
          <w:color w:val="000000"/>
          <w:sz w:val="24"/>
        </w:rPr>
        <w:t>IEEE Transactions on Sustainable Energy</w:t>
      </w:r>
      <w:r w:rsidRPr="00B16E71">
        <w:rPr>
          <w:rFonts w:ascii="Calibri" w:hAnsi="Calibri" w:cs="Calibri"/>
          <w:color w:val="000000"/>
          <w:sz w:val="24"/>
        </w:rPr>
        <w:t xml:space="preserve">, </w:t>
      </w:r>
      <w:r w:rsidRPr="00B16E71">
        <w:rPr>
          <w:rFonts w:ascii="Calibri" w:hAnsi="Calibri" w:cs="Calibri"/>
          <w:i/>
          <w:iCs/>
          <w:color w:val="000000"/>
          <w:sz w:val="24"/>
        </w:rPr>
        <w:t>3</w:t>
      </w:r>
      <w:r w:rsidRPr="00B16E71">
        <w:rPr>
          <w:rFonts w:ascii="Calibri" w:hAnsi="Calibri" w:cs="Calibri"/>
          <w:color w:val="000000"/>
          <w:sz w:val="24"/>
        </w:rPr>
        <w:t>(4), 670–682. https://doi.org/10.1109/TSTE.2012.2201758</w:t>
      </w:r>
    </w:p>
    <w:p w14:paraId="1EC32899"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Moss, C., Maulik, R., &amp; Iungo, G. V. (2024). Augmenting insights from wind turbine data through data-driven approaches. </w:t>
      </w:r>
      <w:r w:rsidRPr="00B16E71">
        <w:rPr>
          <w:rFonts w:ascii="Calibri" w:hAnsi="Calibri" w:cs="Calibri"/>
          <w:i/>
          <w:iCs/>
          <w:color w:val="000000"/>
          <w:sz w:val="24"/>
        </w:rPr>
        <w:t>Applied Energy</w:t>
      </w:r>
      <w:r w:rsidRPr="00B16E71">
        <w:rPr>
          <w:rFonts w:ascii="Calibri" w:hAnsi="Calibri" w:cs="Calibri"/>
          <w:color w:val="000000"/>
          <w:sz w:val="24"/>
        </w:rPr>
        <w:t xml:space="preserve">, </w:t>
      </w:r>
      <w:r w:rsidRPr="00B16E71">
        <w:rPr>
          <w:rFonts w:ascii="Calibri" w:hAnsi="Calibri" w:cs="Calibri"/>
          <w:i/>
          <w:iCs/>
          <w:color w:val="000000"/>
          <w:sz w:val="24"/>
        </w:rPr>
        <w:t>376</w:t>
      </w:r>
      <w:r w:rsidRPr="00B16E71">
        <w:rPr>
          <w:rFonts w:ascii="Calibri" w:hAnsi="Calibri" w:cs="Calibri"/>
          <w:color w:val="000000"/>
          <w:sz w:val="24"/>
        </w:rPr>
        <w:t>, 124116. https://doi.org/10.1016/j.apenergy.2024.124116</w:t>
      </w:r>
    </w:p>
    <w:p w14:paraId="3FF93545"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Optis, M., &amp; Perr-Sauer, J. (2019a). The importance of atmospheric turbulence and stability in machine-learning models of wind farm power production. </w:t>
      </w:r>
      <w:r w:rsidRPr="00B16E71">
        <w:rPr>
          <w:rFonts w:ascii="Calibri" w:hAnsi="Calibri" w:cs="Calibri"/>
          <w:i/>
          <w:iCs/>
          <w:color w:val="000000"/>
          <w:sz w:val="24"/>
        </w:rPr>
        <w:t>Renewable and Sustainable Energy Reviews</w:t>
      </w:r>
      <w:r w:rsidRPr="00B16E71">
        <w:rPr>
          <w:rFonts w:ascii="Calibri" w:hAnsi="Calibri" w:cs="Calibri"/>
          <w:color w:val="000000"/>
          <w:sz w:val="24"/>
        </w:rPr>
        <w:t xml:space="preserve">, </w:t>
      </w:r>
      <w:r w:rsidRPr="00B16E71">
        <w:rPr>
          <w:rFonts w:ascii="Calibri" w:hAnsi="Calibri" w:cs="Calibri"/>
          <w:i/>
          <w:iCs/>
          <w:color w:val="000000"/>
          <w:sz w:val="24"/>
        </w:rPr>
        <w:t>112</w:t>
      </w:r>
      <w:r w:rsidRPr="00B16E71">
        <w:rPr>
          <w:rFonts w:ascii="Calibri" w:hAnsi="Calibri" w:cs="Calibri"/>
          <w:color w:val="000000"/>
          <w:sz w:val="24"/>
        </w:rPr>
        <w:t>, 27–41. https://doi.org/10.1016/j.rser.2019.05.031</w:t>
      </w:r>
    </w:p>
    <w:p w14:paraId="567D810A"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Optis, M., &amp; Perr-Sauer, J. (2019b). The importance of atmospheric turbulence and stability in machine-learning models of wind farm power production. </w:t>
      </w:r>
      <w:r w:rsidRPr="00B16E71">
        <w:rPr>
          <w:rFonts w:ascii="Calibri" w:hAnsi="Calibri" w:cs="Calibri"/>
          <w:i/>
          <w:iCs/>
          <w:color w:val="000000"/>
          <w:sz w:val="24"/>
        </w:rPr>
        <w:t>Renewable and Sustainable Energy Reviews</w:t>
      </w:r>
      <w:r w:rsidRPr="00B16E71">
        <w:rPr>
          <w:rFonts w:ascii="Calibri" w:hAnsi="Calibri" w:cs="Calibri"/>
          <w:color w:val="000000"/>
          <w:sz w:val="24"/>
        </w:rPr>
        <w:t xml:space="preserve">, </w:t>
      </w:r>
      <w:r w:rsidRPr="00B16E71">
        <w:rPr>
          <w:rFonts w:ascii="Calibri" w:hAnsi="Calibri" w:cs="Calibri"/>
          <w:i/>
          <w:iCs/>
          <w:color w:val="000000"/>
          <w:sz w:val="24"/>
        </w:rPr>
        <w:t>112</w:t>
      </w:r>
      <w:r w:rsidRPr="00B16E71">
        <w:rPr>
          <w:rFonts w:ascii="Calibri" w:hAnsi="Calibri" w:cs="Calibri"/>
          <w:color w:val="000000"/>
          <w:sz w:val="24"/>
        </w:rPr>
        <w:t>, 27–41. https://doi.org/10.1016/j.rser.2019.05.031</w:t>
      </w:r>
    </w:p>
    <w:p w14:paraId="27CC48D5"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B16E71">
        <w:rPr>
          <w:rFonts w:ascii="Calibri" w:hAnsi="Calibri" w:cs="Calibri"/>
          <w:i/>
          <w:iCs/>
          <w:color w:val="000000"/>
          <w:sz w:val="24"/>
        </w:rPr>
        <w:t>2020 IEEE KhPI Week on Advanced Technology (KhPIWeek)</w:t>
      </w:r>
      <w:r w:rsidRPr="00B16E71">
        <w:rPr>
          <w:rFonts w:ascii="Calibri" w:hAnsi="Calibri" w:cs="Calibri"/>
          <w:color w:val="000000"/>
          <w:sz w:val="24"/>
        </w:rPr>
        <w:t xml:space="preserve"> (pp. 472–477). Kharkiv, Ukraine: IEEE. https://doi.org/10.1109/KhPIWeek51551.2020.9250114</w:t>
      </w:r>
    </w:p>
    <w:p w14:paraId="6312D1F1"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Sasser, C., Yu, M., &amp; Delgado, R. (2022). Improvement of wind power prediction from meteorological characterization with machine learning models. </w:t>
      </w:r>
      <w:r w:rsidRPr="00B16E71">
        <w:rPr>
          <w:rFonts w:ascii="Calibri" w:hAnsi="Calibri" w:cs="Calibri"/>
          <w:i/>
          <w:iCs/>
          <w:color w:val="000000"/>
          <w:sz w:val="24"/>
        </w:rPr>
        <w:t xml:space="preserve">Renewable </w:t>
      </w:r>
      <w:r w:rsidRPr="00B16E71">
        <w:rPr>
          <w:rFonts w:ascii="Calibri" w:hAnsi="Calibri" w:cs="Calibri"/>
          <w:i/>
          <w:iCs/>
          <w:color w:val="000000"/>
          <w:sz w:val="24"/>
        </w:rPr>
        <w:lastRenderedPageBreak/>
        <w:t>Energy</w:t>
      </w:r>
      <w:r w:rsidRPr="00B16E71">
        <w:rPr>
          <w:rFonts w:ascii="Calibri" w:hAnsi="Calibri" w:cs="Calibri"/>
          <w:color w:val="000000"/>
          <w:sz w:val="24"/>
        </w:rPr>
        <w:t xml:space="preserve">, </w:t>
      </w:r>
      <w:r w:rsidRPr="00B16E71">
        <w:rPr>
          <w:rFonts w:ascii="Calibri" w:hAnsi="Calibri" w:cs="Calibri"/>
          <w:i/>
          <w:iCs/>
          <w:color w:val="000000"/>
          <w:sz w:val="24"/>
        </w:rPr>
        <w:t>183</w:t>
      </w:r>
      <w:r w:rsidRPr="00B16E71">
        <w:rPr>
          <w:rFonts w:ascii="Calibri" w:hAnsi="Calibri" w:cs="Calibri"/>
          <w:color w:val="000000"/>
          <w:sz w:val="24"/>
        </w:rPr>
        <w:t>, 491–501. https://doi.org/10.1016/j.renene.2021.10.034</w:t>
      </w:r>
    </w:p>
    <w:p w14:paraId="640CFE17"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Sebastiani, A., Angelou, N., &amp; Peña, A. (2024). Wind turbine power curve modelling under wake conditions using measurements from a spinner-mounted lidar. </w:t>
      </w:r>
      <w:r w:rsidRPr="00B16E71">
        <w:rPr>
          <w:rFonts w:ascii="Calibri" w:hAnsi="Calibri" w:cs="Calibri"/>
          <w:i/>
          <w:iCs/>
          <w:color w:val="000000"/>
          <w:sz w:val="24"/>
        </w:rPr>
        <w:t>Applied Energy</w:t>
      </w:r>
      <w:r w:rsidRPr="00B16E71">
        <w:rPr>
          <w:rFonts w:ascii="Calibri" w:hAnsi="Calibri" w:cs="Calibri"/>
          <w:color w:val="000000"/>
          <w:sz w:val="24"/>
        </w:rPr>
        <w:t xml:space="preserve">, </w:t>
      </w:r>
      <w:r w:rsidRPr="00B16E71">
        <w:rPr>
          <w:rFonts w:ascii="Calibri" w:hAnsi="Calibri" w:cs="Calibri"/>
          <w:i/>
          <w:iCs/>
          <w:color w:val="000000"/>
          <w:sz w:val="24"/>
        </w:rPr>
        <w:t>364</w:t>
      </w:r>
      <w:r w:rsidRPr="00B16E71">
        <w:rPr>
          <w:rFonts w:ascii="Calibri" w:hAnsi="Calibri" w:cs="Calibri"/>
          <w:color w:val="000000"/>
          <w:sz w:val="24"/>
        </w:rPr>
        <w:t>, 122985. https://doi.org/10.1016/j.apenergy.2024.122985</w:t>
      </w:r>
    </w:p>
    <w:p w14:paraId="617C95A4"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Turbines—Part, W. (2005). 12-1: Power Performance Measurements of Electricity Producing Wind Turbines. </w:t>
      </w:r>
      <w:r w:rsidRPr="00B16E71">
        <w:rPr>
          <w:rFonts w:ascii="Calibri" w:hAnsi="Calibri" w:cs="Calibri"/>
          <w:i/>
          <w:iCs/>
          <w:color w:val="000000"/>
          <w:sz w:val="24"/>
        </w:rPr>
        <w:t>British Standard, IEC</w:t>
      </w:r>
      <w:r w:rsidRPr="00B16E71">
        <w:rPr>
          <w:rFonts w:ascii="Calibri" w:hAnsi="Calibri" w:cs="Calibri"/>
          <w:color w:val="000000"/>
          <w:sz w:val="24"/>
        </w:rPr>
        <w:t>, 61400–12.</w:t>
      </w:r>
    </w:p>
    <w:p w14:paraId="038593E4"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Verdone, A., Panella, M., De Santis, E., &amp; Rizzi, A. (2025). A review of solar and wind energy forecasting: from single-site to multi-site paradigm. </w:t>
      </w:r>
      <w:r w:rsidRPr="00B16E71">
        <w:rPr>
          <w:rFonts w:ascii="Calibri" w:hAnsi="Calibri" w:cs="Calibri"/>
          <w:i/>
          <w:iCs/>
          <w:color w:val="000000"/>
          <w:sz w:val="24"/>
        </w:rPr>
        <w:t>Applied Energy</w:t>
      </w:r>
      <w:r w:rsidRPr="00B16E71">
        <w:rPr>
          <w:rFonts w:ascii="Calibri" w:hAnsi="Calibri" w:cs="Calibri"/>
          <w:color w:val="000000"/>
          <w:sz w:val="24"/>
        </w:rPr>
        <w:t xml:space="preserve">, </w:t>
      </w:r>
      <w:r w:rsidRPr="00B16E71">
        <w:rPr>
          <w:rFonts w:ascii="Calibri" w:hAnsi="Calibri" w:cs="Calibri"/>
          <w:i/>
          <w:iCs/>
          <w:color w:val="000000"/>
          <w:sz w:val="24"/>
        </w:rPr>
        <w:t>392</w:t>
      </w:r>
      <w:r w:rsidRPr="00B16E71">
        <w:rPr>
          <w:rFonts w:ascii="Calibri" w:hAnsi="Calibri" w:cs="Calibri"/>
          <w:color w:val="000000"/>
          <w:sz w:val="24"/>
        </w:rPr>
        <w:t>, 126016. https://doi.org/10.1016/j.apenergy.2025.126016</w:t>
      </w:r>
    </w:p>
    <w:p w14:paraId="3687471A"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Wagner, R., Antoniou, I., Pedersen, S. M., Courtney, M. S., &amp; Jørgensen, H. E. (2009). The influence of the wind speed profile on wind turbine performance measurements. </w:t>
      </w:r>
      <w:r w:rsidRPr="00B16E71">
        <w:rPr>
          <w:rFonts w:ascii="Calibri" w:hAnsi="Calibri" w:cs="Calibri"/>
          <w:i/>
          <w:iCs/>
          <w:color w:val="000000"/>
          <w:sz w:val="24"/>
        </w:rPr>
        <w:t>Wind Energy</w:t>
      </w:r>
      <w:r w:rsidRPr="00B16E71">
        <w:rPr>
          <w:rFonts w:ascii="Calibri" w:hAnsi="Calibri" w:cs="Calibri"/>
          <w:color w:val="000000"/>
          <w:sz w:val="24"/>
        </w:rPr>
        <w:t xml:space="preserve">, </w:t>
      </w:r>
      <w:r w:rsidRPr="00B16E71">
        <w:rPr>
          <w:rFonts w:ascii="Calibri" w:hAnsi="Calibri" w:cs="Calibri"/>
          <w:i/>
          <w:iCs/>
          <w:color w:val="000000"/>
          <w:sz w:val="24"/>
        </w:rPr>
        <w:t>12</w:t>
      </w:r>
      <w:r w:rsidRPr="00B16E71">
        <w:rPr>
          <w:rFonts w:ascii="Calibri" w:hAnsi="Calibri" w:cs="Calibri"/>
          <w:color w:val="000000"/>
          <w:sz w:val="24"/>
        </w:rPr>
        <w:t>(4), 348–362. https://doi.org/10.1002/we.297</w:t>
      </w:r>
    </w:p>
    <w:p w14:paraId="7EBF8FE7"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Wharton, S., &amp; Lundquist, J. K. (2012). Atmospheric stability affects wind turbine power collection. </w:t>
      </w:r>
      <w:r w:rsidRPr="00B16E71">
        <w:rPr>
          <w:rFonts w:ascii="Calibri" w:hAnsi="Calibri" w:cs="Calibri"/>
          <w:i/>
          <w:iCs/>
          <w:color w:val="000000"/>
          <w:sz w:val="24"/>
        </w:rPr>
        <w:t>Environmental Research Letters</w:t>
      </w:r>
      <w:r w:rsidRPr="00B16E71">
        <w:rPr>
          <w:rFonts w:ascii="Calibri" w:hAnsi="Calibri" w:cs="Calibri"/>
          <w:color w:val="000000"/>
          <w:sz w:val="24"/>
        </w:rPr>
        <w:t xml:space="preserve">, </w:t>
      </w:r>
      <w:r w:rsidRPr="00B16E71">
        <w:rPr>
          <w:rFonts w:ascii="Calibri" w:hAnsi="Calibri" w:cs="Calibri"/>
          <w:i/>
          <w:iCs/>
          <w:color w:val="000000"/>
          <w:sz w:val="24"/>
        </w:rPr>
        <w:t>7</w:t>
      </w:r>
      <w:r w:rsidRPr="00B16E71">
        <w:rPr>
          <w:rFonts w:ascii="Calibri" w:hAnsi="Calibri" w:cs="Calibri"/>
          <w:color w:val="000000"/>
          <w:sz w:val="24"/>
        </w:rPr>
        <w:t>(1), 014005. https://doi.org/10.1088/1748-9326/7/1/014005</w:t>
      </w:r>
    </w:p>
    <w:p w14:paraId="16007A7F"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Ye, L., Zhao, Y., Zeng, C., &amp; Zhang, C. (2017). Short-term wind power prediction based on spatial model. </w:t>
      </w:r>
      <w:r w:rsidRPr="00B16E71">
        <w:rPr>
          <w:rFonts w:ascii="Calibri" w:hAnsi="Calibri" w:cs="Calibri"/>
          <w:i/>
          <w:iCs/>
          <w:color w:val="000000"/>
          <w:sz w:val="24"/>
        </w:rPr>
        <w:t>Renewable Energy</w:t>
      </w:r>
      <w:r w:rsidRPr="00B16E71">
        <w:rPr>
          <w:rFonts w:ascii="Calibri" w:hAnsi="Calibri" w:cs="Calibri"/>
          <w:color w:val="000000"/>
          <w:sz w:val="24"/>
        </w:rPr>
        <w:t xml:space="preserve">, </w:t>
      </w:r>
      <w:r w:rsidRPr="00B16E71">
        <w:rPr>
          <w:rFonts w:ascii="Calibri" w:hAnsi="Calibri" w:cs="Calibri"/>
          <w:i/>
          <w:iCs/>
          <w:color w:val="000000"/>
          <w:sz w:val="24"/>
        </w:rPr>
        <w:t>101</w:t>
      </w:r>
      <w:r w:rsidRPr="00B16E71">
        <w:rPr>
          <w:rFonts w:ascii="Calibri" w:hAnsi="Calibri" w:cs="Calibri"/>
          <w:color w:val="000000"/>
          <w:sz w:val="24"/>
        </w:rPr>
        <w:t>, 1067–1074. https://doi.org/10.1016/j.renene.2016.09.069</w:t>
      </w:r>
    </w:p>
    <w:p w14:paraId="2B680B11" w14:textId="77777777" w:rsidR="00B16E71" w:rsidRPr="00B16E71" w:rsidRDefault="00B16E71" w:rsidP="00B16E71">
      <w:pPr>
        <w:pStyle w:val="af4"/>
        <w:rPr>
          <w:rFonts w:ascii="Calibri" w:hAnsi="Calibri" w:cs="Calibri"/>
          <w:color w:val="000000"/>
          <w:sz w:val="24"/>
        </w:rPr>
      </w:pPr>
      <w:r w:rsidRPr="00B16E71">
        <w:rPr>
          <w:rFonts w:ascii="Calibri" w:hAnsi="Calibri" w:cs="Calibri"/>
          <w:color w:val="000000"/>
          <w:sz w:val="24"/>
        </w:rPr>
        <w:t xml:space="preserve">Zhang, Z., Lin, L., Gao, S., Wang, J., Zhao, H., &amp; Yu, H. (2025). A machine learning model for hub-height short-term wind speed prediction. </w:t>
      </w:r>
      <w:r w:rsidRPr="00B16E71">
        <w:rPr>
          <w:rFonts w:ascii="Calibri" w:hAnsi="Calibri" w:cs="Calibri"/>
          <w:i/>
          <w:iCs/>
          <w:color w:val="000000"/>
          <w:sz w:val="24"/>
        </w:rPr>
        <w:t xml:space="preserve">Nature </w:t>
      </w:r>
      <w:r w:rsidRPr="00B16E71">
        <w:rPr>
          <w:rFonts w:ascii="Calibri" w:hAnsi="Calibri" w:cs="Calibri"/>
          <w:i/>
          <w:iCs/>
          <w:color w:val="000000"/>
          <w:sz w:val="24"/>
        </w:rPr>
        <w:lastRenderedPageBreak/>
        <w:t>Communications</w:t>
      </w:r>
      <w:r w:rsidRPr="00B16E71">
        <w:rPr>
          <w:rFonts w:ascii="Calibri" w:hAnsi="Calibri" w:cs="Calibri"/>
          <w:color w:val="000000"/>
          <w:sz w:val="24"/>
        </w:rPr>
        <w:t xml:space="preserve">, </w:t>
      </w:r>
      <w:r w:rsidRPr="00B16E71">
        <w:rPr>
          <w:rFonts w:ascii="Calibri" w:hAnsi="Calibri" w:cs="Calibri"/>
          <w:i/>
          <w:iCs/>
          <w:color w:val="000000"/>
          <w:sz w:val="24"/>
        </w:rPr>
        <w:t>16</w:t>
      </w:r>
      <w:r w:rsidRPr="00B16E71">
        <w:rPr>
          <w:rFonts w:ascii="Calibri" w:hAnsi="Calibri" w:cs="Calibri"/>
          <w:color w:val="000000"/>
          <w:sz w:val="24"/>
        </w:rPr>
        <w:t>(1), 3195. https://doi.org/10.1038/s41467-025-58456-4</w:t>
      </w:r>
    </w:p>
    <w:p w14:paraId="5BF6DE4F" w14:textId="517D561A" w:rsidR="00EC1864" w:rsidRDefault="00EC1864" w:rsidP="00B16E71">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0"/>
      <w:bookmarkEnd w:id="1"/>
    </w:p>
    <w:sectPr w:rsidR="00EC1864" w:rsidSect="00DF62CA">
      <w:footerReference w:type="even" r:id="rId8"/>
      <w:footerReference w:type="default" r:id="rId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2EBD" w14:textId="77777777" w:rsidR="00C75448" w:rsidRDefault="00C75448" w:rsidP="007144ED">
      <w:pPr>
        <w:spacing w:after="0" w:line="240" w:lineRule="auto"/>
      </w:pPr>
      <w:r>
        <w:separator/>
      </w:r>
    </w:p>
  </w:endnote>
  <w:endnote w:type="continuationSeparator" w:id="0">
    <w:p w14:paraId="33E4E663" w14:textId="77777777" w:rsidR="00C75448" w:rsidRDefault="00C75448"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83C84" w14:textId="77777777" w:rsidR="00C75448" w:rsidRDefault="00C75448" w:rsidP="007144ED">
      <w:pPr>
        <w:spacing w:after="0" w:line="240" w:lineRule="auto"/>
      </w:pPr>
      <w:r>
        <w:separator/>
      </w:r>
    </w:p>
  </w:footnote>
  <w:footnote w:type="continuationSeparator" w:id="0">
    <w:p w14:paraId="4FA56FB5" w14:textId="77777777" w:rsidR="00C75448" w:rsidRDefault="00C75448"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3176D"/>
    <w:rsid w:val="0006189D"/>
    <w:rsid w:val="00061A68"/>
    <w:rsid w:val="00061B9A"/>
    <w:rsid w:val="00062514"/>
    <w:rsid w:val="00091910"/>
    <w:rsid w:val="000A7979"/>
    <w:rsid w:val="000B1D17"/>
    <w:rsid w:val="000B5C40"/>
    <w:rsid w:val="000C14DC"/>
    <w:rsid w:val="000C2457"/>
    <w:rsid w:val="000E1414"/>
    <w:rsid w:val="000F03A7"/>
    <w:rsid w:val="00131A13"/>
    <w:rsid w:val="00141881"/>
    <w:rsid w:val="001466B0"/>
    <w:rsid w:val="00161C2C"/>
    <w:rsid w:val="0016658F"/>
    <w:rsid w:val="00173643"/>
    <w:rsid w:val="0018194D"/>
    <w:rsid w:val="00191F33"/>
    <w:rsid w:val="001938B1"/>
    <w:rsid w:val="001A160B"/>
    <w:rsid w:val="001A3EEA"/>
    <w:rsid w:val="001A5216"/>
    <w:rsid w:val="001B2DB1"/>
    <w:rsid w:val="001D4C8D"/>
    <w:rsid w:val="001D61F8"/>
    <w:rsid w:val="001E6530"/>
    <w:rsid w:val="002013D5"/>
    <w:rsid w:val="00201916"/>
    <w:rsid w:val="00202400"/>
    <w:rsid w:val="00207993"/>
    <w:rsid w:val="002102C4"/>
    <w:rsid w:val="00211AD7"/>
    <w:rsid w:val="00217F0B"/>
    <w:rsid w:val="002267EB"/>
    <w:rsid w:val="00231F7C"/>
    <w:rsid w:val="0024501A"/>
    <w:rsid w:val="00267713"/>
    <w:rsid w:val="00271C64"/>
    <w:rsid w:val="00280274"/>
    <w:rsid w:val="00280414"/>
    <w:rsid w:val="002925DE"/>
    <w:rsid w:val="00296C53"/>
    <w:rsid w:val="00296D3E"/>
    <w:rsid w:val="002B7705"/>
    <w:rsid w:val="002C443F"/>
    <w:rsid w:val="002D002E"/>
    <w:rsid w:val="002D356C"/>
    <w:rsid w:val="002E4720"/>
    <w:rsid w:val="002E7183"/>
    <w:rsid w:val="002F46B3"/>
    <w:rsid w:val="00300A44"/>
    <w:rsid w:val="00311C0F"/>
    <w:rsid w:val="00311F01"/>
    <w:rsid w:val="00312DCB"/>
    <w:rsid w:val="00314C88"/>
    <w:rsid w:val="00324F8B"/>
    <w:rsid w:val="00357447"/>
    <w:rsid w:val="00360724"/>
    <w:rsid w:val="0038664E"/>
    <w:rsid w:val="00391FA4"/>
    <w:rsid w:val="00393710"/>
    <w:rsid w:val="00394449"/>
    <w:rsid w:val="003978C1"/>
    <w:rsid w:val="003B6D68"/>
    <w:rsid w:val="003C3BBD"/>
    <w:rsid w:val="003C7458"/>
    <w:rsid w:val="003D25A2"/>
    <w:rsid w:val="003E4261"/>
    <w:rsid w:val="004005D9"/>
    <w:rsid w:val="00401647"/>
    <w:rsid w:val="00413D21"/>
    <w:rsid w:val="00414955"/>
    <w:rsid w:val="00414F1D"/>
    <w:rsid w:val="004474AF"/>
    <w:rsid w:val="00455E8F"/>
    <w:rsid w:val="00456E4F"/>
    <w:rsid w:val="00464511"/>
    <w:rsid w:val="00465803"/>
    <w:rsid w:val="0047082B"/>
    <w:rsid w:val="00484DD5"/>
    <w:rsid w:val="004872BD"/>
    <w:rsid w:val="00494807"/>
    <w:rsid w:val="00494AA6"/>
    <w:rsid w:val="00497CE5"/>
    <w:rsid w:val="004B1E8D"/>
    <w:rsid w:val="004C2EC3"/>
    <w:rsid w:val="004C727A"/>
    <w:rsid w:val="004D27B3"/>
    <w:rsid w:val="004D2C15"/>
    <w:rsid w:val="004E2D6A"/>
    <w:rsid w:val="004F54CC"/>
    <w:rsid w:val="00504287"/>
    <w:rsid w:val="00506216"/>
    <w:rsid w:val="005547DB"/>
    <w:rsid w:val="005556C2"/>
    <w:rsid w:val="00557AD4"/>
    <w:rsid w:val="00561CD6"/>
    <w:rsid w:val="005675A6"/>
    <w:rsid w:val="00587EF3"/>
    <w:rsid w:val="0059482B"/>
    <w:rsid w:val="005A0788"/>
    <w:rsid w:val="005B0671"/>
    <w:rsid w:val="005B3BF3"/>
    <w:rsid w:val="005C1D26"/>
    <w:rsid w:val="005C27DB"/>
    <w:rsid w:val="005C6676"/>
    <w:rsid w:val="005E11AE"/>
    <w:rsid w:val="005E7115"/>
    <w:rsid w:val="005F024E"/>
    <w:rsid w:val="005F1559"/>
    <w:rsid w:val="006040E9"/>
    <w:rsid w:val="006240F5"/>
    <w:rsid w:val="00624575"/>
    <w:rsid w:val="00637236"/>
    <w:rsid w:val="00644F6A"/>
    <w:rsid w:val="00661A31"/>
    <w:rsid w:val="00670753"/>
    <w:rsid w:val="00671094"/>
    <w:rsid w:val="00693D07"/>
    <w:rsid w:val="006A1ECD"/>
    <w:rsid w:val="006A1F5E"/>
    <w:rsid w:val="006A6089"/>
    <w:rsid w:val="006B018D"/>
    <w:rsid w:val="006B3994"/>
    <w:rsid w:val="006B4576"/>
    <w:rsid w:val="006C77C9"/>
    <w:rsid w:val="006D7847"/>
    <w:rsid w:val="006E3570"/>
    <w:rsid w:val="00710F66"/>
    <w:rsid w:val="007144ED"/>
    <w:rsid w:val="00720ACE"/>
    <w:rsid w:val="00725EBE"/>
    <w:rsid w:val="007271F2"/>
    <w:rsid w:val="00731DBD"/>
    <w:rsid w:val="00737D09"/>
    <w:rsid w:val="00741D7E"/>
    <w:rsid w:val="007423BF"/>
    <w:rsid w:val="00747630"/>
    <w:rsid w:val="00751EA8"/>
    <w:rsid w:val="00752CC5"/>
    <w:rsid w:val="00753F8E"/>
    <w:rsid w:val="0075458A"/>
    <w:rsid w:val="007608F0"/>
    <w:rsid w:val="00770DAF"/>
    <w:rsid w:val="0077162F"/>
    <w:rsid w:val="00776B57"/>
    <w:rsid w:val="007948C0"/>
    <w:rsid w:val="007A4C39"/>
    <w:rsid w:val="007B5479"/>
    <w:rsid w:val="007D77AD"/>
    <w:rsid w:val="007E4906"/>
    <w:rsid w:val="007E6813"/>
    <w:rsid w:val="007E68DE"/>
    <w:rsid w:val="007E7590"/>
    <w:rsid w:val="007F610F"/>
    <w:rsid w:val="00804E7B"/>
    <w:rsid w:val="00827936"/>
    <w:rsid w:val="00831398"/>
    <w:rsid w:val="00835E9A"/>
    <w:rsid w:val="00837AA6"/>
    <w:rsid w:val="00837D1F"/>
    <w:rsid w:val="008408DA"/>
    <w:rsid w:val="008472B9"/>
    <w:rsid w:val="00864713"/>
    <w:rsid w:val="00864987"/>
    <w:rsid w:val="008725F4"/>
    <w:rsid w:val="00872C24"/>
    <w:rsid w:val="00875072"/>
    <w:rsid w:val="00883857"/>
    <w:rsid w:val="00894ABC"/>
    <w:rsid w:val="008A0A30"/>
    <w:rsid w:val="008B1AE0"/>
    <w:rsid w:val="008B53B2"/>
    <w:rsid w:val="008B5D46"/>
    <w:rsid w:val="008C5B08"/>
    <w:rsid w:val="008D17BA"/>
    <w:rsid w:val="008D7EB9"/>
    <w:rsid w:val="008E53F0"/>
    <w:rsid w:val="008F41D1"/>
    <w:rsid w:val="008F4840"/>
    <w:rsid w:val="00904287"/>
    <w:rsid w:val="0090450E"/>
    <w:rsid w:val="00920844"/>
    <w:rsid w:val="009347C5"/>
    <w:rsid w:val="00944A8F"/>
    <w:rsid w:val="00951A0C"/>
    <w:rsid w:val="00952E75"/>
    <w:rsid w:val="00956B05"/>
    <w:rsid w:val="00962508"/>
    <w:rsid w:val="00963061"/>
    <w:rsid w:val="009639FC"/>
    <w:rsid w:val="00964D19"/>
    <w:rsid w:val="00966ABF"/>
    <w:rsid w:val="009720F7"/>
    <w:rsid w:val="00976362"/>
    <w:rsid w:val="009773D7"/>
    <w:rsid w:val="009A27C0"/>
    <w:rsid w:val="009A4D96"/>
    <w:rsid w:val="009B0331"/>
    <w:rsid w:val="009B05F1"/>
    <w:rsid w:val="009D0D98"/>
    <w:rsid w:val="009E1E35"/>
    <w:rsid w:val="009E2FA0"/>
    <w:rsid w:val="009E302F"/>
    <w:rsid w:val="009F3B97"/>
    <w:rsid w:val="00A03F0B"/>
    <w:rsid w:val="00A15D63"/>
    <w:rsid w:val="00A2440F"/>
    <w:rsid w:val="00A27232"/>
    <w:rsid w:val="00A30197"/>
    <w:rsid w:val="00A3480A"/>
    <w:rsid w:val="00A43927"/>
    <w:rsid w:val="00A44840"/>
    <w:rsid w:val="00A64427"/>
    <w:rsid w:val="00A64544"/>
    <w:rsid w:val="00A66547"/>
    <w:rsid w:val="00A743E1"/>
    <w:rsid w:val="00A83D32"/>
    <w:rsid w:val="00A90D9F"/>
    <w:rsid w:val="00A943FC"/>
    <w:rsid w:val="00A951CA"/>
    <w:rsid w:val="00AA3CB4"/>
    <w:rsid w:val="00AB5DCA"/>
    <w:rsid w:val="00AB6D95"/>
    <w:rsid w:val="00AC5681"/>
    <w:rsid w:val="00AC6665"/>
    <w:rsid w:val="00AD026C"/>
    <w:rsid w:val="00AD1AC0"/>
    <w:rsid w:val="00AE5D01"/>
    <w:rsid w:val="00B16E71"/>
    <w:rsid w:val="00B20D46"/>
    <w:rsid w:val="00B20EFC"/>
    <w:rsid w:val="00B256EC"/>
    <w:rsid w:val="00B36011"/>
    <w:rsid w:val="00B638D4"/>
    <w:rsid w:val="00B6558A"/>
    <w:rsid w:val="00B80E73"/>
    <w:rsid w:val="00B8410F"/>
    <w:rsid w:val="00B85209"/>
    <w:rsid w:val="00B9423F"/>
    <w:rsid w:val="00B94970"/>
    <w:rsid w:val="00BB6E84"/>
    <w:rsid w:val="00BE403F"/>
    <w:rsid w:val="00C116B2"/>
    <w:rsid w:val="00C20216"/>
    <w:rsid w:val="00C214A3"/>
    <w:rsid w:val="00C41424"/>
    <w:rsid w:val="00C426AF"/>
    <w:rsid w:val="00C44004"/>
    <w:rsid w:val="00C6642B"/>
    <w:rsid w:val="00C73287"/>
    <w:rsid w:val="00C75448"/>
    <w:rsid w:val="00CA0126"/>
    <w:rsid w:val="00CB4D34"/>
    <w:rsid w:val="00CC3718"/>
    <w:rsid w:val="00CC6223"/>
    <w:rsid w:val="00CD01C7"/>
    <w:rsid w:val="00CD2737"/>
    <w:rsid w:val="00CE0F32"/>
    <w:rsid w:val="00CF5AF3"/>
    <w:rsid w:val="00D02340"/>
    <w:rsid w:val="00D25A88"/>
    <w:rsid w:val="00D30FC9"/>
    <w:rsid w:val="00D36921"/>
    <w:rsid w:val="00D47F7E"/>
    <w:rsid w:val="00D558CB"/>
    <w:rsid w:val="00D64AEB"/>
    <w:rsid w:val="00D66B96"/>
    <w:rsid w:val="00D750BB"/>
    <w:rsid w:val="00D8544A"/>
    <w:rsid w:val="00D856BF"/>
    <w:rsid w:val="00D91BCE"/>
    <w:rsid w:val="00D94764"/>
    <w:rsid w:val="00DB0D6C"/>
    <w:rsid w:val="00DB509B"/>
    <w:rsid w:val="00DB5748"/>
    <w:rsid w:val="00DB748A"/>
    <w:rsid w:val="00DC7A4A"/>
    <w:rsid w:val="00DD5737"/>
    <w:rsid w:val="00DE1F37"/>
    <w:rsid w:val="00DE59B6"/>
    <w:rsid w:val="00DF62CA"/>
    <w:rsid w:val="00E009D6"/>
    <w:rsid w:val="00E02581"/>
    <w:rsid w:val="00E0450D"/>
    <w:rsid w:val="00E179CE"/>
    <w:rsid w:val="00E25927"/>
    <w:rsid w:val="00E30FB8"/>
    <w:rsid w:val="00E4496B"/>
    <w:rsid w:val="00E658F8"/>
    <w:rsid w:val="00E7736F"/>
    <w:rsid w:val="00EA5ED1"/>
    <w:rsid w:val="00EB7FBA"/>
    <w:rsid w:val="00EC1864"/>
    <w:rsid w:val="00EC533F"/>
    <w:rsid w:val="00EC6998"/>
    <w:rsid w:val="00ED3DB5"/>
    <w:rsid w:val="00EF1991"/>
    <w:rsid w:val="00F00A61"/>
    <w:rsid w:val="00F0412D"/>
    <w:rsid w:val="00F122D8"/>
    <w:rsid w:val="00F165DA"/>
    <w:rsid w:val="00F22794"/>
    <w:rsid w:val="00F24EC8"/>
    <w:rsid w:val="00F30B53"/>
    <w:rsid w:val="00F425DD"/>
    <w:rsid w:val="00F529D3"/>
    <w:rsid w:val="00F5556A"/>
    <w:rsid w:val="00F55A64"/>
    <w:rsid w:val="00F61B56"/>
    <w:rsid w:val="00F6572B"/>
    <w:rsid w:val="00F766B5"/>
    <w:rsid w:val="00F844AA"/>
    <w:rsid w:val="00FA43BD"/>
    <w:rsid w:val="00FA74E8"/>
    <w:rsid w:val="00FB090F"/>
    <w:rsid w:val="00FC4CAC"/>
    <w:rsid w:val="00FD6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115"/>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10703</Words>
  <Characters>61012</Characters>
  <Application>Microsoft Office Word</Application>
  <DocSecurity>0</DocSecurity>
  <Lines>508</Lines>
  <Paragraphs>143</Paragraphs>
  <ScaleCrop>false</ScaleCrop>
  <Company/>
  <LinksUpToDate>false</LinksUpToDate>
  <CharactersWithSpaces>71572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14</cp:revision>
  <dcterms:created xsi:type="dcterms:W3CDTF">2025-11-30T12:31:00Z</dcterms:created>
  <dcterms:modified xsi:type="dcterms:W3CDTF">2025-11-30T12:58:00Z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id="r6u13sSO"/&gt;&lt;style id="http://www.zotero.org/styles/american-geophysical-union" hasBibliography="1" bibliographyStyleHasBeenSet="1"/&gt;&lt;prefs&gt;&lt;pref name="fieldType" value="Field"/&gt;&lt;/prefs&gt;&lt;/data&gt;</vt:lpwstr>
  </property>
</Properties>
</file>