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20A68F29" w:rsidR="00391FA4" w:rsidRPr="00391FA4" w:rsidRDefault="00DB748A" w:rsidP="005E7115">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r w:rsidRPr="00DB748A">
        <w:rPr>
          <w:rFonts w:ascii="Calibri" w:eastAsia="宋体" w:hAnsi="Calibri" w:cs="Calibri"/>
          <w:color w:val="000000"/>
          <w:kern w:val="0"/>
          <w:sz w:val="28"/>
          <w:szCs w:val="28"/>
          <w14:ligatures w14:val="none"/>
        </w:rPr>
        <w:t>Multi-Height and Flow-Regime-Dependent Inputs for Day-Ahead Wind Farm Power Forecasting</w:t>
      </w:r>
    </w:p>
    <w:p w14:paraId="5B071989" w14:textId="33CD6B22" w:rsidR="00394449" w:rsidRDefault="001A3EEA"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R</w:t>
      </w:r>
      <w:r w:rsidR="00837D1F">
        <w:rPr>
          <w:rFonts w:ascii="Calibri" w:eastAsia="宋体" w:hAnsi="Calibri" w:cs="Calibri" w:hint="eastAsia"/>
          <w:color w:val="000000"/>
          <w:kern w:val="0"/>
          <w:sz w:val="24"/>
          <w14:ligatures w14:val="none"/>
        </w:rPr>
        <w:t>e</w:t>
      </w:r>
      <w:r w:rsidR="00837D1F">
        <w:rPr>
          <w:rFonts w:ascii="Calibri" w:eastAsia="宋体" w:hAnsi="Calibri" w:cs="Calibri"/>
          <w:color w:val="000000"/>
          <w:kern w:val="0"/>
          <w:sz w:val="24"/>
          <w14:ligatures w14:val="none"/>
        </w:rPr>
        <w:t>cent 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3"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placed disproportionate emphasis on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837D1F">
        <w:rPr>
          <w:rFonts w:ascii="Calibri" w:eastAsia="宋体" w:hAnsi="Calibri" w:cs="Calibri"/>
          <w:color w:val="000000"/>
          <w:kern w:val="0"/>
          <w:sz w:val="24"/>
          <w14:ligatures w14:val="none"/>
        </w:rPr>
        <w:t xml:space="preserve"> </w:t>
      </w:r>
      <w:r w:rsidR="00837D1F" w:rsidRPr="00837D1F">
        <w:rPr>
          <w:rFonts w:ascii="Calibri" w:eastAsia="宋体" w:hAnsi="Calibri" w:cs="Calibri"/>
          <w:color w:val="000000"/>
          <w:kern w:val="0"/>
          <w:sz w:val="24"/>
          <w14:ligatures w14:val="none"/>
        </w:rPr>
        <w:t>in model-driven studies</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3"/>
    </w:p>
    <w:p w14:paraId="172F2C37" w14:textId="748CE824" w:rsidR="00710F66" w:rsidRDefault="005F024E" w:rsidP="00644F6A">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performance can be characterized by a single </w:t>
      </w:r>
      <w:r w:rsidR="00B16E71">
        <w:rPr>
          <w:rFonts w:ascii="Calibri" w:eastAsia="宋体" w:hAnsi="Calibri" w:cs="Calibri"/>
          <w:color w:val="000000"/>
          <w:kern w:val="0"/>
          <w:sz w:val="24"/>
          <w14:ligatures w14:val="none"/>
        </w:rPr>
        <w:t>hub</w:t>
      </w:r>
      <w:r w:rsidR="00F425DD" w:rsidRPr="00F425DD">
        <w:rPr>
          <w:rFonts w:ascii="Calibri" w:eastAsia="宋体" w:hAnsi="Calibri" w:cs="Calibri"/>
          <w:color w:val="000000"/>
          <w:kern w:val="0"/>
          <w:sz w:val="24"/>
          <w14:ligatures w14:val="none"/>
        </w:rPr>
        <w:t xml:space="preserve"> height</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(Chen &amp; Xu, 2022)</w:t>
      </w:r>
      <w:r w:rsidR="00B16E71">
        <w:rPr>
          <w:rFonts w:ascii="Calibri" w:eastAsia="宋体" w:hAnsi="Calibri" w:cs="Calibri"/>
          <w:color w:val="000000"/>
          <w:kern w:val="0"/>
          <w:sz w:val="24"/>
          <w14:ligatures w14:val="none"/>
        </w:rPr>
        <w:fldChar w:fldCharType="end"/>
      </w:r>
      <w:r w:rsidR="00207993">
        <w:rPr>
          <w:rFonts w:ascii="Calibri" w:eastAsia="宋体" w:hAnsi="Calibri" w:cs="Calibri" w:hint="eastAsia"/>
          <w:color w:val="000000"/>
          <w:kern w:val="0"/>
          <w:sz w:val="24"/>
          <w14:ligatures w14:val="none"/>
        </w:rPr>
        <w:t xml:space="preserve">. </w:t>
      </w:r>
      <w:r w:rsidR="006A1ECD" w:rsidRPr="004B1E8D">
        <w:rPr>
          <w:rFonts w:ascii="Calibri" w:eastAsia="宋体" w:hAnsi="Calibri" w:cs="Calibri"/>
          <w:color w:val="000000"/>
          <w:kern w:val="0"/>
          <w:sz w:val="24"/>
          <w14:ligatures w14:val="none"/>
        </w:rPr>
        <w:t>Similar behavior appears in other wind farm observations</w:t>
      </w:r>
      <w:r w:rsidR="006A1ECD" w:rsidRPr="00BE403F">
        <w:rPr>
          <w:rFonts w:ascii="Calibri" w:eastAsia="宋体" w:hAnsi="Calibri" w:cs="Calibri"/>
          <w:color w:val="000000"/>
          <w:kern w:val="0"/>
          <w:sz w:val="24"/>
          <w14:ligatures w14:val="none"/>
        </w:rPr>
        <w:t xml:space="preserve"> </w:t>
      </w:r>
      <w:r w:rsidR="006A1ECD">
        <w:rPr>
          <w:rFonts w:ascii="Calibri" w:eastAsia="宋体" w:hAnsi="Calibri" w:cs="Calibri"/>
          <w:color w:val="000000"/>
          <w:kern w:val="0"/>
          <w:sz w:val="24"/>
          <w14:ligatures w14:val="none"/>
        </w:rPr>
        <w:fldChar w:fldCharType="begin"/>
      </w:r>
      <w:r w:rsidR="006A1ECD">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6A1ECD">
        <w:rPr>
          <w:rFonts w:ascii="Calibri" w:eastAsia="宋体" w:hAnsi="Calibri" w:cs="Calibri"/>
          <w:color w:val="000000"/>
          <w:kern w:val="0"/>
          <w:sz w:val="24"/>
          <w14:ligatures w14:val="none"/>
        </w:rPr>
        <w:fldChar w:fldCharType="separate"/>
      </w:r>
      <w:r w:rsidR="006A1ECD">
        <w:rPr>
          <w:rFonts w:ascii="Calibri" w:eastAsia="宋体" w:hAnsi="Calibri" w:cs="Calibri"/>
          <w:noProof/>
          <w:color w:val="000000"/>
          <w:kern w:val="0"/>
          <w:sz w:val="24"/>
          <w14:ligatures w14:val="none"/>
        </w:rPr>
        <w:t>(Rubanenko et al., 2020; Chen &amp; Xu, 2022)</w:t>
      </w:r>
      <w:r w:rsidR="006A1ECD">
        <w:rPr>
          <w:rFonts w:ascii="Calibri" w:eastAsia="宋体" w:hAnsi="Calibri" w:cs="Calibri"/>
          <w:color w:val="000000"/>
          <w:kern w:val="0"/>
          <w:sz w:val="24"/>
          <w14:ligatures w14:val="none"/>
        </w:rPr>
        <w:fldChar w:fldCharType="end"/>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w:t>
      </w:r>
      <w:r w:rsidR="001B2DB1" w:rsidRPr="00F425DD">
        <w:rPr>
          <w:rFonts w:ascii="Calibri" w:eastAsia="宋体" w:hAnsi="Calibri" w:cs="Calibri"/>
          <w:color w:val="000000"/>
          <w:kern w:val="0"/>
          <w:sz w:val="24"/>
          <w14:ligatures w14:val="none"/>
        </w:rPr>
        <w:lastRenderedPageBreak/>
        <w:t>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 at </w:t>
      </w:r>
      <w:r w:rsidR="001B2DB1" w:rsidRPr="00F425DD">
        <w:rPr>
          <w:rFonts w:ascii="Calibri" w:eastAsia="宋体" w:hAnsi="Calibri" w:cs="Calibri"/>
          <w:color w:val="000000"/>
          <w:kern w:val="0"/>
          <w:sz w:val="24"/>
          <w14:ligatures w14:val="none"/>
        </w:rPr>
        <w:t>different heights capture the atmospheric forcing relevant to farm power.</w:t>
      </w:r>
    </w:p>
    <w:p w14:paraId="49934F00" w14:textId="45881E3F" w:rsidR="007271F2" w:rsidRDefault="008725F4"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4"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Early single-turbine studies demonstrated that the rotor-equivalent wind speed (REWS)—the swept-area–integrated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4"/>
      <w:r w:rsidR="00872C24" w:rsidRPr="00872C24">
        <w:rPr>
          <w:rFonts w:ascii="Calibri" w:eastAsia="宋体" w:hAnsi="Calibri" w:cs="Calibri"/>
          <w:color w:val="000000"/>
          <w:kern w:val="0"/>
          <w:sz w:val="24"/>
          <w14:ligatures w14:val="none"/>
        </w:rPr>
        <w:t>These findings suggest that turbine performance depends on swept-area related wind profile structure, stability, and turbulence, not merely on the wind speed at a single fixed height such as hub height.</w:t>
      </w:r>
      <w:r w:rsidR="00856693">
        <w:rPr>
          <w:rFonts w:hint="eastAsia"/>
        </w:rPr>
        <w:t xml:space="preserve"> </w:t>
      </w:r>
      <w:r w:rsidR="00856693" w:rsidRPr="00856693">
        <w:rPr>
          <w:rFonts w:ascii="Calibri" w:eastAsia="宋体" w:hAnsi="Calibri" w:cs="Calibri"/>
          <w:color w:val="000000"/>
          <w:kern w:val="0"/>
          <w:sz w:val="24"/>
          <w14:ligatures w14:val="none"/>
        </w:rPr>
        <w:t xml:space="preserve">Even in farm-wide studies, </w:t>
      </w:r>
      <w:bookmarkStart w:id="5" w:name="_Hlk215433751"/>
      <w:r w:rsidR="00856693" w:rsidRPr="00856693">
        <w:rPr>
          <w:rFonts w:ascii="Calibri" w:eastAsia="宋体" w:hAnsi="Calibri" w:cs="Calibri"/>
          <w:color w:val="000000"/>
          <w:kern w:val="0"/>
          <w:sz w:val="24"/>
          <w14:ligatures w14:val="none"/>
        </w:rPr>
        <w:t xml:space="preserve">Sasser </w:t>
      </w:r>
      <w:bookmarkEnd w:id="5"/>
      <w:r w:rsidR="00856693" w:rsidRPr="00856693">
        <w:rPr>
          <w:rFonts w:ascii="Calibri" w:eastAsia="宋体" w:hAnsi="Calibri" w:cs="Calibri"/>
          <w:color w:val="000000"/>
          <w:kern w:val="0"/>
          <w:sz w:val="24"/>
          <w14:ligatures w14:val="none"/>
        </w:rPr>
        <w:t xml:space="preserve">et al. </w:t>
      </w:r>
      <w:r w:rsidR="00856693">
        <w:rPr>
          <w:rFonts w:ascii="Calibri" w:eastAsia="宋体" w:hAnsi="Calibri" w:cs="Calibri"/>
          <w:color w:val="000000"/>
          <w:kern w:val="0"/>
          <w:sz w:val="24"/>
          <w14:ligatures w14:val="none"/>
        </w:rPr>
        <w:fldChar w:fldCharType="begin"/>
      </w:r>
      <w:r w:rsidR="00856693">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ed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56693">
        <w:rPr>
          <w:rFonts w:ascii="Calibri" w:eastAsia="宋体" w:hAnsi="Calibri" w:cs="Calibri"/>
          <w:color w:val="000000"/>
          <w:kern w:val="0"/>
          <w:sz w:val="24"/>
          <w14:ligatures w14:val="none"/>
        </w:rPr>
        <w:fldChar w:fldCharType="separate"/>
      </w:r>
      <w:r w:rsidR="00856693">
        <w:rPr>
          <w:rFonts w:ascii="Calibri" w:eastAsia="宋体" w:hAnsi="Calibri" w:cs="Calibri"/>
          <w:noProof/>
          <w:color w:val="000000"/>
          <w:kern w:val="0"/>
          <w:sz w:val="24"/>
          <w14:ligatures w14:val="none"/>
        </w:rPr>
        <w:t>(2022)</w:t>
      </w:r>
      <w:r w:rsidR="00856693">
        <w:rPr>
          <w:rFonts w:ascii="Calibri" w:eastAsia="宋体" w:hAnsi="Calibri" w:cs="Calibri"/>
          <w:color w:val="000000"/>
          <w:kern w:val="0"/>
          <w:sz w:val="24"/>
          <w14:ligatures w14:val="none"/>
        </w:rPr>
        <w:fldChar w:fldCharType="end"/>
      </w:r>
      <w:r w:rsidR="00856693" w:rsidRPr="00856693">
        <w:rPr>
          <w:rFonts w:ascii="Calibri" w:eastAsia="宋体" w:hAnsi="Calibri" w:cs="Calibri"/>
          <w:color w:val="000000"/>
          <w:kern w:val="0"/>
          <w:sz w:val="24"/>
          <w14:ligatures w14:val="none"/>
        </w:rPr>
        <w:t xml:space="preserve"> confirmed the advantages of REWS when combined with lapse-rate information, underscoring the necessity of vertical profile data in operational contexts.</w:t>
      </w:r>
    </w:p>
    <w:p w14:paraId="6CEF1ADB" w14:textId="07AC0694" w:rsidR="00BE403F" w:rsidRDefault="00630154"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630154">
        <w:rPr>
          <w:rFonts w:ascii="Calibri" w:eastAsia="宋体" w:hAnsi="Calibri" w:cs="Calibri"/>
          <w:color w:val="000000"/>
          <w:kern w:val="0"/>
          <w:sz w:val="24"/>
          <w14:ligatures w14:val="none"/>
        </w:rPr>
        <w:t>Extending these physical insights to operational wind farms introduces significant observational complexity due to turbine wake interactions and the resultant flow regimes.</w:t>
      </w:r>
      <w:r w:rsidR="002F721D" w:rsidRPr="002F721D">
        <w:t xml:space="preserve"> </w:t>
      </w:r>
      <w:r w:rsidR="002F721D" w:rsidRPr="002F721D">
        <w:rPr>
          <w:rFonts w:ascii="Calibri" w:eastAsia="宋体" w:hAnsi="Calibri" w:cs="Calibri"/>
          <w:color w:val="000000"/>
          <w:kern w:val="0"/>
          <w:sz w:val="24"/>
          <w14:ligatures w14:val="none"/>
        </w:rPr>
        <w:t xml:space="preserve">Seminal measurements showed that wakes cause 10–20% power losses and elevate turbulence intensity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960A35">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of</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the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art models. Observed power losses due solely to wakes are approximately 10% on average. Thes</w:instrText>
      </w:r>
      <w:r w:rsidR="00960A35">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960A35">
        <w:rPr>
          <w:rFonts w:ascii="Calibri" w:eastAsia="宋体" w:hAnsi="Calibri" w:cs="Calibri" w:hint="eastAsia"/>
          <w:color w:val="000000"/>
          <w:kern w:val="0"/>
          <w:sz w:val="24"/>
          <w14:ligatures w14:val="none"/>
        </w:rPr>
        <w:instrText>:"M. N."},{"family":"Pryor","given":"S. C."},{"family":"Rethore","given":"P.</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960A35">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(Barthelmie et al., 2007; Feroz et al., 2020)</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 creating two distinct, co-existing physical states: free-stream and wake-influenced flow.</w:t>
      </w:r>
      <w:r w:rsidR="002F721D" w:rsidRPr="00BE403F">
        <w:rPr>
          <w:rFonts w:ascii="Calibri" w:eastAsia="宋体" w:hAnsi="Calibri" w:cs="Calibri"/>
          <w:color w:val="000000"/>
          <w:kern w:val="0"/>
          <w:sz w:val="24"/>
          <w14:ligatures w14:val="none"/>
        </w:rPr>
        <w:t xml:space="preserve"> </w:t>
      </w:r>
      <w:r w:rsidR="002F721D" w:rsidRPr="002F721D">
        <w:rPr>
          <w:rFonts w:ascii="Calibri" w:eastAsia="宋体" w:hAnsi="Calibri" w:cs="Calibri"/>
          <w:color w:val="000000"/>
          <w:kern w:val="0"/>
          <w:sz w:val="24"/>
          <w14:ligatures w14:val="none"/>
        </w:rPr>
        <w:t>This spatial heterogeneity means that the physical relevance of atmospheric forcing shifts dramatically across the farm.</w:t>
      </w:r>
      <w:r w:rsidR="002F721D" w:rsidRPr="002F721D">
        <w:t xml:space="preserve"> </w:t>
      </w:r>
      <w:r w:rsidR="002F721D" w:rsidRPr="002F721D">
        <w:rPr>
          <w:rFonts w:ascii="Calibri" w:eastAsia="宋体" w:hAnsi="Calibri" w:cs="Calibri"/>
          <w:color w:val="000000"/>
          <w:kern w:val="0"/>
          <w:sz w:val="24"/>
          <w14:ligatures w14:val="none"/>
        </w:rPr>
        <w:t>For instance,</w:t>
      </w:r>
      <w:r w:rsidR="00BE403F" w:rsidRPr="00BE403F">
        <w:rPr>
          <w:rFonts w:ascii="Calibri" w:eastAsia="宋体" w:hAnsi="Calibri" w:cs="Calibri"/>
          <w:color w:val="000000"/>
          <w:kern w:val="0"/>
          <w:sz w:val="24"/>
          <w14:ligatures w14:val="none"/>
        </w:rPr>
        <w:t xml:space="preserve"> Cutler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02340">
        <w:rPr>
          <w:rFonts w:ascii="Calibri" w:eastAsia="宋体" w:hAnsi="Calibri" w:cs="Calibri" w:hint="eastAsia"/>
          <w:color w:val="000000"/>
          <w:kern w:val="0"/>
          <w:sz w:val="24"/>
          <w14:ligatures w14:val="none"/>
        </w:rPr>
        <w:instrText>,"source":"DOI.org (Crossref)","title":"Using nacelle</w:instrText>
      </w:r>
      <w:r w:rsidR="00D02340">
        <w:rPr>
          <w:rFonts w:ascii="Calibri" w:eastAsia="宋体" w:hAnsi="Calibri" w:cs="Calibri" w:hint="eastAsia"/>
          <w:color w:val="000000"/>
          <w:kern w:val="0"/>
          <w:sz w:val="24"/>
          <w14:ligatures w14:val="none"/>
        </w:rPr>
        <w:instrText>‐</w:instrText>
      </w:r>
      <w:r w:rsidR="00D02340">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02340">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(2012)</w:t>
      </w:r>
      <w:r w:rsidR="00D02340">
        <w:rPr>
          <w:rFonts w:ascii="Calibri" w:eastAsia="宋体" w:hAnsi="Calibri" w:cs="Calibri"/>
          <w:color w:val="000000"/>
          <w:kern w:val="0"/>
          <w:sz w:val="24"/>
          <w14:ligatures w14:val="none"/>
        </w:rPr>
        <w:fldChar w:fldCharType="end"/>
      </w:r>
      <w:r w:rsidR="00BE403F" w:rsidRPr="00BE403F">
        <w:rPr>
          <w:rFonts w:ascii="Calibri" w:eastAsia="宋体" w:hAnsi="Calibri" w:cs="Calibri"/>
          <w:color w:val="000000"/>
          <w:kern w:val="0"/>
          <w:sz w:val="24"/>
          <w14:ligatures w14:val="none"/>
        </w:rPr>
        <w:t xml:space="preserve"> found nacelle-level averaged winds more representative of farm-wide power than tower-based hub-height observations.</w:t>
      </w:r>
      <w:r w:rsidR="002F721D" w:rsidRPr="002F721D">
        <w:t xml:space="preserve"> </w:t>
      </w:r>
      <w:r w:rsidR="002F721D" w:rsidRPr="002F721D">
        <w:rPr>
          <w:rFonts w:ascii="Calibri" w:eastAsia="宋体" w:hAnsi="Calibri" w:cs="Calibri"/>
          <w:color w:val="000000"/>
          <w:kern w:val="0"/>
          <w:sz w:val="24"/>
          <w14:ligatures w14:val="none"/>
        </w:rPr>
        <w:t xml:space="preserve">Consistent with this, recent explainable AI studies consistently ranked turbulent variables (turbulent kinetic energy and turbulence intensity) directly behind wind speed in predictive importance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 Kim &amp; Kim, 2023)</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w:t>
      </w:r>
      <w:r w:rsidR="002F721D" w:rsidRPr="002F721D">
        <w:t xml:space="preserve"> </w:t>
      </w:r>
      <w:r w:rsidR="002F721D" w:rsidRPr="002F721D">
        <w:rPr>
          <w:rFonts w:ascii="Calibri" w:eastAsia="宋体" w:hAnsi="Calibri" w:cs="Calibri"/>
          <w:color w:val="000000"/>
          <w:kern w:val="0"/>
          <w:sz w:val="24"/>
          <w14:ligatures w14:val="none"/>
        </w:rPr>
        <w:t>These findings highlight that the predictive power of inputs is highly dependent on both vertical structure and non-speed variables like turbulence, which are tied to the flow regime.</w:t>
      </w:r>
      <w:r w:rsidR="00BE403F" w:rsidRPr="00BE403F">
        <w:rPr>
          <w:rFonts w:ascii="Calibri" w:eastAsia="宋体" w:hAnsi="Calibri" w:cs="Calibri"/>
          <w:color w:val="000000"/>
          <w:kern w:val="0"/>
          <w:sz w:val="24"/>
          <w14:ligatures w14:val="none"/>
        </w:rPr>
        <w:t xml:space="preserve"> </w:t>
      </w:r>
    </w:p>
    <w:p w14:paraId="638E1671" w14:textId="0A279C24" w:rsidR="001F1B4A" w:rsidRDefault="001F1B4A"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1F1B4A">
        <w:rPr>
          <w:rFonts w:ascii="Calibri" w:eastAsia="宋体" w:hAnsi="Calibri" w:cs="Calibri"/>
          <w:color w:val="000000"/>
          <w:kern w:val="0"/>
          <w:sz w:val="24"/>
          <w14:ligatures w14:val="none"/>
        </w:rPr>
        <w:lastRenderedPageBreak/>
        <w:t xml:space="preserve">Motivated by the documented shortcomings of single-height inputs, recent deep learning studies at the wind farm scale have empirically demonstrated the benefit of integrating multi-height wind measurements, leading to improved power estimation compared with hub-height baselines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ed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1F1B4A">
        <w:rPr>
          <w:rFonts w:ascii="Calibri" w:eastAsia="宋体" w:hAnsi="Calibri" w:cs="Calibri"/>
          <w:color w:val="000000"/>
          <w:kern w:val="0"/>
          <w:sz w:val="24"/>
          <w14:ligatures w14:val="none"/>
        </w:rPr>
        <w:t>. However, these works lack the mechanistic explanation needed to inform adaptive feature selection. They generally apply multi-height inputs globally, failing to disentangle or exploit the differentiated physical dynamics between the free-stream and wake-flow regimes. This limits their ability to explain why specific non-hub heights capture the atmospheric forcing relevant to farm power.</w:t>
      </w:r>
    </w:p>
    <w:p w14:paraId="0F8D7574" w14:textId="2613E03C" w:rsidR="002F721D" w:rsidRDefault="002F721D"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2F721D">
        <w:rPr>
          <w:rFonts w:ascii="Calibri" w:eastAsia="宋体" w:hAnsi="Calibri" w:cs="Calibri"/>
          <w:color w:val="000000"/>
          <w:kern w:val="0"/>
          <w:sz w:val="24"/>
          <w14:ligatures w14:val="none"/>
        </w:rPr>
        <w:t>Synthesizing existing evidence reveals three fundamental gaps that limit the translation of physical insights into operational forecasting strategies. First, the governing atmospheric timescales remain unclear, hindering the physical grounding of feature selection and failing to explain anomalies such as the 10 m correlation. Second, free-stream and wake-flow regimes exhibit distinct dynamics, yet few studies thoroughly compare feature importance across these regimes, limiting adaptive feature selection under mixed observational conditions. Third, despite extensive knowledge of wind profile structure, stability, and turbulence, these physical insights have not been translated into operational day-ahead forecasting strategies, which still rely primarily on empirical hub-height inputs.</w:t>
      </w:r>
    </w:p>
    <w:p w14:paraId="487AB1BF" w14:textId="4DFDA393" w:rsidR="00671094" w:rsidRDefault="005E7115"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5E7115">
        <w:rPr>
          <w:rFonts w:ascii="Calibri" w:eastAsia="宋体" w:hAnsi="Calibri" w:cs="Calibri"/>
          <w:color w:val="000000"/>
          <w:kern w:val="0"/>
          <w:sz w:val="24"/>
          <w14:ligatures w14:val="none"/>
        </w:rPr>
        <w:t>To address these issues, this study uses full-profile wind observations (10 m, 30 m, 50 m, 70 m) together with whole-farm power production from a representative site and develops a three-tiered framework.</w:t>
      </w:r>
      <w:r w:rsidR="00671094" w:rsidRPr="00671094">
        <w:rPr>
          <w:rFonts w:ascii="Calibri" w:eastAsia="宋体" w:hAnsi="Calibri" w:cs="Calibri"/>
          <w:color w:val="000000"/>
          <w:kern w:val="0"/>
          <w:sz w:val="24"/>
          <w14:ligatures w14:val="none"/>
        </w:rPr>
        <w:t xml:space="preserve"> First, ensemble empirical mode decomposition (EEMD) and empirical orthogonal function (EOF) analysis are applied to quantify the dominant atmospheric timescales governing farm power and their physical mechanisms. Second, </w:t>
      </w:r>
      <w:r w:rsidR="00E02581">
        <w:rPr>
          <w:rFonts w:ascii="Calibri" w:eastAsia="宋体" w:hAnsi="Calibri" w:cs="Calibri"/>
          <w:color w:val="000000"/>
          <w:kern w:val="0"/>
          <w:sz w:val="24"/>
          <w14:ligatures w14:val="none"/>
        </w:rPr>
        <w:t>free-stream</w:t>
      </w:r>
      <w:r w:rsidR="00671094" w:rsidRPr="00671094">
        <w:rPr>
          <w:rFonts w:ascii="Calibri" w:eastAsia="宋体" w:hAnsi="Calibri" w:cs="Calibri"/>
          <w:color w:val="000000"/>
          <w:kern w:val="0"/>
          <w:sz w:val="24"/>
          <w14:ligatures w14:val="none"/>
        </w:rPr>
        <w:t xml:space="preserve"> and </w:t>
      </w:r>
      <w:r w:rsidR="00F30B53" w:rsidRPr="00CC3718">
        <w:rPr>
          <w:rFonts w:ascii="Calibri" w:eastAsia="宋体" w:hAnsi="Calibri" w:cs="Calibri"/>
          <w:color w:val="000000"/>
          <w:kern w:val="0"/>
          <w:sz w:val="24"/>
          <w14:ligatures w14:val="none"/>
        </w:rPr>
        <w:t>wake-flow</w:t>
      </w:r>
      <w:r w:rsidR="00F30B53">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conditions are classified using wind direction, and SHAP analysis is used to identify differentiated</w:t>
      </w:r>
      <w:r w:rsidR="00D64AEB">
        <w:rPr>
          <w:rFonts w:ascii="Calibri" w:eastAsia="宋体" w:hAnsi="Calibri" w:cs="Calibri" w:hint="eastAsia"/>
          <w:color w:val="000000"/>
          <w:kern w:val="0"/>
          <w:sz w:val="24"/>
          <w14:ligatures w14:val="none"/>
        </w:rPr>
        <w:t xml:space="preserve"> </w:t>
      </w:r>
      <w:r w:rsidR="00D64AEB">
        <w:rPr>
          <w:rFonts w:ascii="Calibri" w:eastAsia="宋体" w:hAnsi="Calibri" w:cs="Calibri"/>
          <w:color w:val="000000"/>
          <w:kern w:val="0"/>
          <w:sz w:val="24"/>
          <w14:ligatures w14:val="none"/>
        </w:rPr>
        <w:t xml:space="preserve">input </w:t>
      </w:r>
      <w:r w:rsidR="00671094" w:rsidRPr="00671094">
        <w:rPr>
          <w:rFonts w:ascii="Calibri" w:eastAsia="宋体" w:hAnsi="Calibri" w:cs="Calibri" w:hint="eastAsia"/>
          <w:color w:val="000000"/>
          <w:kern w:val="0"/>
          <w:sz w:val="24"/>
          <w14:ligatures w14:val="none"/>
        </w:rPr>
        <w:t>c</w:t>
      </w:r>
      <w:r w:rsidR="00671094" w:rsidRPr="00671094">
        <w:rPr>
          <w:rFonts w:ascii="Calibri" w:eastAsia="宋体" w:hAnsi="Calibri" w:cs="Calibri"/>
          <w:color w:val="000000"/>
          <w:kern w:val="0"/>
          <w:sz w:val="24"/>
          <w14:ligatures w14:val="none"/>
        </w:rPr>
        <w:t xml:space="preserve">haracteristics for each regime. Third, the physically informed </w:t>
      </w:r>
      <w:r w:rsidR="00D64AEB">
        <w:rPr>
          <w:rFonts w:ascii="Calibri" w:eastAsia="宋体" w:hAnsi="Calibri" w:cs="Calibri"/>
          <w:color w:val="000000"/>
          <w:kern w:val="0"/>
          <w:sz w:val="24"/>
          <w14:ligatures w14:val="none"/>
        </w:rPr>
        <w:t>inputs</w:t>
      </w:r>
      <w:r w:rsidR="00671094" w:rsidRPr="00671094">
        <w:rPr>
          <w:rFonts w:ascii="Calibri" w:eastAsia="宋体" w:hAnsi="Calibri" w:cs="Calibri"/>
          <w:color w:val="000000"/>
          <w:kern w:val="0"/>
          <w:sz w:val="24"/>
          <w14:ligatures w14:val="none"/>
        </w:rPr>
        <w:t xml:space="preserve"> identified from observations are integrated with retrospective NWP forecasts (EC-WRF and GFS-</w:t>
      </w:r>
      <w:r w:rsidR="00671094" w:rsidRPr="00671094">
        <w:rPr>
          <w:rFonts w:ascii="Calibri" w:eastAsia="宋体" w:hAnsi="Calibri" w:cs="Calibri"/>
          <w:color w:val="000000"/>
          <w:kern w:val="0"/>
          <w:sz w:val="24"/>
          <w14:ligatures w14:val="none"/>
        </w:rPr>
        <w:lastRenderedPageBreak/>
        <w:t xml:space="preserve">WRF) to construct day-ahead power forecasting strategies 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models tailored to inflow characteristics. </w:t>
      </w:r>
    </w:p>
    <w:p w14:paraId="272C85F4" w14:textId="4E01916A" w:rsidR="00494AA6" w:rsidRPr="00856693" w:rsidRDefault="00494AA6"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494AA6">
        <w:rPr>
          <w:rFonts w:ascii="Calibri" w:eastAsia="宋体" w:hAnsi="Calibri" w:cs="Calibri"/>
          <w:color w:val="000000"/>
          <w:kern w:val="0"/>
          <w:sz w:val="24"/>
          <w14:ligatures w14:val="none"/>
        </w:rPr>
        <w:t xml:space="preserve">This study shows that both multi-height wind profiles and flow-regime characteristics significantly affect day-ahead power forecasting accuracy. </w:t>
      </w:r>
      <w:r w:rsidR="00BA5308" w:rsidRPr="00BA5308">
        <w:rPr>
          <w:rFonts w:ascii="Calibri" w:eastAsia="宋体" w:hAnsi="Calibri" w:cs="Calibri"/>
          <w:color w:val="000000"/>
          <w:kern w:val="0"/>
          <w:sz w:val="24"/>
          <w14:ligatures w14:val="none"/>
        </w:rPr>
        <w:t>It advances the physical understanding of wind farm power generation by demonstrating that vertical wind profiles provide the fundamental atmospheric information required for day-ahead forecasting and by identifying regime-specific height selection.</w:t>
      </w:r>
      <w:r w:rsidR="00BA5308">
        <w:rPr>
          <w:rFonts w:ascii="Calibri" w:eastAsia="宋体" w:hAnsi="Calibri" w:cs="Calibri" w:hint="eastAsia"/>
          <w:color w:val="000000"/>
          <w:kern w:val="0"/>
          <w:sz w:val="24"/>
          <w14:ligatures w14:val="none"/>
        </w:rPr>
        <w:t xml:space="preserve"> </w:t>
      </w:r>
      <w:proofErr w:type="gramStart"/>
      <w:r w:rsidRPr="00494AA6">
        <w:rPr>
          <w:rFonts w:ascii="Calibri" w:eastAsia="宋体" w:hAnsi="Calibri" w:cs="Calibri"/>
          <w:color w:val="000000"/>
          <w:kern w:val="0"/>
          <w:sz w:val="24"/>
          <w14:ligatures w14:val="none"/>
        </w:rPr>
        <w:t>For</w:t>
      </w:r>
      <w:proofErr w:type="gramEnd"/>
      <w:r w:rsidRPr="00494AA6">
        <w:rPr>
          <w:rFonts w:ascii="Calibri" w:eastAsia="宋体" w:hAnsi="Calibri" w:cs="Calibri"/>
          <w:color w:val="000000"/>
          <w:kern w:val="0"/>
          <w:sz w:val="24"/>
          <w14:ligatures w14:val="none"/>
        </w:rPr>
        <w:t xml:space="preserve"> operational practice, the physically informed forecasting strategies provide actionable guidance for improving NWP-driven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Buhan, S., Ozkazanc, Y., &amp; Cadirci, I. (2016). Wind Pattern Recognition and Reference 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 xml:space="preserve">(1), </w:t>
      </w:r>
      <w:r w:rsidRPr="00960A35">
        <w:rPr>
          <w:rFonts w:ascii="Calibri" w:hAnsi="Calibri" w:cs="Calibri"/>
          <w:color w:val="000000"/>
          <w:sz w:val="24"/>
        </w:rPr>
        <w:lastRenderedPageBreak/>
        <w:t>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(10), 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 xml:space="preserve">(5), 112. </w:t>
      </w:r>
      <w:r w:rsidRPr="00960A35">
        <w:rPr>
          <w:rFonts w:ascii="Calibri" w:hAnsi="Calibri" w:cs="Calibri"/>
          <w:color w:val="000000"/>
          <w:sz w:val="24"/>
        </w:rPr>
        <w:lastRenderedPageBreak/>
        <w:t>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2020 IEEE KhPI Week on Advanced Technology (KhPIWeek)</w:t>
      </w:r>
      <w:r w:rsidRPr="00960A35">
        <w:rPr>
          <w:rFonts w:ascii="Calibri" w:hAnsi="Calibri" w:cs="Calibri"/>
          <w:color w:val="000000"/>
          <w:sz w:val="24"/>
        </w:rPr>
        <w:t xml:space="preserve"> (pp. 472–477). Kharkiv, Ukraine: IEEE. 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w:t>
      </w:r>
      <w:r w:rsidRPr="00960A35">
        <w:rPr>
          <w:rFonts w:ascii="Calibri" w:hAnsi="Calibri" w:cs="Calibri"/>
          <w:color w:val="000000"/>
          <w:sz w:val="24"/>
        </w:rPr>
        <w:lastRenderedPageBreak/>
        <w:t xml:space="preserve">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1067–1074. 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Nature 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4DFAC53A" w:rsidR="00EC1864"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1864" w:rsidSect="00DF62CA">
      <w:footerReference w:type="even" r:id="rId8"/>
      <w:footerReference w:type="default" r:id="rId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173B8" w14:textId="77777777" w:rsidR="00276643" w:rsidRDefault="00276643" w:rsidP="007144ED">
      <w:pPr>
        <w:spacing w:after="0" w:line="240" w:lineRule="auto"/>
      </w:pPr>
      <w:r>
        <w:separator/>
      </w:r>
    </w:p>
  </w:endnote>
  <w:endnote w:type="continuationSeparator" w:id="0">
    <w:p w14:paraId="4CFBBCD6" w14:textId="77777777" w:rsidR="00276643" w:rsidRDefault="00276643"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E99D9" w14:textId="77777777" w:rsidR="00276643" w:rsidRDefault="00276643" w:rsidP="007144ED">
      <w:pPr>
        <w:spacing w:after="0" w:line="240" w:lineRule="auto"/>
      </w:pPr>
      <w:r>
        <w:separator/>
      </w:r>
    </w:p>
  </w:footnote>
  <w:footnote w:type="continuationSeparator" w:id="0">
    <w:p w14:paraId="0F4A1A6F" w14:textId="77777777" w:rsidR="00276643" w:rsidRDefault="00276643"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3028"/>
    <w:rsid w:val="000138EE"/>
    <w:rsid w:val="00015FCB"/>
    <w:rsid w:val="00026ABF"/>
    <w:rsid w:val="0003176D"/>
    <w:rsid w:val="0006189D"/>
    <w:rsid w:val="00061A68"/>
    <w:rsid w:val="00061B9A"/>
    <w:rsid w:val="00062514"/>
    <w:rsid w:val="00091910"/>
    <w:rsid w:val="000A7979"/>
    <w:rsid w:val="000B1D17"/>
    <w:rsid w:val="000B5C40"/>
    <w:rsid w:val="000C14DC"/>
    <w:rsid w:val="000C2457"/>
    <w:rsid w:val="000E1414"/>
    <w:rsid w:val="000F03A7"/>
    <w:rsid w:val="00131A13"/>
    <w:rsid w:val="00137CC6"/>
    <w:rsid w:val="00141881"/>
    <w:rsid w:val="001466B0"/>
    <w:rsid w:val="00161C2C"/>
    <w:rsid w:val="0016658F"/>
    <w:rsid w:val="00167F30"/>
    <w:rsid w:val="00173643"/>
    <w:rsid w:val="0018194D"/>
    <w:rsid w:val="00191F33"/>
    <w:rsid w:val="001938B1"/>
    <w:rsid w:val="001A160B"/>
    <w:rsid w:val="001A3EEA"/>
    <w:rsid w:val="001A5216"/>
    <w:rsid w:val="001B2DB1"/>
    <w:rsid w:val="001D4C8D"/>
    <w:rsid w:val="001D61F8"/>
    <w:rsid w:val="001E6530"/>
    <w:rsid w:val="001F1B4A"/>
    <w:rsid w:val="002013D5"/>
    <w:rsid w:val="00201916"/>
    <w:rsid w:val="00202400"/>
    <w:rsid w:val="00207993"/>
    <w:rsid w:val="002102C4"/>
    <w:rsid w:val="00211AD7"/>
    <w:rsid w:val="00217F0B"/>
    <w:rsid w:val="002267EB"/>
    <w:rsid w:val="00231F7C"/>
    <w:rsid w:val="0024501A"/>
    <w:rsid w:val="00267713"/>
    <w:rsid w:val="00271C64"/>
    <w:rsid w:val="00276643"/>
    <w:rsid w:val="00280274"/>
    <w:rsid w:val="00280414"/>
    <w:rsid w:val="002925DE"/>
    <w:rsid w:val="00296C53"/>
    <w:rsid w:val="00296D3E"/>
    <w:rsid w:val="002B7705"/>
    <w:rsid w:val="002C443F"/>
    <w:rsid w:val="002D002E"/>
    <w:rsid w:val="002D356C"/>
    <w:rsid w:val="002E4720"/>
    <w:rsid w:val="002E7183"/>
    <w:rsid w:val="002F46B3"/>
    <w:rsid w:val="002F721D"/>
    <w:rsid w:val="00300A44"/>
    <w:rsid w:val="00311C0F"/>
    <w:rsid w:val="00311F01"/>
    <w:rsid w:val="00312DCB"/>
    <w:rsid w:val="00314C88"/>
    <w:rsid w:val="00324F8B"/>
    <w:rsid w:val="00357447"/>
    <w:rsid w:val="00360724"/>
    <w:rsid w:val="0038664E"/>
    <w:rsid w:val="00391FA4"/>
    <w:rsid w:val="00393710"/>
    <w:rsid w:val="00394449"/>
    <w:rsid w:val="003978C1"/>
    <w:rsid w:val="003B6D68"/>
    <w:rsid w:val="003C3BBD"/>
    <w:rsid w:val="003C7458"/>
    <w:rsid w:val="003D25A2"/>
    <w:rsid w:val="003E4261"/>
    <w:rsid w:val="004005D9"/>
    <w:rsid w:val="00401647"/>
    <w:rsid w:val="00413D21"/>
    <w:rsid w:val="00414955"/>
    <w:rsid w:val="00414F1D"/>
    <w:rsid w:val="004474AF"/>
    <w:rsid w:val="00455E8F"/>
    <w:rsid w:val="00456E4F"/>
    <w:rsid w:val="00464511"/>
    <w:rsid w:val="00465803"/>
    <w:rsid w:val="0047082B"/>
    <w:rsid w:val="00484DD5"/>
    <w:rsid w:val="004872BD"/>
    <w:rsid w:val="00494807"/>
    <w:rsid w:val="00494AA6"/>
    <w:rsid w:val="00497CE5"/>
    <w:rsid w:val="004B1E8D"/>
    <w:rsid w:val="004C2EC3"/>
    <w:rsid w:val="004C727A"/>
    <w:rsid w:val="004D27B3"/>
    <w:rsid w:val="004D2C15"/>
    <w:rsid w:val="004E2D6A"/>
    <w:rsid w:val="004F54CC"/>
    <w:rsid w:val="00504287"/>
    <w:rsid w:val="00506216"/>
    <w:rsid w:val="005547DB"/>
    <w:rsid w:val="005556C2"/>
    <w:rsid w:val="00557AD4"/>
    <w:rsid w:val="00561CD6"/>
    <w:rsid w:val="005675A6"/>
    <w:rsid w:val="00587EF3"/>
    <w:rsid w:val="00590D96"/>
    <w:rsid w:val="0059482B"/>
    <w:rsid w:val="005A0788"/>
    <w:rsid w:val="005B0671"/>
    <w:rsid w:val="005B3BF3"/>
    <w:rsid w:val="005C1D26"/>
    <w:rsid w:val="005C27DB"/>
    <w:rsid w:val="005C6676"/>
    <w:rsid w:val="005E11AE"/>
    <w:rsid w:val="005E7115"/>
    <w:rsid w:val="005F024E"/>
    <w:rsid w:val="005F1559"/>
    <w:rsid w:val="006040E9"/>
    <w:rsid w:val="006240F5"/>
    <w:rsid w:val="00624575"/>
    <w:rsid w:val="00630154"/>
    <w:rsid w:val="00637236"/>
    <w:rsid w:val="00644F6A"/>
    <w:rsid w:val="00661A31"/>
    <w:rsid w:val="00670753"/>
    <w:rsid w:val="00671094"/>
    <w:rsid w:val="00693D07"/>
    <w:rsid w:val="006A1ECD"/>
    <w:rsid w:val="006A1F5E"/>
    <w:rsid w:val="006A6089"/>
    <w:rsid w:val="006B018D"/>
    <w:rsid w:val="006B3994"/>
    <w:rsid w:val="006B4576"/>
    <w:rsid w:val="006C77C9"/>
    <w:rsid w:val="006D7847"/>
    <w:rsid w:val="006E3570"/>
    <w:rsid w:val="00710F66"/>
    <w:rsid w:val="007144ED"/>
    <w:rsid w:val="00720ACE"/>
    <w:rsid w:val="00725EBE"/>
    <w:rsid w:val="007271F2"/>
    <w:rsid w:val="00731DBD"/>
    <w:rsid w:val="00737D09"/>
    <w:rsid w:val="00741D7E"/>
    <w:rsid w:val="007423BF"/>
    <w:rsid w:val="00747630"/>
    <w:rsid w:val="00751EA8"/>
    <w:rsid w:val="00752CC5"/>
    <w:rsid w:val="00753F8E"/>
    <w:rsid w:val="0075458A"/>
    <w:rsid w:val="007608F0"/>
    <w:rsid w:val="00770DAF"/>
    <w:rsid w:val="0077162F"/>
    <w:rsid w:val="00776B57"/>
    <w:rsid w:val="007948C0"/>
    <w:rsid w:val="007A4C39"/>
    <w:rsid w:val="007B5479"/>
    <w:rsid w:val="007D77AD"/>
    <w:rsid w:val="007E4906"/>
    <w:rsid w:val="007E6813"/>
    <w:rsid w:val="007E68DE"/>
    <w:rsid w:val="007E7590"/>
    <w:rsid w:val="007F610F"/>
    <w:rsid w:val="00804E7B"/>
    <w:rsid w:val="00827936"/>
    <w:rsid w:val="00831398"/>
    <w:rsid w:val="00835E9A"/>
    <w:rsid w:val="00837AA6"/>
    <w:rsid w:val="00837D1F"/>
    <w:rsid w:val="008408DA"/>
    <w:rsid w:val="008472B9"/>
    <w:rsid w:val="00856693"/>
    <w:rsid w:val="00864713"/>
    <w:rsid w:val="00864987"/>
    <w:rsid w:val="008725F4"/>
    <w:rsid w:val="00872C24"/>
    <w:rsid w:val="00875072"/>
    <w:rsid w:val="00883857"/>
    <w:rsid w:val="00894ABC"/>
    <w:rsid w:val="008A0A30"/>
    <w:rsid w:val="008B1AE0"/>
    <w:rsid w:val="008B53B2"/>
    <w:rsid w:val="008B5D46"/>
    <w:rsid w:val="008C5B08"/>
    <w:rsid w:val="008D17BA"/>
    <w:rsid w:val="008D7EB9"/>
    <w:rsid w:val="008E53F0"/>
    <w:rsid w:val="008F41D1"/>
    <w:rsid w:val="008F4840"/>
    <w:rsid w:val="00904287"/>
    <w:rsid w:val="0090450E"/>
    <w:rsid w:val="00920844"/>
    <w:rsid w:val="009347C5"/>
    <w:rsid w:val="00944A8F"/>
    <w:rsid w:val="00951A0C"/>
    <w:rsid w:val="00952E75"/>
    <w:rsid w:val="00956B05"/>
    <w:rsid w:val="00960A35"/>
    <w:rsid w:val="00962508"/>
    <w:rsid w:val="00963061"/>
    <w:rsid w:val="009639FC"/>
    <w:rsid w:val="00964D19"/>
    <w:rsid w:val="00966ABF"/>
    <w:rsid w:val="009720F7"/>
    <w:rsid w:val="00976362"/>
    <w:rsid w:val="009773D7"/>
    <w:rsid w:val="009A27C0"/>
    <w:rsid w:val="009A4D96"/>
    <w:rsid w:val="009B0331"/>
    <w:rsid w:val="009B05F1"/>
    <w:rsid w:val="009B1F11"/>
    <w:rsid w:val="009D0D98"/>
    <w:rsid w:val="009E1E35"/>
    <w:rsid w:val="009E2FA0"/>
    <w:rsid w:val="009E302F"/>
    <w:rsid w:val="009F3B97"/>
    <w:rsid w:val="00A03F0B"/>
    <w:rsid w:val="00A130D8"/>
    <w:rsid w:val="00A15D63"/>
    <w:rsid w:val="00A2440F"/>
    <w:rsid w:val="00A27232"/>
    <w:rsid w:val="00A30197"/>
    <w:rsid w:val="00A3480A"/>
    <w:rsid w:val="00A43927"/>
    <w:rsid w:val="00A44840"/>
    <w:rsid w:val="00A64427"/>
    <w:rsid w:val="00A64544"/>
    <w:rsid w:val="00A66547"/>
    <w:rsid w:val="00A743E1"/>
    <w:rsid w:val="00A83D32"/>
    <w:rsid w:val="00A90D9F"/>
    <w:rsid w:val="00A943FC"/>
    <w:rsid w:val="00A951CA"/>
    <w:rsid w:val="00AA3CB4"/>
    <w:rsid w:val="00AB5DCA"/>
    <w:rsid w:val="00AB6D95"/>
    <w:rsid w:val="00AC5681"/>
    <w:rsid w:val="00AC6665"/>
    <w:rsid w:val="00AD026C"/>
    <w:rsid w:val="00AD1AC0"/>
    <w:rsid w:val="00AE3516"/>
    <w:rsid w:val="00AE5D01"/>
    <w:rsid w:val="00B16E71"/>
    <w:rsid w:val="00B20D46"/>
    <w:rsid w:val="00B20EFC"/>
    <w:rsid w:val="00B256EC"/>
    <w:rsid w:val="00B36011"/>
    <w:rsid w:val="00B638D4"/>
    <w:rsid w:val="00B6558A"/>
    <w:rsid w:val="00B80E73"/>
    <w:rsid w:val="00B8410F"/>
    <w:rsid w:val="00B85209"/>
    <w:rsid w:val="00B9423F"/>
    <w:rsid w:val="00B94970"/>
    <w:rsid w:val="00BA5308"/>
    <w:rsid w:val="00BB6E84"/>
    <w:rsid w:val="00BE403F"/>
    <w:rsid w:val="00C116B2"/>
    <w:rsid w:val="00C20216"/>
    <w:rsid w:val="00C214A3"/>
    <w:rsid w:val="00C41424"/>
    <w:rsid w:val="00C426AF"/>
    <w:rsid w:val="00C44004"/>
    <w:rsid w:val="00C6642B"/>
    <w:rsid w:val="00C73287"/>
    <w:rsid w:val="00C75448"/>
    <w:rsid w:val="00CA0126"/>
    <w:rsid w:val="00CB4D34"/>
    <w:rsid w:val="00CC3718"/>
    <w:rsid w:val="00CC6223"/>
    <w:rsid w:val="00CD01C7"/>
    <w:rsid w:val="00CD2737"/>
    <w:rsid w:val="00CE0F32"/>
    <w:rsid w:val="00CF5AF3"/>
    <w:rsid w:val="00D02340"/>
    <w:rsid w:val="00D25A88"/>
    <w:rsid w:val="00D30FC9"/>
    <w:rsid w:val="00D36921"/>
    <w:rsid w:val="00D47F7E"/>
    <w:rsid w:val="00D558CB"/>
    <w:rsid w:val="00D64AEB"/>
    <w:rsid w:val="00D66B96"/>
    <w:rsid w:val="00D750BB"/>
    <w:rsid w:val="00D8544A"/>
    <w:rsid w:val="00D856BF"/>
    <w:rsid w:val="00D91BCE"/>
    <w:rsid w:val="00D94764"/>
    <w:rsid w:val="00DB0D6C"/>
    <w:rsid w:val="00DB509B"/>
    <w:rsid w:val="00DB5748"/>
    <w:rsid w:val="00DB748A"/>
    <w:rsid w:val="00DC7A4A"/>
    <w:rsid w:val="00DD5737"/>
    <w:rsid w:val="00DE1F37"/>
    <w:rsid w:val="00DE59B6"/>
    <w:rsid w:val="00DF62CA"/>
    <w:rsid w:val="00E009D6"/>
    <w:rsid w:val="00E02581"/>
    <w:rsid w:val="00E0450D"/>
    <w:rsid w:val="00E179CE"/>
    <w:rsid w:val="00E25927"/>
    <w:rsid w:val="00E30FB8"/>
    <w:rsid w:val="00E4496B"/>
    <w:rsid w:val="00E658F8"/>
    <w:rsid w:val="00E7736F"/>
    <w:rsid w:val="00E85F46"/>
    <w:rsid w:val="00EA5ED1"/>
    <w:rsid w:val="00EB7FBA"/>
    <w:rsid w:val="00EC1864"/>
    <w:rsid w:val="00EC533F"/>
    <w:rsid w:val="00EC6998"/>
    <w:rsid w:val="00ED3DB5"/>
    <w:rsid w:val="00EF1991"/>
    <w:rsid w:val="00F00A61"/>
    <w:rsid w:val="00F0412D"/>
    <w:rsid w:val="00F122D8"/>
    <w:rsid w:val="00F165DA"/>
    <w:rsid w:val="00F22794"/>
    <w:rsid w:val="00F24EC8"/>
    <w:rsid w:val="00F30B53"/>
    <w:rsid w:val="00F425DD"/>
    <w:rsid w:val="00F529D3"/>
    <w:rsid w:val="00F5556A"/>
    <w:rsid w:val="00F55A64"/>
    <w:rsid w:val="00F61B56"/>
    <w:rsid w:val="00F6572B"/>
    <w:rsid w:val="00F766B5"/>
    <w:rsid w:val="00F844AA"/>
    <w:rsid w:val="00FA43BD"/>
    <w:rsid w:val="00FA74E8"/>
    <w:rsid w:val="00FB090F"/>
    <w:rsid w:val="00FC4CAC"/>
    <w:rsid w:val="00FD6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10319</Words>
  <Characters>58823</Characters>
  <Application>Microsoft Office Word</Application>
  <DocSecurity>0</DocSecurity>
  <Lines>490</Lines>
  <Paragraphs>138</Paragraphs>
  <ScaleCrop>false</ScaleCrop>
  <Company/>
  <LinksUpToDate>false</LinksUpToDate>
  <CharactersWithSpaces>69004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6</cp:revision>
  <dcterms:created xsi:type="dcterms:W3CDTF">2025-11-30T14:44:00Z</dcterms:created>
  <dcterms:modified xsi:type="dcterms:W3CDTF">2025-11-30T14:54:00Z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