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0771" w:rsidRPr="004B4672" w:rsidRDefault="004D0771" w:rsidP="004B4672">
      <w:pPr>
        <w:spacing w:line="360" w:lineRule="auto"/>
        <w:rPr>
          <w:rFonts w:ascii="黑体" w:eastAsia="黑体" w:hAnsi="黑体"/>
          <w:sz w:val="24"/>
        </w:rPr>
      </w:pPr>
      <w:r w:rsidRPr="004B4672">
        <w:rPr>
          <w:rFonts w:ascii="黑体" w:eastAsia="黑体" w:hAnsi="黑体"/>
          <w:sz w:val="24"/>
        </w:rPr>
        <w:t>4.2. 尺度依赖性相关与垂直结构一致性</w:t>
      </w:r>
    </w:p>
    <w:p w:rsidR="004D0771" w:rsidRPr="004B4672" w:rsidRDefault="004D0771" w:rsidP="004B4672">
      <w:pPr>
        <w:spacing w:line="360" w:lineRule="auto"/>
        <w:rPr>
          <w:rFonts w:ascii="黑体" w:eastAsia="黑体" w:hAnsi="黑体"/>
          <w:sz w:val="24"/>
        </w:rPr>
      </w:pPr>
    </w:p>
    <w:p w:rsidR="004D0771" w:rsidRPr="004B4672" w:rsidRDefault="004D0771" w:rsidP="004B4672">
      <w:pPr>
        <w:spacing w:line="360" w:lineRule="auto"/>
        <w:rPr>
          <w:rFonts w:ascii="黑体" w:eastAsia="黑体" w:hAnsi="黑体"/>
          <w:sz w:val="24"/>
        </w:rPr>
      </w:pPr>
      <w:r w:rsidRPr="004B4672">
        <w:rPr>
          <w:rFonts w:ascii="黑体" w:eastAsia="黑体" w:hAnsi="黑体"/>
          <w:sz w:val="24"/>
        </w:rPr>
        <w:t>Section 4.1证明了10-m观测避免尾流污染并能可靠代表背景大气状态,但10-m能否有效代表风电场功率还需要满足两个关键条件。首先需要明确风电场功率响应的主导时间尺度,以确定10-m观测是否在该尺度上与扫风面积所涉及的各个高度层协同变化。其次需要验证垂直廓线结构在不同流动状态下的稳定性,以确保不受尾流污染的近地面层信号能够可靠标度整个廓线的能量状态。为验证第一个条件,我们首先需要回答一个基本问题,风电场功率究竟响应何种时间尺度的大气能量。传统认识认为风力涡轮机吸收轮毂高度附近叶片扫掠区域的动能,而对于风电场整体而言,进一步明确其总功率输出所体现的主导时间尺度对于理解功率变率的物理驱动机制至关重要。理解这一尺度属性是识别最相关气象输入变量的前提。为此,我们通过尺度分解分析探究风电场功率与不同时间尺度大气运动的耦合关系。</w:t>
      </w:r>
    </w:p>
    <w:p w:rsidR="004D0771" w:rsidRPr="004B4672" w:rsidRDefault="004D0771" w:rsidP="004B4672">
      <w:pPr>
        <w:spacing w:line="360" w:lineRule="auto"/>
        <w:rPr>
          <w:rFonts w:ascii="黑体" w:eastAsia="黑体" w:hAnsi="黑体"/>
          <w:sz w:val="24"/>
        </w:rPr>
      </w:pPr>
    </w:p>
    <w:p w:rsidR="004D0771" w:rsidRPr="004B4672" w:rsidRDefault="004D0771" w:rsidP="004B4672">
      <w:pPr>
        <w:spacing w:line="360" w:lineRule="auto"/>
        <w:rPr>
          <w:rFonts w:ascii="黑体" w:eastAsia="黑体" w:hAnsi="黑体"/>
          <w:sz w:val="24"/>
        </w:rPr>
      </w:pPr>
      <w:r w:rsidRPr="004B4672">
        <w:rPr>
          <w:rFonts w:ascii="黑体" w:eastAsia="黑体" w:hAnsi="黑体"/>
          <w:sz w:val="24"/>
        </w:rPr>
        <w:t>尺度分解的方差分布(图2A)显示,在短于24小时的周期上,尾流影响流态下的70-m风速方差显著高于自由来流流态,反映了风机-流动相互作用诱发的高频扰动。然而,在超过24小时的天气尺度上,10 m和70 m处的方差分布在两种流态下趋于一致,表明低频风速变率受到对所有高度层均匀作用的大尺度大气强迫所控制。垂直相干性分析(图2B,上图)证实,10-m和70-m风速之间的相关性随平均周期增加而增强,在天气尺度上达到最大值。值得注意的是,30-m风速同样表现出与70-m风速在高频尺度上的去相关和在天气尺度上的协同变化,进一步证实尾流效应主要作用于高频时间尺度。</w:t>
      </w:r>
    </w:p>
    <w:p w:rsidR="004D0771" w:rsidRPr="004B4672" w:rsidRDefault="004D0771" w:rsidP="004B4672">
      <w:pPr>
        <w:spacing w:line="360" w:lineRule="auto"/>
        <w:rPr>
          <w:rFonts w:ascii="黑体" w:eastAsia="黑体" w:hAnsi="黑体"/>
          <w:sz w:val="24"/>
        </w:rPr>
      </w:pPr>
    </w:p>
    <w:p w:rsidR="004D0771" w:rsidRPr="004B4672" w:rsidRDefault="004D0771" w:rsidP="004B4672">
      <w:pPr>
        <w:spacing w:line="360" w:lineRule="auto"/>
        <w:rPr>
          <w:rFonts w:ascii="黑体" w:eastAsia="黑体" w:hAnsi="黑体"/>
          <w:sz w:val="24"/>
        </w:rPr>
      </w:pPr>
      <w:r w:rsidRPr="004B4672">
        <w:rPr>
          <w:rFonts w:ascii="黑体" w:eastAsia="黑体" w:hAnsi="黑体"/>
          <w:sz w:val="24"/>
        </w:rPr>
        <w:t>风速与总功率输出之间的尺度依赖性相关(图2B,下图)直接回答了风电场功率的尺度属性问题。在小时尺度上,风速与功率之间的相关性相对较低,因为该尺度上的功率输出受到尾流湍流和机组控制响应等局地过程的影响。相反,在10 m和70 m处,与功率的相关性随平均周期延长而持续增强,在2至3天周期处达</w:t>
      </w:r>
      <w:r w:rsidRPr="004B4672">
        <w:rPr>
          <w:rFonts w:ascii="黑体" w:eastAsia="黑体" w:hAnsi="黑体"/>
          <w:sz w:val="24"/>
        </w:rPr>
        <w:lastRenderedPageBreak/>
        <w:t>到最大值,相关系数超过0.5。这明确表明风电场尺度功率生成本质上是对天气尺度大气能量的响应和吸收。更关键的是,无论高度或流态如何,功率相关性均在天气尺度上达到峰值,证实天气尺度主导性不受测量高度和尾流条件的影响。</w:t>
      </w:r>
    </w:p>
    <w:p w:rsidR="004D0771" w:rsidRPr="004B4672" w:rsidRDefault="004D0771" w:rsidP="004B4672">
      <w:pPr>
        <w:spacing w:line="360" w:lineRule="auto"/>
        <w:rPr>
          <w:rFonts w:ascii="黑体" w:eastAsia="黑体" w:hAnsi="黑体"/>
          <w:sz w:val="24"/>
        </w:rPr>
      </w:pPr>
    </w:p>
    <w:p w:rsidR="004D0771" w:rsidRPr="004B4672" w:rsidRDefault="004D0771" w:rsidP="004B4672">
      <w:pPr>
        <w:spacing w:line="360" w:lineRule="auto"/>
        <w:rPr>
          <w:rFonts w:ascii="黑体" w:eastAsia="黑体" w:hAnsi="黑体"/>
          <w:sz w:val="24"/>
        </w:rPr>
      </w:pPr>
      <w:r w:rsidRPr="004B4672">
        <w:rPr>
          <w:rFonts w:ascii="黑体" w:eastAsia="黑体" w:hAnsi="黑体"/>
          <w:sz w:val="24"/>
        </w:rPr>
        <w:t>上述分析表明,10-m风速与扫风面积所涉及高度层的风速在天气尺度上表现出高度协同的变化行为,而风电场功率恰恰响应这一天气尺度能量。这为10-m风速代表整场功率提供了尺度匹配的前提条件。然而,近地面层与扫风面积所涉及高度层之间存在显著的垂直距离,其在天气尺度上的协同性需要通过垂直廓线的结构特征来阐明。</w:t>
      </w:r>
    </w:p>
    <w:p w:rsidR="004D0771" w:rsidRPr="004B4672" w:rsidRDefault="004D0771" w:rsidP="004B4672">
      <w:pPr>
        <w:spacing w:line="360" w:lineRule="auto"/>
        <w:rPr>
          <w:rFonts w:ascii="黑体" w:eastAsia="黑体" w:hAnsi="黑体"/>
          <w:sz w:val="24"/>
        </w:rPr>
      </w:pPr>
    </w:p>
    <w:p w:rsidR="004D0771" w:rsidRPr="004B4672" w:rsidRDefault="004D0771" w:rsidP="004B4672">
      <w:pPr>
        <w:spacing w:line="360" w:lineRule="auto"/>
        <w:rPr>
          <w:rFonts w:ascii="黑体" w:eastAsia="黑体" w:hAnsi="黑体"/>
          <w:sz w:val="24"/>
        </w:rPr>
      </w:pPr>
      <w:r w:rsidRPr="004B4672">
        <w:rPr>
          <w:rFonts w:ascii="黑体" w:eastAsia="黑体" w:hAnsi="黑体"/>
          <w:sz w:val="24"/>
        </w:rPr>
        <w:t>经验正交函数(EOF)分析揭示了垂直协同性的物理机制。第一EOF模态(EOF1)在所有情况下解释了超过93%的总垂直方差(图2C),自由来流(93.2%)和尾流影响(93.5%)流态的解释方差几乎相同。EOF1载荷的垂直分布在两种流态下几乎一致,仅略有体现风速亏损的差异。尽管在尾流影响流态下观察到平均速度亏损(图1D),但大气变率的垂直结构形状几乎保持不变,表明尾流效应改变了平均流动但对垂直廓线时间波动的结构模态影响有限。这一结果揭示了近地面层与扫风面积所涉及高度层协同性的物理根源,在天气尺度强迫下,垂直廓线作为一个刚性整体响应大尺度大气变率,各高度层的时间波动由同一主导模态控制,因而表现出强垂直耦合。</w:t>
      </w:r>
    </w:p>
    <w:p w:rsidR="004D0771" w:rsidRPr="004B4672" w:rsidRDefault="004D0771" w:rsidP="004B4672">
      <w:pPr>
        <w:spacing w:line="360" w:lineRule="auto"/>
        <w:rPr>
          <w:rFonts w:ascii="黑体" w:eastAsia="黑体" w:hAnsi="黑体"/>
          <w:sz w:val="24"/>
        </w:rPr>
      </w:pPr>
      <w:r w:rsidRPr="004B4672">
        <w:rPr>
          <w:rFonts w:ascii="黑体" w:eastAsia="黑体" w:hAnsi="黑体"/>
          <w:sz w:val="24"/>
        </w:rPr>
        <w:t>我们通过各高度风速与第一主成分(PC1)的线性关系验证近地面层对整个廓线强度的标度能力。图2D显示,10-m风速与PC1之间存在强线性相关,关键的是,自由来流和尾流影响流态的回归斜率几乎相同(0.65和0.66),表明10-m风速对PC1的标度关系在不同流动状态下保持高度稳定。相比之下,轮毂高度风速与PC1的回归斜率在两种流态下存在明显差异(从0.54增至0.62),反映了尾流扰动对轮毂高度层标度能力的影响。这种对比证实,10-m风速能够在不同流动状态下稳定地标度反映整个垂直廓线强度的PC1幅值,而受尾流影响的轮毂高度层难以提供同等稳定的标度关系。</w:t>
      </w:r>
    </w:p>
    <w:p w:rsidR="00C20B5C" w:rsidRPr="004B4672" w:rsidRDefault="004D0771" w:rsidP="004B4672">
      <w:pPr>
        <w:spacing w:line="360" w:lineRule="auto"/>
        <w:rPr>
          <w:rFonts w:ascii="黑体" w:eastAsia="黑体" w:hAnsi="黑体"/>
          <w:sz w:val="24"/>
        </w:rPr>
      </w:pPr>
      <w:r w:rsidRPr="004B4672">
        <w:rPr>
          <w:rFonts w:ascii="黑体" w:eastAsia="黑体" w:hAnsi="黑体"/>
          <w:sz w:val="24"/>
        </w:rPr>
        <w:lastRenderedPageBreak/>
        <w:t>综合上述分析,风电场功率主要响应天气尺度大气能量,10-m风速与扫风面积所涉及高度层在该尺度上协同变化,这种协同性源于垂直廓线在天气尺度上的刚性结构特征,而10-m风速能够通过稳定的线性关系定量标度整个廓线的能量强度。这些尺度依赖性和结构分析为扩展廓线框架提供了物理基础,表明10-m观测不仅避免了尾流污染,更重要的是能够通过大气边界层的垂直耦合机制有效捕捉所利用垂直剖面内控制风电场功率的天气尺度能量状态。</w:t>
      </w:r>
    </w:p>
    <w:p w:rsidR="00D0295A" w:rsidRPr="004B4672" w:rsidRDefault="00D0295A" w:rsidP="004B4672">
      <w:pPr>
        <w:spacing w:line="360" w:lineRule="auto"/>
        <w:rPr>
          <w:rFonts w:ascii="黑体" w:eastAsia="黑体" w:hAnsi="黑体"/>
          <w:sz w:val="24"/>
        </w:rPr>
      </w:pPr>
    </w:p>
    <w:p w:rsidR="00D0295A" w:rsidRPr="004B4672" w:rsidRDefault="00D0295A" w:rsidP="004B4672">
      <w:pPr>
        <w:spacing w:line="360" w:lineRule="auto"/>
        <w:rPr>
          <w:rFonts w:ascii="黑体" w:eastAsia="黑体" w:hAnsi="黑体"/>
          <w:sz w:val="24"/>
        </w:rPr>
      </w:pPr>
    </w:p>
    <w:p w:rsidR="00D0295A" w:rsidRPr="004B4672" w:rsidRDefault="00D0295A" w:rsidP="004B4672">
      <w:pPr>
        <w:spacing w:line="360" w:lineRule="auto"/>
        <w:rPr>
          <w:rFonts w:ascii="黑体" w:eastAsia="黑体" w:hAnsi="黑体"/>
          <w:sz w:val="24"/>
        </w:rPr>
      </w:pPr>
    </w:p>
    <w:p w:rsidR="00D0295A" w:rsidRPr="004B4672" w:rsidRDefault="00D0295A" w:rsidP="004B4672">
      <w:pPr>
        <w:widowControl/>
        <w:spacing w:line="360" w:lineRule="auto"/>
        <w:rPr>
          <w:rFonts w:ascii="黑体" w:eastAsia="黑体" w:hAnsi="黑体"/>
          <w:sz w:val="24"/>
        </w:rPr>
      </w:pPr>
      <w:r w:rsidRPr="004B4672">
        <w:rPr>
          <w:rFonts w:ascii="黑体" w:eastAsia="黑体" w:hAnsi="黑体"/>
          <w:sz w:val="24"/>
        </w:rPr>
        <w:br w:type="page"/>
      </w:r>
    </w:p>
    <w:p w:rsidR="00D0295A" w:rsidRDefault="00597095" w:rsidP="004B4672">
      <w:pPr>
        <w:spacing w:line="360" w:lineRule="auto"/>
        <w:rPr>
          <w:rFonts w:ascii="-webkit-standard" w:hAnsi="-webkit-standard" w:hint="eastAsia"/>
          <w:color w:val="000000"/>
          <w:sz w:val="27"/>
          <w:szCs w:val="27"/>
        </w:rPr>
      </w:pPr>
      <w:r>
        <w:rPr>
          <w:rFonts w:ascii="黑体" w:eastAsia="黑体" w:hAnsi="黑体" w:hint="eastAsia"/>
          <w:sz w:val="24"/>
        </w:rPr>
        <w:lastRenderedPageBreak/>
        <w:t>我的comments：</w:t>
      </w:r>
      <w:r>
        <w:rPr>
          <w:rFonts w:ascii="黑体" w:eastAsia="黑体" w:hAnsi="黑体"/>
          <w:sz w:val="24"/>
        </w:rPr>
        <w:br/>
        <w:t>Para1:</w:t>
      </w:r>
      <w:r w:rsidR="004B4672" w:rsidRPr="004B4672">
        <w:rPr>
          <w:rFonts w:ascii="黑体" w:eastAsia="黑体" w:hAnsi="黑体"/>
          <w:sz w:val="24"/>
        </w:rPr>
        <w:t>“</w:t>
      </w:r>
      <w:r w:rsidR="004B4672" w:rsidRPr="004B4672">
        <w:rPr>
          <w:rFonts w:ascii="黑体" w:eastAsia="黑体" w:hAnsi="黑体"/>
          <w:color w:val="000000"/>
          <w:sz w:val="24"/>
        </w:rPr>
        <w:t>Section 4.3证明了扩展廓线框架在重建观测功率中的有效性。为评估其在业务预报中的表现,我们使用NWP模式输出对比四种配置:</w:t>
      </w:r>
      <w:r w:rsidR="004B4672" w:rsidRPr="004B4672">
        <w:rPr>
          <w:rFonts w:ascii="黑体" w:eastAsia="黑体" w:hAnsi="黑体"/>
          <w:sz w:val="24"/>
        </w:rPr>
        <w:t>”</w:t>
      </w:r>
      <w:r w:rsidR="004B4672" w:rsidRPr="004B4672">
        <w:rPr>
          <w:rFonts w:ascii="黑体" w:eastAsia="黑体" w:hAnsi="黑体" w:hint="eastAsia"/>
          <w:sz w:val="24"/>
        </w:rPr>
        <w:t>这块应该说清楚指导应用的关键任务位置是什么，例如后处理订正或者是基于天气预报的功率预测风转电过程。总之现在这块这样很不清楚用处。</w:t>
      </w:r>
      <w:r w:rsidR="00FF48B6">
        <w:rPr>
          <w:rFonts w:ascii="黑体" w:eastAsia="黑体" w:hAnsi="黑体"/>
          <w:sz w:val="24"/>
        </w:rPr>
        <w:br/>
      </w:r>
      <w:r>
        <w:rPr>
          <w:rFonts w:ascii="黑体" w:eastAsia="黑体" w:hAnsi="黑体"/>
          <w:sz w:val="24"/>
        </w:rPr>
        <w:t>para1:</w:t>
      </w:r>
      <w:r w:rsidR="00FF48B6">
        <w:rPr>
          <w:rFonts w:ascii="黑体" w:eastAsia="黑体" w:hAnsi="黑体" w:hint="eastAsia"/>
          <w:sz w:val="24"/>
        </w:rPr>
        <w:t>“</w:t>
      </w:r>
      <w:r w:rsidR="00FF48B6" w:rsidRPr="00FF48B6">
        <w:rPr>
          <w:rFonts w:ascii="黑体" w:eastAsia="黑体" w:hAnsi="黑体"/>
          <w:sz w:val="24"/>
        </w:rPr>
        <w:t>与前三种使用固定特征集的配置不同,WDA针对不同流态(自由流、尾流影响和过渡扇区)训练regime-specific模型,采用Section 4.3中SHAP优化的特征子集。预报时,根据NWP预测的风向选择相应模型。</w:t>
      </w:r>
      <w:r w:rsidR="00FF48B6">
        <w:rPr>
          <w:rFonts w:ascii="黑体" w:eastAsia="黑体" w:hAnsi="黑体" w:hint="eastAsia"/>
          <w:sz w:val="24"/>
        </w:rPr>
        <w:t>”第一段还是没有说出来</w:t>
      </w:r>
      <w:r w:rsidR="00FF48B6">
        <w:rPr>
          <w:rFonts w:ascii="黑体" w:eastAsia="黑体" w:hAnsi="黑体"/>
          <w:sz w:val="24"/>
        </w:rPr>
        <w:t>WDA</w:t>
      </w:r>
      <w:r w:rsidR="00FF48B6">
        <w:rPr>
          <w:rFonts w:ascii="黑体" w:eastAsia="黑体" w:hAnsi="黑体" w:hint="eastAsia"/>
          <w:sz w:val="24"/>
        </w:rPr>
        <w:t>策略是基于实际应用操作真实能够实现的构建的一个可操作这样特点的一个方案。</w:t>
      </w:r>
      <w:r w:rsidR="00FF5531">
        <w:rPr>
          <w:rFonts w:ascii="黑体" w:eastAsia="黑体" w:hAnsi="黑体"/>
          <w:sz w:val="24"/>
        </w:rPr>
        <w:br/>
      </w:r>
      <w:r>
        <w:rPr>
          <w:rFonts w:ascii="黑体" w:eastAsia="黑体" w:hAnsi="黑体"/>
          <w:sz w:val="24"/>
        </w:rPr>
        <w:t>para2:</w:t>
      </w:r>
      <w:r w:rsidR="00FF5531">
        <w:rPr>
          <w:rFonts w:ascii="黑体" w:eastAsia="黑体" w:hAnsi="黑体" w:hint="eastAsia"/>
          <w:sz w:val="24"/>
        </w:rPr>
        <w:t>“</w:t>
      </w:r>
      <w:r w:rsidR="00FF5531" w:rsidRPr="00FF5531">
        <w:rPr>
          <w:rFonts w:ascii="黑体" w:eastAsia="黑体" w:hAnsi="黑体"/>
          <w:sz w:val="24"/>
        </w:rPr>
        <w:t>对于EC-WRF驱动的预报,WDA达到R</w:t>
      </w:r>
      <w:r w:rsidR="00FF5531" w:rsidRPr="00FF5531">
        <w:rPr>
          <w:rFonts w:ascii="Calibri" w:eastAsia="黑体" w:hAnsi="Calibri" w:cs="Calibri"/>
          <w:sz w:val="24"/>
        </w:rPr>
        <w:t>²</w:t>
      </w:r>
      <w:r w:rsidR="00FF5531" w:rsidRPr="00FF5531">
        <w:rPr>
          <w:rFonts w:ascii="黑体" w:eastAsia="黑体" w:hAnsi="黑体"/>
          <w:sz w:val="24"/>
        </w:rPr>
        <w:t xml:space="preserve"> = 0.37和RMSE = 32.12 kW,相比HH(R</w:t>
      </w:r>
      <w:r w:rsidR="00FF5531" w:rsidRPr="00FF5531">
        <w:rPr>
          <w:rFonts w:ascii="Calibri" w:eastAsia="黑体" w:hAnsi="Calibri" w:cs="Calibri"/>
          <w:sz w:val="24"/>
        </w:rPr>
        <w:t>²</w:t>
      </w:r>
      <w:r w:rsidR="00FF5531" w:rsidRPr="00FF5531">
        <w:rPr>
          <w:rFonts w:ascii="黑体" w:eastAsia="黑体" w:hAnsi="黑体"/>
          <w:sz w:val="24"/>
        </w:rPr>
        <w:t xml:space="preserve"> = 0.28, RMSE = 34.31 kW)、SR(R</w:t>
      </w:r>
      <w:r w:rsidR="00FF5531" w:rsidRPr="00FF5531">
        <w:rPr>
          <w:rFonts w:ascii="Calibri" w:eastAsia="黑体" w:hAnsi="Calibri" w:cs="Calibri"/>
          <w:sz w:val="24"/>
        </w:rPr>
        <w:t>²</w:t>
      </w:r>
      <w:r w:rsidR="00FF5531" w:rsidRPr="00FF5531">
        <w:rPr>
          <w:rFonts w:ascii="黑体" w:eastAsia="黑体" w:hAnsi="黑体"/>
          <w:sz w:val="24"/>
        </w:rPr>
        <w:t xml:space="preserve"> = 0.32, RMSE = 33.42 kW)和ER(R</w:t>
      </w:r>
      <w:r w:rsidR="00FF5531" w:rsidRPr="00FF5531">
        <w:rPr>
          <w:rFonts w:ascii="Calibri" w:eastAsia="黑体" w:hAnsi="Calibri" w:cs="Calibri"/>
          <w:sz w:val="24"/>
        </w:rPr>
        <w:t>²</w:t>
      </w:r>
      <w:r w:rsidR="00FF5531" w:rsidRPr="00FF5531">
        <w:rPr>
          <w:rFonts w:ascii="黑体" w:eastAsia="黑体" w:hAnsi="黑体"/>
          <w:sz w:val="24"/>
        </w:rPr>
        <w:t xml:space="preserve"> = 0.35, RMSE = 32.78 kW)。</w:t>
      </w:r>
      <w:r w:rsidR="00FF5531">
        <w:rPr>
          <w:rFonts w:ascii="黑体" w:eastAsia="黑体" w:hAnsi="黑体" w:hint="eastAsia"/>
          <w:sz w:val="24"/>
        </w:rPr>
        <w:t>”这段话没说完，后面应该加一句“预测能力确有提升”。</w:t>
      </w:r>
      <w:r w:rsidR="00FF5531">
        <w:rPr>
          <w:rFonts w:ascii="黑体" w:eastAsia="黑体" w:hAnsi="黑体"/>
          <w:sz w:val="24"/>
        </w:rPr>
        <w:br/>
      </w:r>
      <w:r>
        <w:rPr>
          <w:rFonts w:ascii="黑体" w:eastAsia="黑体" w:hAnsi="黑体"/>
          <w:sz w:val="24"/>
        </w:rPr>
        <w:t>para3:</w:t>
      </w:r>
      <w:r w:rsidR="00FF5531">
        <w:rPr>
          <w:rFonts w:ascii="黑体" w:eastAsia="黑体" w:hAnsi="黑体" w:hint="eastAsia"/>
          <w:sz w:val="24"/>
        </w:rPr>
        <w:t>“</w:t>
      </w:r>
      <w:r w:rsidR="00FF5531" w:rsidRPr="00FF5531">
        <w:rPr>
          <w:rFonts w:ascii="黑体" w:eastAsia="黑体" w:hAnsi="黑体"/>
          <w:sz w:val="24"/>
        </w:rPr>
        <w:t>这种对比反映了WDA将预测锚定在稳定的10-m近地面层的能力,Section 4.1已确认该层在尾流污染条件下能更清晰地代表背景气流</w:t>
      </w:r>
      <w:r w:rsidR="00FF5531">
        <w:rPr>
          <w:rFonts w:ascii="黑体" w:eastAsia="黑体" w:hAnsi="黑体" w:hint="eastAsia"/>
          <w:sz w:val="24"/>
        </w:rPr>
        <w:t>”这个地方是否有必要经常</w:t>
      </w:r>
      <w:r w:rsidR="00FF5531">
        <w:rPr>
          <w:rFonts w:ascii="黑体" w:eastAsia="黑体" w:hAnsi="黑体"/>
          <w:sz w:val="24"/>
        </w:rPr>
        <w:t>call back</w:t>
      </w:r>
      <w:r w:rsidR="00FF5531">
        <w:rPr>
          <w:rFonts w:ascii="黑体" w:eastAsia="黑体" w:hAnsi="黑体" w:hint="eastAsia"/>
          <w:sz w:val="24"/>
        </w:rPr>
        <w:t xml:space="preserve"> </w:t>
      </w:r>
      <w:r w:rsidR="00FF5531">
        <w:rPr>
          <w:rFonts w:ascii="黑体" w:eastAsia="黑体" w:hAnsi="黑体"/>
          <w:sz w:val="24"/>
        </w:rPr>
        <w:t>section4.1</w:t>
      </w:r>
      <w:r w:rsidR="00FF5531">
        <w:rPr>
          <w:rFonts w:ascii="黑体" w:eastAsia="黑体" w:hAnsi="黑体" w:hint="eastAsia"/>
          <w:sz w:val="24"/>
        </w:rPr>
        <w:t>呢？可能更多的discussion应该给真实后处理订正方法应用一些切实可行的指导和</w:t>
      </w:r>
      <w:r>
        <w:rPr>
          <w:rFonts w:ascii="黑体" w:eastAsia="黑体" w:hAnsi="黑体" w:hint="eastAsia"/>
          <w:sz w:val="24"/>
        </w:rPr>
        <w:t>启示/？也需要与introduction提及的行业问题有所</w:t>
      </w:r>
      <w:r>
        <w:rPr>
          <w:rFonts w:ascii="黑体" w:eastAsia="黑体" w:hAnsi="黑体"/>
          <w:sz w:val="24"/>
        </w:rPr>
        <w:t>call back</w:t>
      </w:r>
      <w:r>
        <w:rPr>
          <w:rFonts w:ascii="黑体" w:eastAsia="黑体" w:hAnsi="黑体" w:hint="eastAsia"/>
          <w:sz w:val="24"/>
        </w:rPr>
        <w:t>，这部分我们应该引用一个</w:t>
      </w:r>
      <w:hyperlink r:id="rId4" w:history="1">
        <w:r w:rsidRPr="0092722F">
          <w:rPr>
            <w:rStyle w:val="ae"/>
            <w:rFonts w:ascii="黑体" w:eastAsia="黑体" w:hAnsi="黑体"/>
            <w:sz w:val="24"/>
          </w:rPr>
          <w:t>https://doi.org/10.1016/j.enconman.2025.120738</w:t>
        </w:r>
      </w:hyperlink>
      <w:r>
        <w:rPr>
          <w:rFonts w:ascii="黑体" w:eastAsia="黑体" w:hAnsi="黑体" w:hint="eastAsia"/>
          <w:sz w:val="24"/>
        </w:rPr>
        <w:t>这个research，这个研究是最新的一个研究，正是涉及到了我们这个关注的问题的本质，并且在他们的初次尝试中得到了有效性的验证。</w:t>
      </w:r>
      <w:r>
        <w:rPr>
          <w:rFonts w:ascii="黑体" w:eastAsia="黑体" w:hAnsi="黑体"/>
          <w:sz w:val="24"/>
        </w:rPr>
        <w:br/>
        <w:t>para4</w:t>
      </w:r>
      <w:r>
        <w:rPr>
          <w:rFonts w:ascii="黑体" w:eastAsia="黑体" w:hAnsi="黑体" w:hint="eastAsia"/>
          <w:sz w:val="24"/>
        </w:rPr>
        <w:t>开头：</w:t>
      </w:r>
      <w:r>
        <w:rPr>
          <w:rFonts w:ascii="-webkit-standard" w:hAnsi="-webkit-standard"/>
          <w:color w:val="000000"/>
          <w:sz w:val="27"/>
          <w:szCs w:val="27"/>
        </w:rPr>
        <w:t>需要注意几个局限性。</w:t>
      </w:r>
      <w:r>
        <w:rPr>
          <w:rFonts w:ascii="-webkit-standard" w:hAnsi="-webkit-standard" w:hint="eastAsia"/>
          <w:color w:val="000000"/>
          <w:sz w:val="27"/>
          <w:szCs w:val="27"/>
        </w:rPr>
        <w:t>这句话写的有点没有很顺畅，这段是要说明我们这个</w:t>
      </w:r>
      <w:r>
        <w:rPr>
          <w:rFonts w:ascii="-webkit-standard" w:hAnsi="-webkit-standard" w:hint="eastAsia"/>
          <w:color w:val="000000"/>
          <w:sz w:val="27"/>
          <w:szCs w:val="27"/>
        </w:rPr>
        <w:t>study</w:t>
      </w:r>
      <w:r>
        <w:rPr>
          <w:rFonts w:ascii="-webkit-standard" w:hAnsi="-webkit-standard" w:hint="eastAsia"/>
          <w:color w:val="000000"/>
          <w:sz w:val="27"/>
          <w:szCs w:val="27"/>
        </w:rPr>
        <w:t>的局限性和</w:t>
      </w:r>
      <w:r>
        <w:rPr>
          <w:rFonts w:ascii="-webkit-standard" w:hAnsi="-webkit-standard" w:hint="eastAsia"/>
          <w:color w:val="000000"/>
          <w:sz w:val="27"/>
          <w:szCs w:val="27"/>
        </w:rPr>
        <w:t>limitation</w:t>
      </w:r>
      <w:r>
        <w:rPr>
          <w:rFonts w:ascii="-webkit-standard" w:hAnsi="-webkit-standard" w:hint="eastAsia"/>
          <w:color w:val="000000"/>
          <w:sz w:val="27"/>
          <w:szCs w:val="27"/>
        </w:rPr>
        <w:t>。“</w:t>
      </w:r>
      <w:r>
        <w:rPr>
          <w:rFonts w:ascii="-webkit-standard" w:hAnsi="-webkit-standard"/>
          <w:color w:val="000000"/>
          <w:sz w:val="27"/>
          <w:szCs w:val="27"/>
        </w:rPr>
        <w:t>首先</w:t>
      </w:r>
      <w:r>
        <w:rPr>
          <w:rFonts w:ascii="-webkit-standard" w:hAnsi="-webkit-standard"/>
          <w:color w:val="000000"/>
          <w:sz w:val="27"/>
          <w:szCs w:val="27"/>
        </w:rPr>
        <w:t>,surface-anchoring</w:t>
      </w:r>
      <w:r>
        <w:rPr>
          <w:rFonts w:ascii="-webkit-standard" w:hAnsi="-webkit-standard"/>
          <w:color w:val="000000"/>
          <w:sz w:val="27"/>
          <w:szCs w:val="27"/>
        </w:rPr>
        <w:t>机制依赖于平坦地形特有的地形均一性</w:t>
      </w:r>
      <w:r>
        <w:rPr>
          <w:rFonts w:ascii="-webkit-standard" w:hAnsi="-webkit-standard"/>
          <w:color w:val="000000"/>
          <w:sz w:val="27"/>
          <w:szCs w:val="27"/>
        </w:rPr>
        <w:t>;</w:t>
      </w:r>
      <w:r>
        <w:rPr>
          <w:rFonts w:ascii="-webkit-standard" w:hAnsi="-webkit-standard"/>
          <w:color w:val="000000"/>
          <w:sz w:val="27"/>
          <w:szCs w:val="27"/>
        </w:rPr>
        <w:t>复杂地形中的坡面流动或气动遮蔽可能解耦近地面层和上层风。其次</w:t>
      </w:r>
      <w:r>
        <w:rPr>
          <w:rFonts w:ascii="-webkit-standard" w:hAnsi="-webkit-standard"/>
          <w:color w:val="000000"/>
          <w:sz w:val="27"/>
          <w:szCs w:val="27"/>
        </w:rPr>
        <w:t>,WDA</w:t>
      </w:r>
      <w:r>
        <w:rPr>
          <w:rFonts w:ascii="-webkit-standard" w:hAnsi="-webkit-standard"/>
          <w:color w:val="000000"/>
          <w:sz w:val="27"/>
          <w:szCs w:val="27"/>
        </w:rPr>
        <w:t>性能依赖于</w:t>
      </w:r>
      <w:r>
        <w:rPr>
          <w:rFonts w:ascii="-webkit-standard" w:hAnsi="-webkit-standard"/>
          <w:color w:val="000000"/>
          <w:sz w:val="27"/>
          <w:szCs w:val="27"/>
        </w:rPr>
        <w:t>NWP</w:t>
      </w:r>
      <w:r>
        <w:rPr>
          <w:rFonts w:ascii="-webkit-standard" w:hAnsi="-webkit-standard"/>
          <w:color w:val="000000"/>
          <w:sz w:val="27"/>
          <w:szCs w:val="27"/>
        </w:rPr>
        <w:t>风向精度</w:t>
      </w:r>
      <w:r>
        <w:rPr>
          <w:rFonts w:ascii="-webkit-standard" w:hAnsi="-webkit-standard"/>
          <w:color w:val="000000"/>
          <w:sz w:val="27"/>
          <w:szCs w:val="27"/>
        </w:rPr>
        <w:t>,</w:t>
      </w:r>
      <w:r>
        <w:rPr>
          <w:rFonts w:ascii="-webkit-standard" w:hAnsi="-webkit-standard"/>
          <w:color w:val="000000"/>
          <w:sz w:val="27"/>
          <w:szCs w:val="27"/>
        </w:rPr>
        <w:t>尽管</w:t>
      </w:r>
      <w:r>
        <w:rPr>
          <w:rFonts w:ascii="-webkit-standard" w:hAnsi="-webkit-standard"/>
          <w:color w:val="000000"/>
          <w:sz w:val="27"/>
          <w:szCs w:val="27"/>
        </w:rPr>
        <w:t>EC-WRF</w:t>
      </w:r>
      <w:r>
        <w:rPr>
          <w:rFonts w:ascii="-webkit-standard" w:hAnsi="-webkit-standard"/>
          <w:color w:val="000000"/>
          <w:sz w:val="27"/>
          <w:szCs w:val="27"/>
        </w:rPr>
        <w:t>和</w:t>
      </w:r>
      <w:r>
        <w:rPr>
          <w:rFonts w:ascii="-webkit-standard" w:hAnsi="-webkit-standard"/>
          <w:color w:val="000000"/>
          <w:sz w:val="27"/>
          <w:szCs w:val="27"/>
        </w:rPr>
        <w:t>GFS-WRF</w:t>
      </w:r>
      <w:r>
        <w:rPr>
          <w:rFonts w:ascii="-webkit-standard" w:hAnsi="-webkit-standard"/>
          <w:color w:val="000000"/>
          <w:sz w:val="27"/>
          <w:szCs w:val="27"/>
        </w:rPr>
        <w:t>的结果表明对典型风向偏差具有鲁棒性。最后</w:t>
      </w:r>
      <w:r>
        <w:rPr>
          <w:rFonts w:ascii="-webkit-standard" w:hAnsi="-webkit-standard"/>
          <w:color w:val="000000"/>
          <w:sz w:val="27"/>
          <w:szCs w:val="27"/>
        </w:rPr>
        <w:t>,</w:t>
      </w:r>
      <w:r>
        <w:rPr>
          <w:rFonts w:ascii="-webkit-standard" w:hAnsi="-webkit-standard"/>
          <w:color w:val="000000"/>
          <w:sz w:val="27"/>
          <w:szCs w:val="27"/>
        </w:rPr>
        <w:t>明确纳入稳定度参数</w:t>
      </w:r>
      <w:r>
        <w:rPr>
          <w:rFonts w:ascii="-webkit-standard" w:hAnsi="-webkit-standard"/>
          <w:color w:val="000000"/>
          <w:sz w:val="27"/>
          <w:szCs w:val="27"/>
        </w:rPr>
        <w:t>(</w:t>
      </w:r>
      <w:r>
        <w:rPr>
          <w:rFonts w:ascii="-webkit-standard" w:hAnsi="-webkit-standard"/>
          <w:color w:val="000000"/>
          <w:sz w:val="27"/>
          <w:szCs w:val="27"/>
        </w:rPr>
        <w:t>如</w:t>
      </w:r>
      <w:r>
        <w:rPr>
          <w:rFonts w:ascii="-webkit-standard" w:hAnsi="-webkit-standard"/>
          <w:color w:val="000000"/>
          <w:sz w:val="27"/>
          <w:szCs w:val="27"/>
        </w:rPr>
        <w:t>Monin-Obukhov</w:t>
      </w:r>
      <w:r>
        <w:rPr>
          <w:rFonts w:ascii="-webkit-standard" w:hAnsi="-webkit-standard"/>
          <w:color w:val="000000"/>
          <w:sz w:val="27"/>
          <w:szCs w:val="27"/>
        </w:rPr>
        <w:t>长度</w:t>
      </w:r>
      <w:r>
        <w:rPr>
          <w:rFonts w:ascii="-webkit-standard" w:hAnsi="-webkit-standard"/>
          <w:color w:val="000000"/>
          <w:sz w:val="27"/>
          <w:szCs w:val="27"/>
        </w:rPr>
        <w:t>)</w:t>
      </w:r>
      <w:r>
        <w:rPr>
          <w:rFonts w:ascii="-webkit-standard" w:hAnsi="-webkit-standard"/>
          <w:color w:val="000000"/>
          <w:sz w:val="27"/>
          <w:szCs w:val="27"/>
        </w:rPr>
        <w:t>可以</w:t>
      </w:r>
      <w:r>
        <w:rPr>
          <w:rFonts w:ascii="-webkit-standard" w:hAnsi="-webkit-standard"/>
          <w:color w:val="000000"/>
          <w:sz w:val="27"/>
          <w:szCs w:val="27"/>
        </w:rPr>
        <w:lastRenderedPageBreak/>
        <w:t>改进极端热力条件下的垂直廓线表征。</w:t>
      </w:r>
      <w:r>
        <w:rPr>
          <w:rFonts w:ascii="-webkit-standard" w:hAnsi="-webkit-standard" w:hint="eastAsia"/>
          <w:color w:val="000000"/>
          <w:sz w:val="27"/>
          <w:szCs w:val="27"/>
        </w:rPr>
        <w:t>”这个总结的</w:t>
      </w:r>
      <w:r>
        <w:rPr>
          <w:rFonts w:ascii="-webkit-standard" w:hAnsi="-webkit-standard" w:hint="eastAsia"/>
          <w:color w:val="000000"/>
          <w:sz w:val="27"/>
          <w:szCs w:val="27"/>
        </w:rPr>
        <w:t xml:space="preserve"> </w:t>
      </w:r>
      <w:r>
        <w:rPr>
          <w:rFonts w:ascii="-webkit-standard" w:hAnsi="-webkit-standard" w:hint="eastAsia"/>
          <w:color w:val="000000"/>
          <w:sz w:val="27"/>
          <w:szCs w:val="27"/>
        </w:rPr>
        <w:t>不像是我们这个</w:t>
      </w:r>
      <w:r>
        <w:rPr>
          <w:rFonts w:ascii="-webkit-standard" w:hAnsi="-webkit-standard" w:hint="eastAsia"/>
          <w:color w:val="000000"/>
          <w:sz w:val="27"/>
          <w:szCs w:val="27"/>
        </w:rPr>
        <w:t>study</w:t>
      </w:r>
      <w:r>
        <w:rPr>
          <w:rFonts w:ascii="-webkit-standard" w:hAnsi="-webkit-standard" w:hint="eastAsia"/>
          <w:color w:val="000000"/>
          <w:sz w:val="27"/>
          <w:szCs w:val="27"/>
        </w:rPr>
        <w:t>的局限性。最好还是从全文的角度总结</w:t>
      </w:r>
      <w:r>
        <w:rPr>
          <w:rFonts w:ascii="-webkit-standard" w:hAnsi="-webkit-standard" w:hint="eastAsia"/>
          <w:color w:val="000000"/>
          <w:sz w:val="27"/>
          <w:szCs w:val="27"/>
        </w:rPr>
        <w:t>3</w:t>
      </w:r>
      <w:r>
        <w:rPr>
          <w:rFonts w:ascii="-webkit-standard" w:hAnsi="-webkit-standard" w:hint="eastAsia"/>
          <w:color w:val="000000"/>
          <w:sz w:val="27"/>
          <w:szCs w:val="27"/>
        </w:rPr>
        <w:t>个关键的研究局限性以及</w:t>
      </w:r>
      <w:r>
        <w:rPr>
          <w:rFonts w:ascii="-webkit-standard" w:hAnsi="-webkit-standard" w:hint="eastAsia"/>
          <w:color w:val="000000"/>
          <w:sz w:val="27"/>
          <w:szCs w:val="27"/>
        </w:rPr>
        <w:t>future working</w:t>
      </w:r>
      <w:r>
        <w:rPr>
          <w:rFonts w:ascii="-webkit-standard" w:hAnsi="-webkit-standard" w:hint="eastAsia"/>
          <w:color w:val="000000"/>
          <w:sz w:val="27"/>
          <w:szCs w:val="27"/>
        </w:rPr>
        <w:t>。因为马上就</w:t>
      </w:r>
      <w:r>
        <w:rPr>
          <w:rFonts w:ascii="-webkit-standard" w:hAnsi="-webkit-standard" w:hint="eastAsia"/>
          <w:color w:val="000000"/>
          <w:sz w:val="27"/>
          <w:szCs w:val="27"/>
        </w:rPr>
        <w:t>conclusion</w:t>
      </w:r>
      <w:r>
        <w:rPr>
          <w:rFonts w:ascii="-webkit-standard" w:hAnsi="-webkit-standard" w:hint="eastAsia"/>
          <w:color w:val="000000"/>
          <w:sz w:val="27"/>
          <w:szCs w:val="27"/>
        </w:rPr>
        <w:t>了，只有这个位置是留给</w:t>
      </w:r>
      <w:r>
        <w:rPr>
          <w:rFonts w:ascii="-webkit-standard" w:hAnsi="-webkit-standard" w:hint="eastAsia"/>
          <w:color w:val="000000"/>
          <w:sz w:val="27"/>
          <w:szCs w:val="27"/>
        </w:rPr>
        <w:t>limitation</w:t>
      </w:r>
      <w:r>
        <w:rPr>
          <w:rFonts w:ascii="-webkit-standard" w:hAnsi="-webkit-standard" w:hint="eastAsia"/>
          <w:color w:val="000000"/>
          <w:sz w:val="27"/>
          <w:szCs w:val="27"/>
        </w:rPr>
        <w:t>和</w:t>
      </w:r>
      <w:r>
        <w:rPr>
          <w:rFonts w:ascii="-webkit-standard" w:hAnsi="-webkit-standard"/>
          <w:color w:val="000000"/>
          <w:sz w:val="27"/>
          <w:szCs w:val="27"/>
        </w:rPr>
        <w:t>future work</w:t>
      </w:r>
      <w:r>
        <w:rPr>
          <w:rFonts w:ascii="-webkit-standard" w:hAnsi="-webkit-standard" w:hint="eastAsia"/>
          <w:color w:val="000000"/>
          <w:sz w:val="27"/>
          <w:szCs w:val="27"/>
        </w:rPr>
        <w:t>的</w:t>
      </w:r>
    </w:p>
    <w:p w:rsidR="00597095" w:rsidRDefault="00597095" w:rsidP="004B4672">
      <w:pPr>
        <w:spacing w:line="360" w:lineRule="auto"/>
        <w:rPr>
          <w:rFonts w:ascii="-webkit-standard" w:hAnsi="-webkit-standard" w:hint="eastAsia"/>
          <w:color w:val="000000"/>
          <w:sz w:val="27"/>
          <w:szCs w:val="27"/>
        </w:rPr>
      </w:pPr>
    </w:p>
    <w:p w:rsidR="00597095" w:rsidRDefault="00597095" w:rsidP="004B4672">
      <w:pPr>
        <w:spacing w:line="360" w:lineRule="auto"/>
        <w:rPr>
          <w:rFonts w:ascii="-webkit-standard" w:hAnsi="-webkit-standard" w:hint="eastAsia"/>
          <w:color w:val="000000"/>
          <w:sz w:val="27"/>
          <w:szCs w:val="27"/>
        </w:rPr>
      </w:pPr>
    </w:p>
    <w:p w:rsidR="00776553" w:rsidRPr="00776553" w:rsidRDefault="00595914" w:rsidP="00776553">
      <w:pPr>
        <w:spacing w:line="360" w:lineRule="auto"/>
        <w:rPr>
          <w:rFonts w:ascii="Arial" w:eastAsia="黑体" w:hAnsi="Arial" w:cs="Arial"/>
          <w:sz w:val="24"/>
        </w:rPr>
      </w:pPr>
      <w:r>
        <w:rPr>
          <w:rFonts w:ascii="-webkit-standard" w:hAnsi="-webkit-standard" w:hint="eastAsia"/>
          <w:color w:val="000000"/>
          <w:sz w:val="27"/>
          <w:szCs w:val="27"/>
        </w:rPr>
        <w:t>1.</w:t>
      </w:r>
      <w:r>
        <w:rPr>
          <w:rFonts w:ascii="-webkit-standard" w:hAnsi="-webkit-standard" w:hint="eastAsia"/>
          <w:color w:val="000000"/>
          <w:sz w:val="27"/>
          <w:szCs w:val="27"/>
        </w:rPr>
        <w:t>“</w:t>
      </w:r>
      <w:r>
        <w:rPr>
          <w:rFonts w:ascii="-webkit-standard" w:hAnsi="-webkit-standard"/>
          <w:color w:val="000000"/>
          <w:sz w:val="27"/>
          <w:szCs w:val="27"/>
        </w:rPr>
        <w:t>然而</w:t>
      </w:r>
      <w:r>
        <w:rPr>
          <w:rFonts w:ascii="-webkit-standard" w:hAnsi="-webkit-standard"/>
          <w:color w:val="000000"/>
          <w:sz w:val="27"/>
          <w:szCs w:val="27"/>
        </w:rPr>
        <w:t>,</w:t>
      </w:r>
      <w:r>
        <w:rPr>
          <w:rFonts w:ascii="-webkit-standard" w:hAnsi="-webkit-standard"/>
          <w:color w:val="000000"/>
          <w:sz w:val="27"/>
          <w:szCs w:val="27"/>
        </w:rPr>
        <w:t>业务化风转电过程需要</w:t>
      </w:r>
      <w:r>
        <w:rPr>
          <w:rFonts w:ascii="-webkit-standard" w:hAnsi="-webkit-standard"/>
          <w:color w:val="000000"/>
          <w:sz w:val="27"/>
          <w:szCs w:val="27"/>
        </w:rPr>
        <w:t>NWP</w:t>
      </w:r>
      <w:r>
        <w:rPr>
          <w:rFonts w:ascii="-webkit-standard" w:hAnsi="-webkit-standard"/>
          <w:color w:val="000000"/>
          <w:sz w:val="27"/>
          <w:szCs w:val="27"/>
        </w:rPr>
        <w:t>模式输出作为输入</w:t>
      </w:r>
      <w:r>
        <w:rPr>
          <w:rFonts w:ascii="-webkit-standard" w:hAnsi="-webkit-standard"/>
          <w:color w:val="000000"/>
          <w:sz w:val="27"/>
          <w:szCs w:val="27"/>
        </w:rPr>
        <w:t>,</w:t>
      </w:r>
      <w:r>
        <w:rPr>
          <w:rFonts w:ascii="-webkit-standard" w:hAnsi="-webkit-standard"/>
          <w:color w:val="000000"/>
          <w:sz w:val="27"/>
          <w:szCs w:val="27"/>
        </w:rPr>
        <w:t>其中预测气象条件的系统性偏差</w:t>
      </w:r>
      <w:r>
        <w:rPr>
          <w:rFonts w:ascii="-webkit-standard" w:hAnsi="-webkit-standard"/>
          <w:color w:val="000000"/>
          <w:sz w:val="27"/>
          <w:szCs w:val="27"/>
        </w:rPr>
        <w:t>——</w:t>
      </w:r>
      <w:r>
        <w:rPr>
          <w:rFonts w:ascii="-webkit-standard" w:hAnsi="-webkit-standard"/>
          <w:color w:val="000000"/>
          <w:sz w:val="27"/>
          <w:szCs w:val="27"/>
        </w:rPr>
        <w:t>特别是受尾流影响的轮毂高度风速</w:t>
      </w:r>
      <w:r>
        <w:rPr>
          <w:rFonts w:ascii="-webkit-standard" w:hAnsi="-webkit-standard"/>
          <w:color w:val="000000"/>
          <w:sz w:val="27"/>
          <w:szCs w:val="27"/>
        </w:rPr>
        <w:t>——</w:t>
      </w:r>
      <w:r>
        <w:rPr>
          <w:rFonts w:ascii="-webkit-standard" w:hAnsi="-webkit-standard"/>
          <w:color w:val="000000"/>
          <w:sz w:val="27"/>
          <w:szCs w:val="27"/>
        </w:rPr>
        <w:t>可能限制预报精度。</w:t>
      </w:r>
      <w:r>
        <w:rPr>
          <w:rFonts w:ascii="-webkit-standard" w:hAnsi="-webkit-standard" w:hint="eastAsia"/>
          <w:color w:val="000000"/>
          <w:sz w:val="27"/>
          <w:szCs w:val="27"/>
        </w:rPr>
        <w:t>”在我们这个</w:t>
      </w:r>
      <w:r>
        <w:rPr>
          <w:rFonts w:ascii="-webkit-standard" w:hAnsi="-webkit-standard" w:hint="eastAsia"/>
          <w:color w:val="000000"/>
          <w:sz w:val="27"/>
          <w:szCs w:val="27"/>
        </w:rPr>
        <w:t>study</w:t>
      </w:r>
      <w:r>
        <w:rPr>
          <w:rFonts w:ascii="-webkit-standard" w:hAnsi="-webkit-standard" w:hint="eastAsia"/>
          <w:color w:val="000000"/>
          <w:sz w:val="27"/>
          <w:szCs w:val="27"/>
        </w:rPr>
        <w:t>里面</w:t>
      </w:r>
      <w:r w:rsidR="0086712E">
        <w:rPr>
          <w:rFonts w:ascii="-webkit-standard" w:hAnsi="-webkit-standard" w:hint="eastAsia"/>
          <w:color w:val="000000"/>
          <w:sz w:val="27"/>
          <w:szCs w:val="27"/>
        </w:rPr>
        <w:t>他们的系统性偏差不是关注重点，重点是怎么基于有效的观测校验订正然后转换为发电，这是我们这个工作关键能够发挥作用的地方。</w:t>
      </w:r>
      <w:r w:rsidR="00597095">
        <w:rPr>
          <w:rFonts w:ascii="-webkit-standard" w:hAnsi="-webkit-standard" w:hint="eastAsia"/>
          <w:color w:val="000000"/>
          <w:sz w:val="27"/>
          <w:szCs w:val="27"/>
        </w:rPr>
        <w:br/>
      </w:r>
      <w:r w:rsidR="0086712E">
        <w:rPr>
          <w:rFonts w:ascii="黑体" w:eastAsia="黑体" w:hAnsi="黑体" w:hint="eastAsia"/>
          <w:sz w:val="24"/>
        </w:rPr>
        <w:t>2.“</w:t>
      </w:r>
      <w:r w:rsidR="0086712E">
        <w:rPr>
          <w:rFonts w:ascii="-webkit-standard" w:hAnsi="-webkit-standard"/>
          <w:color w:val="000000"/>
          <w:sz w:val="27"/>
          <w:szCs w:val="27"/>
        </w:rPr>
        <w:t>为解决这一问题</w:t>
      </w:r>
      <w:r w:rsidR="0086712E">
        <w:rPr>
          <w:rFonts w:ascii="-webkit-standard" w:hAnsi="-webkit-standard"/>
          <w:color w:val="000000"/>
          <w:sz w:val="27"/>
          <w:szCs w:val="27"/>
        </w:rPr>
        <w:t>,</w:t>
      </w:r>
      <w:r w:rsidR="0086712E">
        <w:rPr>
          <w:rFonts w:ascii="-webkit-standard" w:hAnsi="-webkit-standard"/>
          <w:color w:val="000000"/>
          <w:sz w:val="27"/>
          <w:szCs w:val="27"/>
        </w:rPr>
        <w:t>我们提出了一种优化的基于上述认识的风向感知</w:t>
      </w:r>
      <w:r w:rsidR="0086712E">
        <w:rPr>
          <w:rFonts w:ascii="-webkit-standard" w:hAnsi="-webkit-standard"/>
          <w:color w:val="000000"/>
          <w:sz w:val="27"/>
          <w:szCs w:val="27"/>
        </w:rPr>
        <w:t>(WDA)</w:t>
      </w:r>
      <w:r w:rsidR="0086712E">
        <w:rPr>
          <w:rFonts w:ascii="-webkit-standard" w:hAnsi="-webkit-standard"/>
          <w:color w:val="000000"/>
          <w:sz w:val="27"/>
          <w:szCs w:val="27"/>
        </w:rPr>
        <w:t>后处理策略</w:t>
      </w:r>
      <w:r w:rsidR="0086712E">
        <w:rPr>
          <w:rFonts w:ascii="-webkit-standard" w:hAnsi="-webkit-standard"/>
          <w:color w:val="000000"/>
          <w:sz w:val="27"/>
          <w:szCs w:val="27"/>
        </w:rPr>
        <w:t>,</w:t>
      </w:r>
      <w:r w:rsidR="0086712E">
        <w:rPr>
          <w:rFonts w:ascii="-webkit-standard" w:hAnsi="-webkit-standard"/>
          <w:color w:val="000000"/>
          <w:sz w:val="27"/>
          <w:szCs w:val="27"/>
        </w:rPr>
        <w:t>该策略基于上文识别的</w:t>
      </w:r>
      <w:r w:rsidR="0086712E">
        <w:rPr>
          <w:rFonts w:ascii="-webkit-standard" w:hAnsi="-webkit-standard"/>
          <w:color w:val="000000"/>
          <w:sz w:val="27"/>
          <w:szCs w:val="27"/>
        </w:rPr>
        <w:t>regime-dependent surface-anchoring</w:t>
      </w:r>
      <w:r w:rsidR="0086712E">
        <w:rPr>
          <w:rFonts w:ascii="-webkit-standard" w:hAnsi="-webkit-standard"/>
          <w:color w:val="000000"/>
          <w:sz w:val="27"/>
          <w:szCs w:val="27"/>
        </w:rPr>
        <w:t>机制。</w:t>
      </w:r>
      <w:r w:rsidR="0086712E">
        <w:rPr>
          <w:rFonts w:ascii="黑体" w:eastAsia="黑体" w:hAnsi="黑体" w:hint="eastAsia"/>
          <w:sz w:val="24"/>
        </w:rPr>
        <w:t>”这句话你改的太生硬了，你融合一下然后精炼一下。</w:t>
      </w:r>
      <w:r w:rsidR="0086712E">
        <w:rPr>
          <w:rFonts w:ascii="黑体" w:eastAsia="黑体" w:hAnsi="黑体"/>
          <w:sz w:val="24"/>
        </w:rPr>
        <w:br/>
      </w:r>
      <w:r w:rsidR="0086712E">
        <w:rPr>
          <w:rFonts w:ascii="黑体" w:eastAsia="黑体" w:hAnsi="黑体" w:hint="eastAsia"/>
          <w:sz w:val="24"/>
        </w:rPr>
        <w:t>3.“</w:t>
      </w:r>
      <w:r w:rsidR="0086712E">
        <w:rPr>
          <w:rFonts w:ascii="-webkit-standard" w:hAnsi="-webkit-standard"/>
          <w:color w:val="000000"/>
          <w:sz w:val="27"/>
          <w:szCs w:val="27"/>
        </w:rPr>
        <w:t>图</w:t>
      </w:r>
      <w:r w:rsidR="0086712E">
        <w:rPr>
          <w:rFonts w:ascii="-webkit-standard" w:hAnsi="-webkit-standard"/>
          <w:color w:val="000000"/>
          <w:sz w:val="27"/>
          <w:szCs w:val="27"/>
        </w:rPr>
        <w:t>4A</w:t>
      </w:r>
      <w:r w:rsidR="0086712E">
        <w:rPr>
          <w:rFonts w:ascii="-webkit-standard" w:hAnsi="-webkit-standard"/>
          <w:color w:val="000000"/>
          <w:sz w:val="27"/>
          <w:szCs w:val="27"/>
        </w:rPr>
        <w:t>和</w:t>
      </w:r>
      <w:r w:rsidR="0086712E">
        <w:rPr>
          <w:rFonts w:ascii="-webkit-standard" w:hAnsi="-webkit-standard"/>
          <w:color w:val="000000"/>
          <w:sz w:val="27"/>
          <w:szCs w:val="27"/>
        </w:rPr>
        <w:t>4C</w:t>
      </w:r>
      <w:r w:rsidR="0086712E">
        <w:rPr>
          <w:rFonts w:ascii="-webkit-standard" w:hAnsi="-webkit-standard"/>
          <w:color w:val="000000"/>
          <w:sz w:val="27"/>
          <w:szCs w:val="27"/>
        </w:rPr>
        <w:t>显示了两个</w:t>
      </w:r>
      <w:r w:rsidR="0086712E">
        <w:rPr>
          <w:rFonts w:ascii="-webkit-standard" w:hAnsi="-webkit-standard"/>
          <w:color w:val="000000"/>
          <w:sz w:val="27"/>
          <w:szCs w:val="27"/>
        </w:rPr>
        <w:t>NWP</w:t>
      </w:r>
      <w:r w:rsidR="0086712E">
        <w:rPr>
          <w:rFonts w:ascii="-webkit-standard" w:hAnsi="-webkit-standard"/>
          <w:color w:val="000000"/>
          <w:sz w:val="27"/>
          <w:szCs w:val="27"/>
        </w:rPr>
        <w:t>数据集的业务预报性能。</w:t>
      </w:r>
      <w:r w:rsidR="0086712E">
        <w:rPr>
          <w:rFonts w:ascii="黑体" w:eastAsia="黑体" w:hAnsi="黑体" w:hint="eastAsia"/>
          <w:sz w:val="24"/>
        </w:rPr>
        <w:t>”这句话意思不对啊，是基于这两个数据集计算出来的功率预测的性能，你这样说还以为是风速预测性能。</w:t>
      </w:r>
      <w:r w:rsidR="0086712E">
        <w:rPr>
          <w:rFonts w:ascii="黑体" w:eastAsia="黑体" w:hAnsi="黑体"/>
          <w:sz w:val="24"/>
        </w:rPr>
        <w:br/>
      </w:r>
      <w:r w:rsidR="0086712E">
        <w:rPr>
          <w:rFonts w:ascii="黑体" w:eastAsia="黑体" w:hAnsi="黑体" w:hint="eastAsia"/>
          <w:sz w:val="24"/>
        </w:rPr>
        <w:t>4.“</w:t>
      </w:r>
      <w:r w:rsidR="0086712E">
        <w:rPr>
          <w:rFonts w:ascii="-webkit-standard" w:hAnsi="-webkit-standard"/>
          <w:color w:val="000000"/>
          <w:sz w:val="27"/>
          <w:szCs w:val="27"/>
        </w:rPr>
        <w:t>值得注意的是</w:t>
      </w:r>
      <w:r w:rsidR="0086712E">
        <w:rPr>
          <w:rFonts w:ascii="-webkit-standard" w:hAnsi="-webkit-standard"/>
          <w:color w:val="000000"/>
          <w:sz w:val="27"/>
          <w:szCs w:val="27"/>
        </w:rPr>
        <w:t>,</w:t>
      </w:r>
      <w:r w:rsidR="0086712E">
        <w:rPr>
          <w:rFonts w:ascii="-webkit-standard" w:hAnsi="-webkit-standard"/>
          <w:color w:val="000000"/>
          <w:sz w:val="27"/>
          <w:szCs w:val="27"/>
        </w:rPr>
        <w:t>尽管较少了特征</w:t>
      </w:r>
      <w:r w:rsidR="0086712E">
        <w:rPr>
          <w:rFonts w:ascii="-webkit-standard" w:hAnsi="-webkit-standard"/>
          <w:color w:val="000000"/>
          <w:sz w:val="27"/>
          <w:szCs w:val="27"/>
        </w:rPr>
        <w:t>,WDA</w:t>
      </w:r>
      <w:r w:rsidR="0086712E">
        <w:rPr>
          <w:rFonts w:ascii="-webkit-standard" w:hAnsi="-webkit-standard"/>
          <w:color w:val="000000"/>
          <w:sz w:val="27"/>
          <w:szCs w:val="27"/>
        </w:rPr>
        <w:t>仍优于</w:t>
      </w:r>
      <w:r w:rsidR="0086712E">
        <w:rPr>
          <w:rFonts w:ascii="-webkit-standard" w:hAnsi="-webkit-standard"/>
          <w:color w:val="000000"/>
          <w:sz w:val="27"/>
          <w:szCs w:val="27"/>
        </w:rPr>
        <w:t>ER,</w:t>
      </w:r>
      <w:r w:rsidR="0086712E">
        <w:rPr>
          <w:rFonts w:ascii="-webkit-standard" w:hAnsi="-webkit-standard"/>
          <w:color w:val="000000"/>
          <w:sz w:val="27"/>
          <w:szCs w:val="27"/>
        </w:rPr>
        <w:t>表明针对不同流态的特征选择能消除尾流条件下的冗余信息</w:t>
      </w:r>
      <w:r w:rsidR="0086712E">
        <w:rPr>
          <w:rFonts w:ascii="-webkit-standard" w:hAnsi="-webkit-standard"/>
          <w:color w:val="000000"/>
          <w:sz w:val="27"/>
          <w:szCs w:val="27"/>
        </w:rPr>
        <w:t>,</w:t>
      </w:r>
      <w:r w:rsidR="0086712E">
        <w:rPr>
          <w:rFonts w:ascii="-webkit-standard" w:hAnsi="-webkit-standard"/>
          <w:color w:val="000000"/>
          <w:sz w:val="27"/>
          <w:szCs w:val="27"/>
        </w:rPr>
        <w:t>并提供更有效的</w:t>
      </w:r>
      <w:r w:rsidR="0086712E">
        <w:rPr>
          <w:rFonts w:ascii="-webkit-standard" w:hAnsi="-webkit-standard"/>
          <w:color w:val="000000"/>
          <w:sz w:val="27"/>
          <w:szCs w:val="27"/>
        </w:rPr>
        <w:t>NWP</w:t>
      </w:r>
      <w:r w:rsidR="0086712E">
        <w:rPr>
          <w:rFonts w:ascii="-webkit-standard" w:hAnsi="-webkit-standard"/>
          <w:color w:val="000000"/>
          <w:sz w:val="27"/>
          <w:szCs w:val="27"/>
        </w:rPr>
        <w:t>偏差校正。</w:t>
      </w:r>
      <w:r w:rsidR="0086712E">
        <w:rPr>
          <w:rFonts w:ascii="黑体" w:eastAsia="黑体" w:hAnsi="黑体" w:hint="eastAsia"/>
          <w:sz w:val="24"/>
        </w:rPr>
        <w:t>”改成“</w:t>
      </w:r>
      <w:r w:rsidR="0086712E">
        <w:rPr>
          <w:rFonts w:ascii="-webkit-standard" w:hAnsi="-webkit-standard"/>
          <w:color w:val="000000"/>
          <w:sz w:val="27"/>
          <w:szCs w:val="27"/>
        </w:rPr>
        <w:t>值得注意的是</w:t>
      </w:r>
      <w:r w:rsidR="0086712E">
        <w:rPr>
          <w:rFonts w:ascii="-webkit-standard" w:hAnsi="-webkit-standard"/>
          <w:color w:val="000000"/>
          <w:sz w:val="27"/>
          <w:szCs w:val="27"/>
        </w:rPr>
        <w:t>,</w:t>
      </w:r>
      <w:r w:rsidR="0086712E">
        <w:rPr>
          <w:rFonts w:ascii="-webkit-standard" w:hAnsi="-webkit-standard"/>
          <w:color w:val="000000"/>
          <w:sz w:val="27"/>
          <w:szCs w:val="27"/>
        </w:rPr>
        <w:t>尽管</w:t>
      </w:r>
      <w:r w:rsidR="0086712E">
        <w:rPr>
          <w:rFonts w:ascii="-webkit-standard" w:hAnsi="-webkit-standard" w:hint="eastAsia"/>
          <w:color w:val="000000"/>
          <w:sz w:val="27"/>
          <w:szCs w:val="27"/>
        </w:rPr>
        <w:t>减少</w:t>
      </w:r>
      <w:r w:rsidR="0086712E">
        <w:rPr>
          <w:rFonts w:ascii="-webkit-standard" w:hAnsi="-webkit-standard"/>
          <w:color w:val="000000"/>
          <w:sz w:val="27"/>
          <w:szCs w:val="27"/>
        </w:rPr>
        <w:t>了特征</w:t>
      </w:r>
      <w:r w:rsidR="0086712E">
        <w:rPr>
          <w:rFonts w:ascii="-webkit-standard" w:hAnsi="-webkit-standard" w:hint="eastAsia"/>
          <w:color w:val="000000"/>
          <w:sz w:val="27"/>
          <w:szCs w:val="27"/>
        </w:rPr>
        <w:t>个数</w:t>
      </w:r>
      <w:r w:rsidR="0086712E">
        <w:rPr>
          <w:rFonts w:ascii="-webkit-standard" w:hAnsi="-webkit-standard"/>
          <w:color w:val="000000"/>
          <w:sz w:val="27"/>
          <w:szCs w:val="27"/>
        </w:rPr>
        <w:t>,WDA</w:t>
      </w:r>
      <w:r w:rsidR="0086712E">
        <w:rPr>
          <w:rFonts w:ascii="-webkit-standard" w:hAnsi="-webkit-standard"/>
          <w:color w:val="000000"/>
          <w:sz w:val="27"/>
          <w:szCs w:val="27"/>
        </w:rPr>
        <w:t>仍优于</w:t>
      </w:r>
      <w:r w:rsidR="0086712E">
        <w:rPr>
          <w:rFonts w:ascii="-webkit-standard" w:hAnsi="-webkit-standard"/>
          <w:color w:val="000000"/>
          <w:sz w:val="27"/>
          <w:szCs w:val="27"/>
        </w:rPr>
        <w:t>ER,</w:t>
      </w:r>
      <w:r w:rsidR="0086712E">
        <w:rPr>
          <w:rFonts w:ascii="-webkit-standard" w:hAnsi="-webkit-standard"/>
          <w:color w:val="000000"/>
          <w:sz w:val="27"/>
          <w:szCs w:val="27"/>
        </w:rPr>
        <w:t>表明针对不同流态的特征选择能消除尾流条件下的冗余信息</w:t>
      </w:r>
      <w:r w:rsidR="0086712E">
        <w:rPr>
          <w:rFonts w:ascii="-webkit-standard" w:hAnsi="-webkit-standard"/>
          <w:color w:val="000000"/>
          <w:sz w:val="27"/>
          <w:szCs w:val="27"/>
        </w:rPr>
        <w:t>,</w:t>
      </w:r>
      <w:r w:rsidR="0086712E">
        <w:rPr>
          <w:rFonts w:ascii="-webkit-standard" w:hAnsi="-webkit-standard"/>
          <w:color w:val="000000"/>
          <w:sz w:val="27"/>
          <w:szCs w:val="27"/>
        </w:rPr>
        <w:t>并提供更有效的</w:t>
      </w:r>
      <w:r w:rsidR="0086712E">
        <w:rPr>
          <w:rFonts w:ascii="-webkit-standard" w:hAnsi="-webkit-standard"/>
          <w:color w:val="000000"/>
          <w:sz w:val="27"/>
          <w:szCs w:val="27"/>
        </w:rPr>
        <w:t>NWP</w:t>
      </w:r>
      <w:r w:rsidR="0086712E">
        <w:rPr>
          <w:rFonts w:ascii="-webkit-standard" w:hAnsi="-webkit-standard"/>
          <w:color w:val="000000"/>
          <w:sz w:val="27"/>
          <w:szCs w:val="27"/>
        </w:rPr>
        <w:t>偏差校正。</w:t>
      </w:r>
      <w:r w:rsidR="0086712E">
        <w:rPr>
          <w:rFonts w:ascii="黑体" w:eastAsia="黑体" w:hAnsi="黑体" w:hint="eastAsia"/>
          <w:sz w:val="24"/>
        </w:rPr>
        <w:t>”</w:t>
      </w:r>
      <w:r w:rsidR="0086712E">
        <w:rPr>
          <w:rFonts w:ascii="黑体" w:eastAsia="黑体" w:hAnsi="黑体"/>
          <w:sz w:val="24"/>
        </w:rPr>
        <w:br/>
      </w:r>
      <w:r w:rsidR="00776553" w:rsidRPr="00776553">
        <w:rPr>
          <w:rFonts w:ascii="Arial" w:eastAsia="黑体" w:hAnsi="Arial" w:cs="Arial"/>
          <w:sz w:val="24"/>
        </w:rPr>
        <w:lastRenderedPageBreak/>
        <w:t>4.4. Operational Implications: A Wind-Direction-Aware Approach</w:t>
      </w:r>
    </w:p>
    <w:p w:rsidR="00D824E9" w:rsidRDefault="00D824E9" w:rsidP="00D824E9">
      <w:pPr>
        <w:spacing w:line="360" w:lineRule="auto"/>
        <w:rPr>
          <w:color w:val="000000"/>
        </w:rPr>
      </w:pPr>
      <w:r>
        <w:rPr>
          <w:color w:val="000000"/>
        </w:rPr>
        <w:t>Section 4.3 showed that the Extended Profile framework improves power reconstruction when observed meteorological variables are used as inputs. In operational applications, numerical weather prediction outputs must be converted into day-ahead power forecasts. A key issue in this process is identifying which meteorological variables provide the most reliable information under different flow conditions. Based on the regime-dependent behavior identified in Sections 4.1–4.3, we introduce a wind-direction-aware (WDA) post-processing approach for operational forecasting.</w:t>
      </w:r>
      <w:r>
        <w:rPr>
          <w:rStyle w:val="apple-converted-space"/>
          <w:color w:val="000000"/>
        </w:rPr>
        <w:t> </w:t>
      </w:r>
      <w:r>
        <w:rPr>
          <w:color w:val="000000"/>
        </w:rPr>
        <w:t>The WDA approach is evaluated against three baseline configurations, including hub-height wind speed only (HH, 70 m), Standard REWS using wind speeds across the rotor-swept layer (SR, 30–70 m), and Extended REWS further incorporating surface-layer wind speed (ER, 10–70 m). All configurations include temperature as a common input variable. The baseline configurations use fixed sets of input variables. In contrast, WDA applies separate models for free-stream, wake-affected, and transitional wind direction sectors. For each sector, input variables are selected based on SHAP-based importance analysis, and the corresponding model is applied according to the wind direction predicted by the numerical weather prediction system. Although wind direction forecasts are subject to uncertainty, this approach remains effective in practice.</w:t>
      </w:r>
      <w:r>
        <w:rPr>
          <w:rStyle w:val="apple-converted-space"/>
          <w:color w:val="000000"/>
        </w:rPr>
        <w:t> </w:t>
      </w:r>
      <w:r>
        <w:rPr>
          <w:color w:val="000000"/>
        </w:rPr>
        <w:t>Figures 4A and 4C present day-ahead power forecast performance using two numerical weather prediction datasets as inputs. For EC-WRF-driven forecasts, WDA achieves an R² of 0.37 with an RMSE of 32.12 kW, compared with HH (R² = 0.28, RMSE = 34.31 kW), SR (R² = 0.32, RMSE = 33.42 kW), and ER (R² = 0.35, RMSE = 32.78 kW). Similar improvements are observed for GFS-WRF-driven forecasts, where R² increases from 0.24 for HH to 0.35 for WDA, with SR and ER yielding intermediate performance. Despite using fewer effective input variables under wake-affected conditions, WDA performs better than ER, indicating that regime-dependent variable selection reduces redundant information in numerical weather prediction inputs.</w:t>
      </w:r>
      <w:r>
        <w:rPr>
          <w:rStyle w:val="apple-converted-space"/>
          <w:color w:val="000000"/>
        </w:rPr>
        <w:t> </w:t>
      </w:r>
      <w:r>
        <w:rPr>
          <w:color w:val="000000"/>
        </w:rPr>
        <w:t xml:space="preserve">Regime-resolved analysis (Figures 4B and 4D) explains these performance differences. Under wake-affected conditions, the correlation between predicted and observed power increases from HH to WDA, rising </w:t>
      </w:r>
      <w:r>
        <w:rPr>
          <w:color w:val="000000"/>
        </w:rPr>
        <w:lastRenderedPageBreak/>
        <w:t>from 0.59 to 0.66 for EC-WRF-driven forecasts and from 0.59 to 0.63 for GFS-WRF-driven forecasts. In contrast, differences among configurations are relatively small under free-stream conditions. This result indicates that surface-layer observations provide more stable information when rotor-layer wind signals are affected by upstream wakes. From an operational perspective, these results suggest that multi-height wind information should be used differently depending on flow conditions, with greater reliance on surface-layer variables under wake-affected conditions. This approach is consistent with recent efforts to incorporate wake effects into post-processing methods for wind power forecasting (Romero-Barrera et al., 2025).</w:t>
      </w:r>
      <w:r>
        <w:rPr>
          <w:rStyle w:val="apple-converted-space"/>
          <w:color w:val="000000"/>
        </w:rPr>
        <w:t> </w:t>
      </w:r>
      <w:r>
        <w:rPr>
          <w:color w:val="000000"/>
        </w:rPr>
        <w:t>Several limitations should be noted. First, the analysis is based on a single flat-terrain wind farm where vertical coupling between surface and rotor layers is relatively strong. Applicability to complex terrain requires validation using multi-site datasets. Second, the current implementation depends on the availability of surface-layer observations, which may not be routinely measured at all operational sites. Future research should also explore probabilistic extensions of the WDA framework to quantify forecast uncertainty for operational decision-making.</w:t>
      </w:r>
    </w:p>
    <w:p w:rsidR="00D824E9" w:rsidRPr="00D824E9" w:rsidRDefault="00D824E9" w:rsidP="00D824E9">
      <w:pPr>
        <w:spacing w:line="360" w:lineRule="auto"/>
        <w:rPr>
          <w:rFonts w:ascii="黑体" w:eastAsia="黑体" w:hAnsi="黑体" w:cs="Arial"/>
          <w:sz w:val="24"/>
        </w:rPr>
      </w:pPr>
      <w:r w:rsidRPr="00D824E9">
        <w:rPr>
          <w:rFonts w:ascii="黑体" w:eastAsia="黑体" w:hAnsi="黑体" w:cs="Arial"/>
          <w:sz w:val="24"/>
        </w:rPr>
        <w:t>4.4 运行意义：风向感知方法</w:t>
      </w:r>
    </w:p>
    <w:p w:rsidR="00D824E9" w:rsidRPr="00D824E9" w:rsidRDefault="00D824E9" w:rsidP="00D824E9">
      <w:pPr>
        <w:spacing w:line="360" w:lineRule="auto"/>
        <w:rPr>
          <w:rFonts w:ascii="黑体" w:eastAsia="黑体" w:hAnsi="黑体" w:cs="Arial"/>
          <w:sz w:val="24"/>
        </w:rPr>
      </w:pPr>
    </w:p>
    <w:p w:rsidR="00D824E9" w:rsidRPr="00D824E9" w:rsidRDefault="00D824E9" w:rsidP="00D824E9">
      <w:pPr>
        <w:spacing w:line="360" w:lineRule="auto"/>
        <w:rPr>
          <w:rFonts w:ascii="黑体" w:eastAsia="黑体" w:hAnsi="黑体" w:cs="Arial"/>
          <w:sz w:val="24"/>
        </w:rPr>
      </w:pPr>
      <w:r w:rsidRPr="00D824E9">
        <w:rPr>
          <w:rFonts w:ascii="黑体" w:eastAsia="黑体" w:hAnsi="黑体" w:cs="Arial"/>
          <w:sz w:val="24"/>
        </w:rPr>
        <w:t>第 4.3 节表明，在使用观测气象要素作为输入时，扩展剖面框架能够有效提升功率重构性能。然而，在实际运行中，需要将数值天气预报结果转化为日前功率预报，其中一个关键问题是：在不同流态条件下，哪些气象变量能够提供更可靠的信息。基于第 4.1–4.3 节所揭示的流态依赖特征，本文提出了一种风向感知的后处理方法，用于运行功率预报。</w:t>
      </w:r>
    </w:p>
    <w:p w:rsidR="00D824E9" w:rsidRPr="00D824E9" w:rsidRDefault="00D824E9" w:rsidP="00D824E9">
      <w:pPr>
        <w:spacing w:line="360" w:lineRule="auto"/>
        <w:rPr>
          <w:rFonts w:ascii="黑体" w:eastAsia="黑体" w:hAnsi="黑体" w:cs="Arial"/>
          <w:sz w:val="24"/>
        </w:rPr>
      </w:pPr>
    </w:p>
    <w:p w:rsidR="00D824E9" w:rsidRPr="00D824E9" w:rsidRDefault="00D824E9" w:rsidP="00D824E9">
      <w:pPr>
        <w:spacing w:line="360" w:lineRule="auto"/>
        <w:rPr>
          <w:rFonts w:ascii="黑体" w:eastAsia="黑体" w:hAnsi="黑体" w:cs="Arial"/>
          <w:sz w:val="24"/>
        </w:rPr>
      </w:pPr>
      <w:r w:rsidRPr="00D824E9">
        <w:rPr>
          <w:rFonts w:ascii="黑体" w:eastAsia="黑体" w:hAnsi="黑体" w:cs="Arial"/>
          <w:sz w:val="24"/>
        </w:rPr>
        <w:t>本文将该方法与三种基准方案进行比较，包括仅使用轮毂高度风速的方案（HH，70 m）、使用转子扫掠层风速的标准 REWS 方案（SR，30–70 m），以及在此基础上进一步引入近地层风速信息的扩展 REWS 方案（ER，10–70 m）。三种方案均使用温度作为公共输入变量。上述基准方案均采用固定的输入变量集</w:t>
      </w:r>
      <w:r w:rsidRPr="00D824E9">
        <w:rPr>
          <w:rFonts w:ascii="黑体" w:eastAsia="黑体" w:hAnsi="黑体" w:cs="Arial"/>
          <w:sz w:val="24"/>
        </w:rPr>
        <w:lastRenderedPageBreak/>
        <w:t>合，而风向感知方法则针对自由来流、尾流影响及过渡风向扇区分别建立独立模型。各扇区的输入变量根据 SHAP 重要性分析进行选择，并在预报过程中依据数值天气预报给出的风向信息调用相应模型。尽管风向预报本身存在不确定性，该方法在实际应用中仍表现出良好的效果。</w:t>
      </w:r>
    </w:p>
    <w:p w:rsidR="00D824E9" w:rsidRPr="00D824E9" w:rsidRDefault="00D824E9" w:rsidP="00D824E9">
      <w:pPr>
        <w:spacing w:line="360" w:lineRule="auto"/>
        <w:rPr>
          <w:rFonts w:ascii="黑体" w:eastAsia="黑体" w:hAnsi="黑体" w:cs="Arial"/>
          <w:sz w:val="24"/>
        </w:rPr>
      </w:pPr>
    </w:p>
    <w:p w:rsidR="00D824E9" w:rsidRPr="00D824E9" w:rsidRDefault="00D824E9" w:rsidP="00D824E9">
      <w:pPr>
        <w:spacing w:line="360" w:lineRule="auto"/>
        <w:rPr>
          <w:rFonts w:ascii="黑体" w:eastAsia="黑体" w:hAnsi="黑体" w:cs="Arial"/>
          <w:sz w:val="24"/>
        </w:rPr>
      </w:pPr>
      <w:r w:rsidRPr="00D824E9">
        <w:rPr>
          <w:rFonts w:ascii="黑体" w:eastAsia="黑体" w:hAnsi="黑体" w:cs="Arial"/>
          <w:sz w:val="24"/>
        </w:rPr>
        <w:t>图 4A 与图 4C 给出了以两套数值天气预报数据作为输入的日前功率预报结果。在 EC-WRF 驱动的预报中，风向感知方法的决定系数为 0.37，RMSE 为 32.12 kW，优于 HH（R</w:t>
      </w:r>
      <w:r w:rsidRPr="00D824E9">
        <w:rPr>
          <w:rFonts w:ascii="Calibri" w:eastAsia="黑体" w:hAnsi="Calibri" w:cs="Calibri"/>
          <w:sz w:val="24"/>
        </w:rPr>
        <w:t>²</w:t>
      </w:r>
      <w:r w:rsidRPr="00D824E9">
        <w:rPr>
          <w:rFonts w:ascii="黑体" w:eastAsia="黑体" w:hAnsi="黑体" w:cs="Arial"/>
          <w:sz w:val="24"/>
        </w:rPr>
        <w:t xml:space="preserve"> = 0.28，RMSE = 34.31 kW）、SR（R</w:t>
      </w:r>
      <w:r w:rsidRPr="00D824E9">
        <w:rPr>
          <w:rFonts w:ascii="Calibri" w:eastAsia="黑体" w:hAnsi="Calibri" w:cs="Calibri"/>
          <w:sz w:val="24"/>
        </w:rPr>
        <w:t>²</w:t>
      </w:r>
      <w:r w:rsidRPr="00D824E9">
        <w:rPr>
          <w:rFonts w:ascii="黑体" w:eastAsia="黑体" w:hAnsi="黑体" w:cs="Arial"/>
          <w:sz w:val="24"/>
        </w:rPr>
        <w:t xml:space="preserve"> = 0.32，RMSE = 33.42 kW）和 ER（R</w:t>
      </w:r>
      <w:r w:rsidRPr="00D824E9">
        <w:rPr>
          <w:rFonts w:ascii="Calibri" w:eastAsia="黑体" w:hAnsi="Calibri" w:cs="Calibri"/>
          <w:sz w:val="24"/>
        </w:rPr>
        <w:t>²</w:t>
      </w:r>
      <w:r w:rsidRPr="00D824E9">
        <w:rPr>
          <w:rFonts w:ascii="黑体" w:eastAsia="黑体" w:hAnsi="黑体" w:cs="Arial"/>
          <w:sz w:val="24"/>
        </w:rPr>
        <w:t xml:space="preserve"> = 0.35，RMSE = 32.78 kW）。在 GFS-WRF 驱动的预报中亦观察到类似提升，R</w:t>
      </w:r>
      <w:r w:rsidRPr="00D824E9">
        <w:rPr>
          <w:rFonts w:ascii="Calibri" w:eastAsia="黑体" w:hAnsi="Calibri" w:cs="Calibri"/>
          <w:sz w:val="24"/>
        </w:rPr>
        <w:t>²</w:t>
      </w:r>
      <w:r w:rsidRPr="00D824E9">
        <w:rPr>
          <w:rFonts w:ascii="黑体" w:eastAsia="黑体" w:hAnsi="黑体" w:cs="Arial"/>
          <w:sz w:val="24"/>
        </w:rPr>
        <w:t xml:space="preserve"> 从 HH 的 0.24 提升至 0.35，而 SR 与 ER 的性能介于两者之间。值得注意的是，在尾流影响条件下，尽管风向感知方法使用的有效输入变量更少，其预报性能仍优于 ER，表明基于流态的变量选择有助于减少数值天气预报输入中的冗余信息。</w:t>
      </w:r>
    </w:p>
    <w:p w:rsidR="00D824E9" w:rsidRPr="00D824E9" w:rsidRDefault="00D824E9" w:rsidP="00D824E9">
      <w:pPr>
        <w:spacing w:line="360" w:lineRule="auto"/>
        <w:rPr>
          <w:rFonts w:ascii="黑体" w:eastAsia="黑体" w:hAnsi="黑体" w:cs="Arial"/>
          <w:sz w:val="24"/>
        </w:rPr>
      </w:pPr>
    </w:p>
    <w:p w:rsidR="00D824E9" w:rsidRPr="00D824E9" w:rsidRDefault="00D824E9" w:rsidP="00D824E9">
      <w:pPr>
        <w:spacing w:line="360" w:lineRule="auto"/>
        <w:rPr>
          <w:rFonts w:ascii="黑体" w:eastAsia="黑体" w:hAnsi="黑体" w:cs="Arial"/>
          <w:sz w:val="24"/>
        </w:rPr>
      </w:pPr>
      <w:r w:rsidRPr="00D824E9">
        <w:rPr>
          <w:rFonts w:ascii="黑体" w:eastAsia="黑体" w:hAnsi="黑体" w:cs="Arial"/>
          <w:sz w:val="24"/>
        </w:rPr>
        <w:t>图 4B 与图 4D 的分流态分析进一步解释了该方法的优势。在尾流影响条件下，预测功率与观测功率之间的相关系数从 HH 到风向感知方法明显提高，在 EC-WRF 驱动的预报中由 0.59 提升至 0.66，在 GFS-WRF 驱动的预报中由 0.59 提升至 0.63；而在自由来流条件下，不同方案之间的差异较小。这一结果表明，当转子层风速信号受到上游尾流影响时，近地层观测能够提供更加稳定的信息。从运行角度看，这些结果说明在不同流态条件下应采用不同的多高度风速使用方式，在尾流影响条件下应更加依赖近地层变量。该方法与近期在风电功率预报后处理中显式考虑尾流影响的研究方向一致（Romero-Barrera et al., 2025）。</w:t>
      </w:r>
    </w:p>
    <w:p w:rsidR="00D824E9" w:rsidRPr="00D824E9" w:rsidRDefault="00D824E9" w:rsidP="00D824E9">
      <w:pPr>
        <w:spacing w:line="360" w:lineRule="auto"/>
        <w:rPr>
          <w:rFonts w:ascii="黑体" w:eastAsia="黑体" w:hAnsi="黑体" w:cs="Arial"/>
          <w:sz w:val="24"/>
        </w:rPr>
      </w:pPr>
    </w:p>
    <w:p w:rsidR="00776553" w:rsidRDefault="00D824E9" w:rsidP="00D824E9">
      <w:pPr>
        <w:spacing w:line="360" w:lineRule="auto"/>
        <w:rPr>
          <w:rFonts w:ascii="黑体" w:eastAsia="黑体" w:hAnsi="黑体" w:cs="Arial"/>
          <w:sz w:val="24"/>
        </w:rPr>
      </w:pPr>
      <w:r w:rsidRPr="00D824E9">
        <w:rPr>
          <w:rFonts w:ascii="黑体" w:eastAsia="黑体" w:hAnsi="黑体" w:cs="Arial"/>
          <w:sz w:val="24"/>
        </w:rPr>
        <w:t>本研究仍存在一定局限性。首先，分析基于单一平坦地形风电场，近地层与转子层之间的垂直耦合较强，该方法在复杂地形条件下的适用性仍需通过多站点研究加以验证。其次，该方法依赖近地层观测数据以及观测塔的布设位置，而</w:t>
      </w:r>
      <w:r w:rsidRPr="00D824E9">
        <w:rPr>
          <w:rFonts w:ascii="黑体" w:eastAsia="黑体" w:hAnsi="黑体" w:cs="Arial"/>
          <w:sz w:val="24"/>
        </w:rPr>
        <w:lastRenderedPageBreak/>
        <w:t>这些条件在部分运行场站中可能并不可得。</w:t>
      </w:r>
    </w:p>
    <w:p w:rsidR="001220AC" w:rsidRDefault="001220AC" w:rsidP="00D824E9">
      <w:pPr>
        <w:spacing w:line="360" w:lineRule="auto"/>
        <w:rPr>
          <w:rFonts w:ascii="黑体" w:eastAsia="黑体" w:hAnsi="黑体" w:cs="Arial"/>
          <w:sz w:val="24"/>
        </w:rPr>
      </w:pPr>
    </w:p>
    <w:p w:rsidR="001220AC" w:rsidRDefault="001220AC" w:rsidP="00D824E9">
      <w:pPr>
        <w:spacing w:line="360" w:lineRule="auto"/>
        <w:rPr>
          <w:rFonts w:ascii="黑体" w:eastAsia="黑体" w:hAnsi="黑体" w:cs="Arial"/>
          <w:sz w:val="24"/>
        </w:rPr>
      </w:pPr>
    </w:p>
    <w:p w:rsidR="001220AC" w:rsidRDefault="001220AC">
      <w:pPr>
        <w:widowControl/>
        <w:rPr>
          <w:rFonts w:ascii="黑体" w:eastAsia="黑体" w:hAnsi="黑体" w:cs="Arial"/>
          <w:sz w:val="24"/>
        </w:rPr>
      </w:pPr>
      <w:r>
        <w:rPr>
          <w:rFonts w:ascii="黑体" w:eastAsia="黑体" w:hAnsi="黑体" w:cs="Arial"/>
          <w:sz w:val="24"/>
        </w:rPr>
        <w:br w:type="page"/>
      </w:r>
    </w:p>
    <w:p w:rsidR="001220AC" w:rsidRPr="001220AC" w:rsidRDefault="001220AC" w:rsidP="001220AC">
      <w:pPr>
        <w:spacing w:line="360" w:lineRule="auto"/>
        <w:rPr>
          <w:rFonts w:ascii="黑体" w:eastAsia="黑体" w:hAnsi="黑体" w:cs="Arial"/>
          <w:sz w:val="24"/>
        </w:rPr>
      </w:pPr>
      <w:r w:rsidRPr="001220AC">
        <w:rPr>
          <w:rFonts w:ascii="黑体" w:eastAsia="黑体" w:hAnsi="黑体" w:cs="Arial"/>
          <w:sz w:val="24"/>
        </w:rPr>
        <w:lastRenderedPageBreak/>
        <w:t>5. 结论</w:t>
      </w:r>
    </w:p>
    <w:p w:rsidR="00D03592" w:rsidRDefault="00D03592" w:rsidP="001220AC">
      <w:pPr>
        <w:spacing w:line="360" w:lineRule="auto"/>
        <w:rPr>
          <w:rFonts w:ascii="黑体" w:eastAsia="黑体" w:hAnsi="黑体" w:cs="Arial"/>
          <w:sz w:val="24"/>
        </w:rPr>
      </w:pPr>
      <w:r w:rsidRPr="00D03592">
        <w:rPr>
          <w:rFonts w:ascii="黑体" w:eastAsia="黑体" w:hAnsi="黑体" w:cs="Arial"/>
          <w:color w:val="EE0000"/>
          <w:sz w:val="24"/>
        </w:rPr>
        <w:t>本研究解释了为什么近地面层风观测尽管远离叶片扫掠层,却能与风电场尺度功率保持强相关性,并基于这一物理认识提出了扩展廓线预报方法。</w:t>
      </w:r>
      <w:r w:rsidRPr="00D03592">
        <w:rPr>
          <w:rFonts w:ascii="黑体" w:eastAsia="黑体" w:hAnsi="黑体" w:cs="Arial"/>
          <w:sz w:val="24"/>
        </w:rPr>
        <w:t>我们证明风电场总功率变率主要受天气尺度大气强迫控制,而非叶片扫掠层内的高频波动。在这些主导时间尺度上,垂直柱内风速表现出强一致性,反映了平坦地形上垂直一致的大气结构。这种垂直耦合通过EOF分析量化,单一模态捕获超过93%的方差,证实10-m风速作为整个入流廓线能量状态的一致性标度因子。</w:t>
      </w:r>
    </w:p>
    <w:p w:rsidR="001220AC" w:rsidRPr="001220AC" w:rsidRDefault="001220AC" w:rsidP="001220AC">
      <w:pPr>
        <w:spacing w:line="360" w:lineRule="auto"/>
        <w:rPr>
          <w:rFonts w:ascii="黑体" w:eastAsia="黑体" w:hAnsi="黑体" w:cs="Arial"/>
          <w:sz w:val="24"/>
        </w:rPr>
      </w:pPr>
      <w:r w:rsidRPr="001220AC">
        <w:rPr>
          <w:rFonts w:ascii="黑体" w:eastAsia="黑体" w:hAnsi="黑体" w:cs="Arial"/>
          <w:sz w:val="24"/>
        </w:rPr>
        <w:t>虽然这种垂直耦合解释了使用近地面层观测的理论基础,但在尾流影响条件下观测到的10-m测量优于HH测量的现象源于风机诱导扰动的垂直分布。尾流效应主要在30-70 m叶片扫掠层内引入速度亏损和湍流,降低了HH测量的代表性质量。由于10-m高度位于这个尾流主导体积之下,它仍然是背景大气流动的稳定代表。在尾流影响条件下,近地面风速为驱动总功率潜力的大气状态提供可靠参考;在自由流条件下,它提供定义垂直切变和廓线发展所需的对比。这些发现解决了观测到的近地面和轮毂高度之间信号可靠性的差异。</w:t>
      </w:r>
    </w:p>
    <w:p w:rsidR="00156CB5" w:rsidRDefault="00FB21BF" w:rsidP="00FB21BF">
      <w:pPr>
        <w:spacing w:line="360" w:lineRule="auto"/>
        <w:rPr>
          <w:rFonts w:ascii="黑体" w:eastAsia="黑体" w:hAnsi="黑体" w:cs="Arial"/>
          <w:color w:val="EE0000"/>
          <w:sz w:val="24"/>
        </w:rPr>
      </w:pPr>
      <w:r w:rsidRPr="00FB21BF">
        <w:rPr>
          <w:rFonts w:ascii="黑体" w:eastAsia="黑体" w:hAnsi="黑体" w:cs="Arial"/>
          <w:color w:val="EE0000"/>
          <w:sz w:val="24"/>
        </w:rPr>
        <w:t>基于这一物理认识,我们提出了整合近地面层和叶片扫掠层风信息的扩展廓线(ER)框架。使用观测数据结合机器学习方法验证表明,纳入10-m风速测量能够显著改善实际功率的重建精度。进一步应用于日前功率预报业务时,基于regime-specific特征选择的WDA策略展示了NWP驱动预报的系统性改进。这些结果表明,风电功率预报的气象输入应根据控制性物理尺度和流态进行选择。认识并利用近地面层与叶片扫掠层之间的垂直耦合,为改进风电场尺度NWP驱动的功率预报提供了具有物理基础的途径。</w:t>
      </w:r>
    </w:p>
    <w:p w:rsidR="00156CB5" w:rsidRDefault="00156CB5">
      <w:pPr>
        <w:widowControl/>
        <w:rPr>
          <w:rFonts w:ascii="黑体" w:eastAsia="黑体" w:hAnsi="黑体" w:cs="Arial"/>
          <w:color w:val="EE0000"/>
          <w:sz w:val="24"/>
        </w:rPr>
      </w:pPr>
      <w:r>
        <w:rPr>
          <w:rFonts w:ascii="黑体" w:eastAsia="黑体" w:hAnsi="黑体" w:cs="Arial"/>
          <w:color w:val="EE0000"/>
          <w:sz w:val="24"/>
        </w:rPr>
        <w:br w:type="page"/>
      </w:r>
    </w:p>
    <w:p w:rsidR="004F44E7" w:rsidRDefault="00156CB5" w:rsidP="00FB21BF">
      <w:pPr>
        <w:spacing w:line="360" w:lineRule="auto"/>
        <w:rPr>
          <w:rFonts w:ascii="黑体" w:eastAsia="黑体" w:hAnsi="黑体" w:cs="Arial"/>
          <w:color w:val="EE0000"/>
          <w:sz w:val="24"/>
        </w:rPr>
      </w:pPr>
      <w:r>
        <w:rPr>
          <w:rFonts w:ascii="黑体" w:eastAsia="黑体" w:hAnsi="黑体" w:cs="Arial" w:hint="eastAsia"/>
          <w:color w:val="EE0000"/>
          <w:sz w:val="24"/>
        </w:rPr>
        <w:lastRenderedPageBreak/>
        <w:t>还是没有把我们最显著的第一个认识就是</w:t>
      </w:r>
      <w:proofErr w:type="spellStart"/>
      <w:r>
        <w:rPr>
          <w:rFonts w:ascii="黑体" w:eastAsia="黑体" w:hAnsi="黑体" w:cs="Arial"/>
          <w:color w:val="EE0000"/>
          <w:sz w:val="24"/>
        </w:rPr>
        <w:t>hh</w:t>
      </w:r>
      <w:proofErr w:type="spellEnd"/>
      <w:r>
        <w:rPr>
          <w:rFonts w:ascii="黑体" w:eastAsia="黑体" w:hAnsi="黑体" w:cs="Arial"/>
          <w:color w:val="EE0000"/>
          <w:sz w:val="24"/>
        </w:rPr>
        <w:t xml:space="preserve">, </w:t>
      </w:r>
      <w:proofErr w:type="spellStart"/>
      <w:r>
        <w:rPr>
          <w:rFonts w:ascii="黑体" w:eastAsia="黑体" w:hAnsi="黑体" w:cs="Arial"/>
          <w:color w:val="EE0000"/>
          <w:sz w:val="24"/>
        </w:rPr>
        <w:t>rews</w:t>
      </w:r>
      <w:proofErr w:type="spellEnd"/>
      <w:r>
        <w:rPr>
          <w:rFonts w:ascii="黑体" w:eastAsia="黑体" w:hAnsi="黑体" w:cs="Arial"/>
          <w:color w:val="EE0000"/>
          <w:sz w:val="24"/>
        </w:rPr>
        <w:t>,</w:t>
      </w:r>
      <w:r>
        <w:rPr>
          <w:rFonts w:ascii="黑体" w:eastAsia="黑体" w:hAnsi="黑体" w:cs="Arial" w:hint="eastAsia"/>
          <w:color w:val="EE0000"/>
          <w:sz w:val="24"/>
        </w:rPr>
        <w:t>到一些特例需要拓展阔线这个发电量是阔线的利用的这个最外层核心思想表达出来，然后再是分</w:t>
      </w:r>
      <w:r w:rsidRPr="00156CB5">
        <w:rPr>
          <w:rFonts w:ascii="黑体" w:eastAsia="黑体" w:hAnsi="黑体" w:cs="Arial" w:hint="eastAsia"/>
          <w:color w:val="EE0000"/>
          <w:sz w:val="24"/>
        </w:rPr>
        <w:t>对</w:t>
      </w:r>
      <w:r w:rsidRPr="00156CB5">
        <w:rPr>
          <w:rFonts w:ascii="黑体" w:eastAsia="黑体" w:hAnsi="黑体" w:cs="Arial"/>
          <w:color w:val="EE0000"/>
          <w:sz w:val="24"/>
        </w:rPr>
        <w:t>于我们现在这个特殊的case</w:t>
      </w:r>
      <w:r>
        <w:rPr>
          <w:rFonts w:ascii="黑体" w:eastAsia="黑体" w:hAnsi="黑体" w:cs="Arial" w:hint="eastAsia"/>
          <w:color w:val="EE0000"/>
          <w:sz w:val="24"/>
        </w:rPr>
        <w:t>这类研究</w:t>
      </w:r>
      <w:r w:rsidRPr="00156CB5">
        <w:rPr>
          <w:rFonts w:ascii="黑体" w:eastAsia="黑体" w:hAnsi="黑体" w:cs="Arial"/>
          <w:color w:val="EE0000"/>
          <w:sz w:val="24"/>
        </w:rPr>
        <w:t>，区分free-stream和wake affect</w:t>
      </w:r>
      <w:r>
        <w:rPr>
          <w:rFonts w:ascii="黑体" w:eastAsia="黑体" w:hAnsi="黑体" w:cs="Arial" w:hint="eastAsia"/>
          <w:color w:val="EE0000"/>
          <w:sz w:val="24"/>
        </w:rPr>
        <w:t>的研究方法的重要</w:t>
      </w:r>
      <w:r w:rsidRPr="00156CB5">
        <w:rPr>
          <w:rFonts w:ascii="黑体" w:eastAsia="黑体" w:hAnsi="黑体" w:cs="Arial"/>
          <w:color w:val="EE0000"/>
          <w:sz w:val="24"/>
        </w:rPr>
        <w:t>，然后沿着不同入流性质分别进行研究发现1）在自由流条件下,完整的垂直阔线对功率很重要，尤其是上层扫风区间有信息冗余时。10m与70m可以提供垂直切变和廓线发展所需的信息。2）在尾流影响条件下, 10-m高度位于这个尾流主导体积之下,它仍然是背景大气流动的稳定代表，但是这个背景大气是不是说他是10m 不受尾流的就能代表了，而是他是不受尾流影响的一个作为阔线剖面强度表征的一个关键量。（这是这个上面和下面逻辑的内在关系啊，现在都没写出来） 并且我们利用尺度分析也证明了从大的背景上而言，在功率利用的主导时间尺度上,垂直柱内风速表现出强一致性,反映了平坦地形上垂直一致的大气结构，而10-m风速可以成功作为整个入流廓线能量状态的一致性标度因子。</w:t>
      </w:r>
      <w:r>
        <w:rPr>
          <w:rFonts w:ascii="黑体" w:eastAsia="黑体" w:hAnsi="黑体" w:cs="Arial" w:hint="eastAsia"/>
          <w:color w:val="EE0000"/>
          <w:sz w:val="24"/>
        </w:rPr>
        <w:t>（前面这块可能需要凝练一下）</w:t>
      </w:r>
      <w:r w:rsidRPr="00156CB5">
        <w:rPr>
          <w:rFonts w:ascii="黑体" w:eastAsia="黑体" w:hAnsi="黑体" w:cs="Arial"/>
          <w:color w:val="EE0000"/>
          <w:sz w:val="24"/>
        </w:rPr>
        <w:t>。</w:t>
      </w:r>
      <w:r>
        <w:rPr>
          <w:rFonts w:ascii="黑体" w:eastAsia="黑体" w:hAnsi="黑体" w:cs="Arial" w:hint="eastAsia"/>
          <w:color w:val="EE0000"/>
          <w:sz w:val="24"/>
        </w:rPr>
        <w:t>然后</w:t>
      </w:r>
      <w:r>
        <w:rPr>
          <w:rFonts w:ascii="黑体" w:eastAsia="黑体" w:hAnsi="黑体" w:cs="Arial"/>
          <w:color w:val="EE0000"/>
          <w:sz w:val="24"/>
        </w:rPr>
        <w:t>power</w:t>
      </w:r>
      <w:r>
        <w:rPr>
          <w:rFonts w:ascii="黑体" w:eastAsia="黑体" w:hAnsi="黑体" w:cs="Arial" w:hint="eastAsia"/>
          <w:color w:val="EE0000"/>
          <w:sz w:val="24"/>
        </w:rPr>
        <w:t>的重构以及</w:t>
      </w:r>
      <w:r>
        <w:rPr>
          <w:rFonts w:ascii="黑体" w:eastAsia="黑体" w:hAnsi="黑体" w:cs="Arial"/>
          <w:color w:val="EE0000"/>
          <w:sz w:val="24"/>
        </w:rPr>
        <w:t>day ahead</w:t>
      </w:r>
      <w:r>
        <w:rPr>
          <w:rFonts w:ascii="黑体" w:eastAsia="黑体" w:hAnsi="黑体" w:cs="Arial" w:hint="eastAsia"/>
          <w:color w:val="EE0000"/>
          <w:sz w:val="24"/>
        </w:rPr>
        <w:t>的预测在物理认识下，选择观测</w:t>
      </w:r>
      <w:proofErr w:type="spellStart"/>
      <w:r>
        <w:rPr>
          <w:rFonts w:ascii="黑体" w:eastAsia="黑体" w:hAnsi="黑体" w:cs="Arial"/>
          <w:color w:val="EE0000"/>
          <w:sz w:val="24"/>
        </w:rPr>
        <w:t>porfile</w:t>
      </w:r>
      <w:proofErr w:type="spellEnd"/>
      <w:r>
        <w:rPr>
          <w:rFonts w:ascii="黑体" w:eastAsia="黑体" w:hAnsi="黑体" w:cs="Arial" w:hint="eastAsia"/>
          <w:color w:val="EE0000"/>
          <w:sz w:val="24"/>
        </w:rPr>
        <w:t>的变量才有提升改进。</w:t>
      </w:r>
    </w:p>
    <w:p w:rsidR="004F44E7" w:rsidRDefault="004F44E7">
      <w:pPr>
        <w:widowControl/>
        <w:rPr>
          <w:rFonts w:ascii="黑体" w:eastAsia="黑体" w:hAnsi="黑体" w:cs="Arial"/>
          <w:color w:val="EE0000"/>
          <w:sz w:val="24"/>
        </w:rPr>
      </w:pPr>
      <w:r>
        <w:rPr>
          <w:rFonts w:ascii="黑体" w:eastAsia="黑体" w:hAnsi="黑体" w:cs="Arial"/>
          <w:color w:val="EE0000"/>
          <w:sz w:val="24"/>
        </w:rPr>
        <w:br w:type="page"/>
      </w:r>
    </w:p>
    <w:p w:rsidR="001220AC" w:rsidRPr="004F44E7" w:rsidRDefault="004F44E7" w:rsidP="00FB21BF">
      <w:pPr>
        <w:spacing w:line="360" w:lineRule="auto"/>
        <w:rPr>
          <w:rFonts w:ascii="黑体" w:eastAsia="黑体" w:hAnsi="黑体" w:cs="Arial"/>
          <w:color w:val="EE0000"/>
          <w:sz w:val="24"/>
        </w:rPr>
      </w:pPr>
      <w:r w:rsidRPr="004F44E7">
        <w:rPr>
          <w:rFonts w:ascii="黑体" w:eastAsia="黑体" w:hAnsi="黑体" w:cs="Arial"/>
          <w:color w:val="EE0000"/>
          <w:sz w:val="24"/>
        </w:rPr>
        <w:lastRenderedPageBreak/>
        <w:t>由于尾流效应和地形相互作用,风电场功率表现出强烈的方向依赖性(</w:t>
      </w:r>
      <w:proofErr w:type="spellStart"/>
      <w:r w:rsidRPr="004F44E7">
        <w:rPr>
          <w:rFonts w:ascii="黑体" w:eastAsia="黑体" w:hAnsi="黑体" w:cs="Arial"/>
          <w:color w:val="EE0000"/>
          <w:sz w:val="24"/>
        </w:rPr>
        <w:t>Barthelmie</w:t>
      </w:r>
      <w:proofErr w:type="spellEnd"/>
      <w:r w:rsidRPr="004F44E7">
        <w:rPr>
          <w:rFonts w:ascii="黑体" w:eastAsia="黑体" w:hAnsi="黑体" w:cs="Arial"/>
          <w:color w:val="EE0000"/>
          <w:sz w:val="24"/>
        </w:rPr>
        <w:t xml:space="preserve"> et al., 2009)。</w:t>
      </w:r>
      <w:r>
        <w:rPr>
          <w:rFonts w:ascii="黑体" w:eastAsia="黑体" w:hAnsi="黑体" w:cs="Arial" w:hint="eastAsia"/>
          <w:color w:val="EE0000"/>
          <w:sz w:val="24"/>
        </w:rPr>
        <w:t>（这里能够这么说吗，我们之所以提出来这个方法也是根据我们划分风向区间研究的有效性更进一步提出的啊）</w:t>
      </w:r>
      <w:r w:rsidRPr="004F44E7">
        <w:rPr>
          <w:rFonts w:ascii="黑体" w:eastAsia="黑体" w:hAnsi="黑体" w:cs="Arial"/>
          <w:color w:val="EE0000"/>
          <w:sz w:val="24"/>
        </w:rPr>
        <w:t>为捕捉这种各向异性,将风向离散化为12个等分扇区(每个30°)</w:t>
      </w:r>
      <w:r>
        <w:rPr>
          <w:rFonts w:ascii="黑体" w:eastAsia="黑体" w:hAnsi="黑体" w:cs="Arial" w:hint="eastAsia"/>
          <w:color w:val="EE0000"/>
          <w:sz w:val="24"/>
        </w:rPr>
        <w:t>（这个完全瞎扯淡，我们就是按照我们尾流方向划分的，你要是不懂我可以把这个</w:t>
      </w:r>
      <w:proofErr w:type="spellStart"/>
      <w:r>
        <w:rPr>
          <w:rFonts w:ascii="黑体" w:eastAsia="黑体" w:hAnsi="黑体" w:cs="Arial"/>
          <w:color w:val="EE0000"/>
          <w:sz w:val="24"/>
        </w:rPr>
        <w:t>wda</w:t>
      </w:r>
      <w:proofErr w:type="spellEnd"/>
      <w:r>
        <w:rPr>
          <w:rFonts w:ascii="黑体" w:eastAsia="黑体" w:hAnsi="黑体" w:cs="Arial" w:hint="eastAsia"/>
          <w:color w:val="EE0000"/>
          <w:sz w:val="24"/>
        </w:rPr>
        <w:t>的代码发给你，你照着写）</w:t>
      </w:r>
      <w:r w:rsidRPr="004F44E7">
        <w:rPr>
          <w:rFonts w:ascii="黑体" w:eastAsia="黑体" w:hAnsi="黑体" w:cs="Arial"/>
          <w:color w:val="EE0000"/>
          <w:sz w:val="24"/>
        </w:rPr>
        <w:t>,并使用流态分层数据为每个扇区训练独立的梯度提升模型。这种方向分层允许模型学习特定扇区的风-功率关系,以考虑不同来流角度下变化的尾流损失和局地地形影响。30°扇区</w:t>
      </w:r>
      <w:r w:rsidR="0002124F">
        <w:rPr>
          <w:rFonts w:ascii="黑体" w:eastAsia="黑体" w:hAnsi="黑体" w:cs="Arial" w:hint="eastAsia"/>
          <w:color w:val="EE0000"/>
          <w:sz w:val="24"/>
        </w:rPr>
        <w:t>（瞎扯淡）</w:t>
      </w:r>
      <w:r w:rsidRPr="004F44E7">
        <w:rPr>
          <w:rFonts w:ascii="黑体" w:eastAsia="黑体" w:hAnsi="黑体" w:cs="Arial"/>
          <w:color w:val="EE0000"/>
          <w:sz w:val="24"/>
        </w:rPr>
        <w:t>宽度在模型特异性和训练数据充足性之间取得平衡,更细的离散化会导致每个扇区样本不足,而更粗的分箱则会模糊方向依赖性。</w:t>
      </w:r>
      <w:r>
        <w:rPr>
          <w:rFonts w:ascii="黑体" w:eastAsia="黑体" w:hAnsi="黑体" w:cs="Arial" w:hint="eastAsia"/>
          <w:color w:val="EE0000"/>
          <w:sz w:val="24"/>
        </w:rPr>
        <w:t xml:space="preserve"> </w:t>
      </w:r>
      <w:r w:rsidR="0002124F">
        <w:rPr>
          <w:rFonts w:ascii="黑体" w:eastAsia="黑体" w:hAnsi="黑体" w:cs="Arial" w:hint="eastAsia"/>
          <w:color w:val="EE0000"/>
          <w:sz w:val="24"/>
        </w:rPr>
        <w:t>（纯纯瞎编）</w:t>
      </w:r>
    </w:p>
    <w:sectPr w:rsidR="001220AC" w:rsidRPr="004F44E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webkit-standard">
    <w:altName w:val="Cambria"/>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B5C"/>
    <w:rsid w:val="00010279"/>
    <w:rsid w:val="0002124F"/>
    <w:rsid w:val="001220AC"/>
    <w:rsid w:val="00156CB5"/>
    <w:rsid w:val="00197AA3"/>
    <w:rsid w:val="001B2B1A"/>
    <w:rsid w:val="001F4BD1"/>
    <w:rsid w:val="002B7143"/>
    <w:rsid w:val="00421B34"/>
    <w:rsid w:val="004B4672"/>
    <w:rsid w:val="004D0771"/>
    <w:rsid w:val="004F44E7"/>
    <w:rsid w:val="00595914"/>
    <w:rsid w:val="00597095"/>
    <w:rsid w:val="00600D60"/>
    <w:rsid w:val="00776553"/>
    <w:rsid w:val="007C0865"/>
    <w:rsid w:val="0086712E"/>
    <w:rsid w:val="00A343DA"/>
    <w:rsid w:val="00BA4B3E"/>
    <w:rsid w:val="00C20B5C"/>
    <w:rsid w:val="00D0295A"/>
    <w:rsid w:val="00D03592"/>
    <w:rsid w:val="00D824E9"/>
    <w:rsid w:val="00E655E7"/>
    <w:rsid w:val="00F80F76"/>
    <w:rsid w:val="00FA7F3A"/>
    <w:rsid w:val="00FB21BF"/>
    <w:rsid w:val="00FF48B6"/>
    <w:rsid w:val="00FF55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A458050"/>
  <w15:chartTrackingRefBased/>
  <w15:docId w15:val="{47E43D38-05AD-E24E-BBEA-3C824A770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20B5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20B5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20B5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20B5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20B5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20B5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20B5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20B5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20B5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20B5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20B5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20B5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20B5C"/>
    <w:rPr>
      <w:rFonts w:cstheme="majorBidi"/>
      <w:color w:val="0F4761" w:themeColor="accent1" w:themeShade="BF"/>
      <w:sz w:val="28"/>
      <w:szCs w:val="28"/>
    </w:rPr>
  </w:style>
  <w:style w:type="character" w:customStyle="1" w:styleId="50">
    <w:name w:val="标题 5 字符"/>
    <w:basedOn w:val="a0"/>
    <w:link w:val="5"/>
    <w:uiPriority w:val="9"/>
    <w:semiHidden/>
    <w:rsid w:val="00C20B5C"/>
    <w:rPr>
      <w:rFonts w:cstheme="majorBidi"/>
      <w:color w:val="0F4761" w:themeColor="accent1" w:themeShade="BF"/>
      <w:sz w:val="24"/>
    </w:rPr>
  </w:style>
  <w:style w:type="character" w:customStyle="1" w:styleId="60">
    <w:name w:val="标题 6 字符"/>
    <w:basedOn w:val="a0"/>
    <w:link w:val="6"/>
    <w:uiPriority w:val="9"/>
    <w:semiHidden/>
    <w:rsid w:val="00C20B5C"/>
    <w:rPr>
      <w:rFonts w:cstheme="majorBidi"/>
      <w:b/>
      <w:bCs/>
      <w:color w:val="0F4761" w:themeColor="accent1" w:themeShade="BF"/>
    </w:rPr>
  </w:style>
  <w:style w:type="character" w:customStyle="1" w:styleId="70">
    <w:name w:val="标题 7 字符"/>
    <w:basedOn w:val="a0"/>
    <w:link w:val="7"/>
    <w:uiPriority w:val="9"/>
    <w:semiHidden/>
    <w:rsid w:val="00C20B5C"/>
    <w:rPr>
      <w:rFonts w:cstheme="majorBidi"/>
      <w:b/>
      <w:bCs/>
      <w:color w:val="595959" w:themeColor="text1" w:themeTint="A6"/>
    </w:rPr>
  </w:style>
  <w:style w:type="character" w:customStyle="1" w:styleId="80">
    <w:name w:val="标题 8 字符"/>
    <w:basedOn w:val="a0"/>
    <w:link w:val="8"/>
    <w:uiPriority w:val="9"/>
    <w:semiHidden/>
    <w:rsid w:val="00C20B5C"/>
    <w:rPr>
      <w:rFonts w:cstheme="majorBidi"/>
      <w:color w:val="595959" w:themeColor="text1" w:themeTint="A6"/>
    </w:rPr>
  </w:style>
  <w:style w:type="character" w:customStyle="1" w:styleId="90">
    <w:name w:val="标题 9 字符"/>
    <w:basedOn w:val="a0"/>
    <w:link w:val="9"/>
    <w:uiPriority w:val="9"/>
    <w:semiHidden/>
    <w:rsid w:val="00C20B5C"/>
    <w:rPr>
      <w:rFonts w:eastAsiaTheme="majorEastAsia" w:cstheme="majorBidi"/>
      <w:color w:val="595959" w:themeColor="text1" w:themeTint="A6"/>
    </w:rPr>
  </w:style>
  <w:style w:type="paragraph" w:styleId="a3">
    <w:name w:val="Title"/>
    <w:basedOn w:val="a"/>
    <w:next w:val="a"/>
    <w:link w:val="a4"/>
    <w:uiPriority w:val="10"/>
    <w:qFormat/>
    <w:rsid w:val="00C20B5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20B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0B5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20B5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20B5C"/>
    <w:pPr>
      <w:spacing w:before="160"/>
      <w:jc w:val="center"/>
    </w:pPr>
    <w:rPr>
      <w:i/>
      <w:iCs/>
      <w:color w:val="404040" w:themeColor="text1" w:themeTint="BF"/>
    </w:rPr>
  </w:style>
  <w:style w:type="character" w:customStyle="1" w:styleId="a8">
    <w:name w:val="引用 字符"/>
    <w:basedOn w:val="a0"/>
    <w:link w:val="a7"/>
    <w:uiPriority w:val="29"/>
    <w:rsid w:val="00C20B5C"/>
    <w:rPr>
      <w:i/>
      <w:iCs/>
      <w:color w:val="404040" w:themeColor="text1" w:themeTint="BF"/>
    </w:rPr>
  </w:style>
  <w:style w:type="paragraph" w:styleId="a9">
    <w:name w:val="List Paragraph"/>
    <w:basedOn w:val="a"/>
    <w:uiPriority w:val="34"/>
    <w:qFormat/>
    <w:rsid w:val="00C20B5C"/>
    <w:pPr>
      <w:ind w:left="720"/>
      <w:contextualSpacing/>
    </w:pPr>
  </w:style>
  <w:style w:type="character" w:styleId="aa">
    <w:name w:val="Intense Emphasis"/>
    <w:basedOn w:val="a0"/>
    <w:uiPriority w:val="21"/>
    <w:qFormat/>
    <w:rsid w:val="00C20B5C"/>
    <w:rPr>
      <w:i/>
      <w:iCs/>
      <w:color w:val="0F4761" w:themeColor="accent1" w:themeShade="BF"/>
    </w:rPr>
  </w:style>
  <w:style w:type="paragraph" w:styleId="ab">
    <w:name w:val="Intense Quote"/>
    <w:basedOn w:val="a"/>
    <w:next w:val="a"/>
    <w:link w:val="ac"/>
    <w:uiPriority w:val="30"/>
    <w:qFormat/>
    <w:rsid w:val="00C20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20B5C"/>
    <w:rPr>
      <w:i/>
      <w:iCs/>
      <w:color w:val="0F4761" w:themeColor="accent1" w:themeShade="BF"/>
    </w:rPr>
  </w:style>
  <w:style w:type="character" w:styleId="ad">
    <w:name w:val="Intense Reference"/>
    <w:basedOn w:val="a0"/>
    <w:uiPriority w:val="32"/>
    <w:qFormat/>
    <w:rsid w:val="00C20B5C"/>
    <w:rPr>
      <w:b/>
      <w:bCs/>
      <w:smallCaps/>
      <w:color w:val="0F4761" w:themeColor="accent1" w:themeShade="BF"/>
      <w:spacing w:val="5"/>
    </w:rPr>
  </w:style>
  <w:style w:type="character" w:styleId="ae">
    <w:name w:val="Hyperlink"/>
    <w:basedOn w:val="a0"/>
    <w:uiPriority w:val="99"/>
    <w:unhideWhenUsed/>
    <w:rsid w:val="00597095"/>
    <w:rPr>
      <w:color w:val="467886" w:themeColor="hyperlink"/>
      <w:u w:val="single"/>
    </w:rPr>
  </w:style>
  <w:style w:type="character" w:styleId="af">
    <w:name w:val="Unresolved Mention"/>
    <w:basedOn w:val="a0"/>
    <w:uiPriority w:val="99"/>
    <w:semiHidden/>
    <w:unhideWhenUsed/>
    <w:rsid w:val="00597095"/>
    <w:rPr>
      <w:color w:val="605E5C"/>
      <w:shd w:val="clear" w:color="auto" w:fill="E1DFDD"/>
    </w:rPr>
  </w:style>
  <w:style w:type="character" w:customStyle="1" w:styleId="apple-converted-space">
    <w:name w:val="apple-converted-space"/>
    <w:basedOn w:val="a0"/>
    <w:rsid w:val="00D824E9"/>
  </w:style>
  <w:style w:type="paragraph" w:styleId="af0">
    <w:name w:val="Revision"/>
    <w:hidden/>
    <w:uiPriority w:val="99"/>
    <w:semiHidden/>
    <w:rsid w:val="00FA7F3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016/j.enconman.2025.120738"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12</Pages>
  <Words>1496</Words>
  <Characters>8529</Characters>
  <Application>Microsoft Office Word</Application>
  <DocSecurity>0</DocSecurity>
  <Lines>71</Lines>
  <Paragraphs>20</Paragraphs>
  <ScaleCrop>false</ScaleCrop>
  <Company/>
  <LinksUpToDate>false</LinksUpToDate>
  <CharactersWithSpaces>10005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xiaxin</dc:creator>
  <cp:keywords/>
  <dc:description/>
  <cp:lastModifiedBy>xiaxin</cp:lastModifiedBy>
  <cp:revision>13</cp:revision>
  <dcterms:created xsi:type="dcterms:W3CDTF">2026-01-26T09:24:00Z</dcterms:created>
  <dcterms:modified xsi:type="dcterms:W3CDTF">2026-02-01T04:07:00Z</dcterms:modified>
</cp:coreProperties>
</file>