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February 23, 2026</w:t>
      </w:r>
    </w:p>
    <w:p>
      <w:pPr>
        <w:spacing w:after="0"/>
      </w:pPr>
      <w:r>
        <w:t xml:space="preserve">Editor-in-Chief</w:t>
      </w:r>
    </w:p>
    <w:p>
      <w:pPr>
        <w:spacing w:after="0"/>
      </w:pPr>
      <w:r>
        <w:t xml:space="preserve">Applied Energy</w:t>
      </w:r>
    </w:p>
    <w:p>
      <w:pPr>
        <w:spacing w:after="240"/>
      </w:pPr>
      <w:r>
        <w:t xml:space="preserve">Elsevier</w:t>
      </w:r>
    </w:p>
    <w:p>
      <w:pPr>
        <w:spacing w:after="240"/>
      </w:pPr>
      <w:r>
        <w:rPr>
          <w:b/>
          <w:bCs/>
        </w:rPr>
        <w:t xml:space="preserve">Re: </w:t>
      </w:r>
      <w:r>
        <w:rPr>
          <w:b/>
          <w:bCs/>
        </w:rPr>
        <w:t xml:space="preserve">Submission of manuscript entitled </w:t>
      </w:r>
      <w:r>
        <w:rPr>
          <w:b/>
          <w:bCs/>
          <w:i/>
          <w:iCs/>
        </w:rPr>
        <w:t xml:space="preserve">“Extended Profiles Including Surface-Layer Wind Speed Improve Farm-Scale Wind Power Forecasting”</w:t>
      </w:r>
    </w:p>
    <w:p>
      <w:pPr>
        <w:spacing w:after="240"/>
      </w:pPr>
      <w:r>
        <w:t xml:space="preserve">Dear Editor,</w:t>
      </w:r>
    </w:p>
    <w:p>
      <w:pPr>
        <w:spacing w:after="200" w:line="360"/>
      </w:pPr>
      <w:r>
        <w:t xml:space="preserve">We are pleased to submit the above-entitled manuscript for consideration as a Research Article in Applied Energy. This work investigates how extending vertical wind profile representation beyond the conventional rotor-swept layer improves farm-scale wind power forecasting, a topic directly relevant to the journal’s scope in renewable energy system optimization and operational forecasting.</w:t>
      </w:r>
    </w:p>
    <w:p>
      <w:pPr>
        <w:spacing w:after="200" w:line="360"/>
      </w:pPr>
      <w:r>
        <w:t xml:space="preserve">Accurate day-ahead wind power forecasting is essential for grid integration and electricity market operation. Most existing approaches rely on wind speed at a single hub height or within the rotor-swept layer, following the implicit assumption that these measurements best represent the atmospheric inflow driving power production. However, using multi-height observations (10, 30, 50, and 70 m) from a flat-terrain wind farm, we demonstrate that this assumption is incomplete. Surface-layer wind speed at 10 m—well below the rotor disk—exhibits a higher correlation with total farm power than hub-height wind speed, an initially counterintuitive finding that we trace to the vertical inhomogeneity of wake propagation across the wind farm.</w:t>
      </w:r>
    </w:p>
    <w:p>
      <w:pPr>
        <w:spacing w:after="200" w:line="360"/>
      </w:pPr>
      <w:r>
        <w:t xml:space="preserve">Regime-based partitioning reveals distinct mechanisms. Under free-stream conditions, wind–power correlation increases with height as expected. Under wake-influenced conditions, however, the correlation at hub height drops markedly while the surface layer remains representative of the undisturbed background atmospheric forcing. Scale-resolved analysis (CEEMDAN decomposition) and Empirical Orthogonal Function analysis confirm that farm-scale power variability is controlled by synoptic-scale atmospheric forcing, at which scales the vertical wind column is strongly coupled through a stable structural mode. This physical understanding provides a clear rationale for including surface-layer measurements in power prediction.</w:t>
      </w:r>
    </w:p>
    <w:p>
      <w:pPr>
        <w:spacing w:after="200" w:line="360"/>
      </w:pPr>
      <w:r>
        <w:t xml:space="preserve">Building on these findings, we show that extending the input wind profile to include 10-m wind speed substantially improves observational power reconstruction (R² from 0.61 to 0.72). We further develop a wind-direction-aware (WDA) forecasting strategy that dynamically selects input variables based on predicted flow regime for day-ahead prediction. The WDA strategy achieves consistent improvements over conventional hub-height and rotor-layer approaches across two independent NWP systems (ECMWF and GFS driven WRF downscaling), demonstrating robustness to the choice of global model. SHAP-based interpretability analysis confirms that the machine learning model’s feature utilization is consistent with the physically identified regime-dependent mechanisms.</w:t>
      </w:r>
    </w:p>
    <w:p>
      <w:pPr>
        <w:spacing w:after="200" w:line="360"/>
      </w:pPr>
      <w:r>
        <w:t xml:space="preserve">The main contributions of this work are threefold: (1) a physical explanation for why surface-layer wind observations carry predictive information for farm-scale power under different flow regimes; (2) quantitative evidence that extending vertical wind representation beyond the rotor-swept layer improves both reconstruction and day-ahead forecasting accuracy; and (3) a regime-aware forecasting strategy that is operationally implementable with standard meteorological infrastructure. We believe these findings provide practical guidance for improving wind power forecasting systems and are of direct interest to the readership of Applied Energy.</w:t>
      </w:r>
    </w:p>
    <w:p>
      <w:pPr>
        <w:spacing w:after="200" w:line="360"/>
      </w:pPr>
      <w:r>
        <w:t xml:space="preserve">All data and code used in this study are publicly available. Observational and NWP data are archived at Zenodo (https://doi.org/10.5281/zenodo.18671960), and the analysis code is available at GitHub (https://github.com/Xiax24/ExtendedProfile-WindPower-Forecasting). This manuscript has not been published elsewhere and is not under consideration by another journal. All authors have read and approved the final manuscript.</w:t>
      </w:r>
    </w:p>
    <w:p>
      <w:pPr>
        <w:spacing w:after="200" w:line="360"/>
      </w:pPr>
      <w:r>
        <w:t xml:space="preserve">Thank you for your time and consideration. We look forward to hearing from you.</w:t>
      </w:r>
    </w:p>
    <w:p>
      <w:pPr>
        <w:spacing w:after="120"/>
      </w:pPr>
      <w:r>
        <w:t xml:space="preserve">Sincerely,</w:t>
      </w:r>
    </w:p>
    <w:p>
      <w:pPr>
        <w:spacing w:after="0"/>
      </w:pPr>
      <w:r>
        <w:rPr>
          <w:b/>
          <w:bCs/>
        </w:rPr>
        <w:t xml:space="preserve">Yong Luo</w:t>
      </w:r>
    </w:p>
    <w:p>
      <w:pPr>
        <w:spacing w:after="0"/>
      </w:pPr>
      <w:r>
        <w:t xml:space="preserve">Professor</w:t>
      </w:r>
    </w:p>
    <w:p>
      <w:pPr>
        <w:spacing w:after="0"/>
      </w:pPr>
      <w:r>
        <w:t xml:space="preserve">Department of Earth System Science, Tsinghua University</w:t>
      </w:r>
    </w:p>
    <w:p>
      <w:pPr>
        <w:spacing w:after="0"/>
      </w:pPr>
      <w:r>
        <w:t xml:space="preserve">Beijing 100084, China</w:t>
      </w:r>
    </w:p>
    <w:p>
      <w:pPr>
        <w:spacing w:after="0"/>
      </w:pPr>
      <w:r>
        <w:t xml:space="preserve">Email: Yongluo@tsinghua.edu.cn</w:t>
      </w:r>
    </w:p>
    <w:p>
      <w:pPr>
        <w:spacing w:before="240" w:after="0"/>
      </w:pPr>
      <w:r>
        <w:rPr>
          <w:i/>
          <w:iCs/>
          <w:sz w:val="22"/>
          <w:szCs w:val="22"/>
        </w:rPr>
        <w:t xml:space="preserve">On behalf of all co-authors: Xin Xia, Rong Zhu, Rui Chang, Martin Dörenkämper, and Peidu Li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2026-02-22T16:07:22.728Z</dcterms:created>
  <dcterms:modified xsi:type="dcterms:W3CDTF">2026-02-22T16:07:22.729Z</dcterms:modified>
</cp:coreProperties>
</file>

<file path=docProps/custom.xml><?xml version="1.0" encoding="utf-8"?>
<Properties xmlns="http://schemas.openxmlformats.org/officeDocument/2006/custom-properties" xmlns:vt="http://schemas.openxmlformats.org/officeDocument/2006/docPropsVTypes"/>
</file>