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0FE2" w:rsidRDefault="00000000">
      <w:pPr>
        <w:spacing w:after="240"/>
      </w:pPr>
      <w:r>
        <w:t>February 22, 2026</w:t>
      </w:r>
    </w:p>
    <w:p w:rsidR="005C0FE2" w:rsidRDefault="00000000">
      <w:r>
        <w:t>Editor-in-Chief</w:t>
      </w:r>
    </w:p>
    <w:p w:rsidR="005C0FE2" w:rsidRDefault="00000000">
      <w:r>
        <w:t>Geophysical Research Letters</w:t>
      </w:r>
    </w:p>
    <w:p w:rsidR="005C0FE2" w:rsidRDefault="00000000">
      <w:pPr>
        <w:spacing w:after="240"/>
      </w:pPr>
      <w:r>
        <w:t>American Geophysical Union</w:t>
      </w:r>
    </w:p>
    <w:p w:rsidR="005C0FE2" w:rsidRDefault="00000000">
      <w:pPr>
        <w:spacing w:after="240"/>
      </w:pPr>
      <w:r>
        <w:rPr>
          <w:b/>
          <w:bCs/>
        </w:rPr>
        <w:t xml:space="preserve">Re: Submission of manuscript entitled </w:t>
      </w:r>
      <w:r>
        <w:rPr>
          <w:b/>
          <w:bCs/>
          <w:i/>
          <w:iCs/>
        </w:rPr>
        <w:t>“Extended Profiles Including Surface-Layer Wind Speed Improve Farm-Scale Wind Power Forecasting”</w:t>
      </w:r>
    </w:p>
    <w:p w:rsidR="005C0FE2" w:rsidRDefault="00000000">
      <w:pPr>
        <w:spacing w:after="240"/>
      </w:pPr>
      <w:r>
        <w:t>Dear Editor,</w:t>
      </w:r>
    </w:p>
    <w:p w:rsidR="005C0FE2" w:rsidRDefault="00000000">
      <w:pPr>
        <w:spacing w:after="200" w:line="360" w:lineRule="auto"/>
      </w:pPr>
      <w:r>
        <w:t>We are pleased to submit the above-entitled manuscript for consideration as a Research Letter in Geophysical Research Letters. This work presents a physically grounded explanation for why surface-layer wind observations improve farm-scale wind power forecasting and introduces a regime-aware forecasting strategy that exploits this understanding.</w:t>
      </w:r>
    </w:p>
    <w:p w:rsidR="005C0FE2" w:rsidRDefault="00000000">
      <w:pPr>
        <w:spacing w:after="200" w:line="360" w:lineRule="auto"/>
      </w:pPr>
      <w:r>
        <w:t>Most wind power forecasting approaches rely on wind speed at hub height or within the rotor-swept layer, following the implicit assumption that the rotor disk is the only atmospheric layer relevant to power production. Using multi-height observations from a flat-terrain wind farm and two independent NWP systems, we demonstrate that this assumption is incomplete. Surface-layer wind speed at 10 m exhibits a higher correlation with total farm power than hub-height wind speed at 70 m—an initially counterintuitive finding that we trace to the vertical inhomogeneity of wake propagation. Under wake-influenced conditions, momentum deficits are concentrated within the rotor-swept layer while the surface layer remains representative of the undisturbed background atmospheric state. Scale-resolved analysis and EOF decomposition confirm that this surface–rotor coupling is governed by synoptic-scale forcing and remains structurally stable across flow regimes.</w:t>
      </w:r>
    </w:p>
    <w:p w:rsidR="005C0FE2" w:rsidRDefault="00000000">
      <w:pPr>
        <w:spacing w:after="200" w:line="360" w:lineRule="auto"/>
      </w:pPr>
      <w:r>
        <w:t>Building on this physical understanding, we show that extending the vertical wind profile to include surface-layer measurements substantially improves observational power reconstruction (R² from 0.61 to 0.72). When applied to operational day-ahead forecasting, a wind-direction-aware strategy that dynamically selects input variables based on predicted flow regime achieves consistent improvements over conventional hub-height approaches across two independent NWP systems (ECMWF and GFS). These results are robust to the choice of global model driving the regional forecasts.</w:t>
      </w:r>
    </w:p>
    <w:p w:rsidR="005C0FE2" w:rsidRDefault="00000000">
      <w:pPr>
        <w:spacing w:after="200" w:line="360" w:lineRule="auto"/>
      </w:pPr>
      <w:r>
        <w:t xml:space="preserve">We believe this work is well suited for GRL for several reasons. First, it addresses a fundamental </w:t>
      </w:r>
      <w:r>
        <w:lastRenderedPageBreak/>
        <w:t>question in boundary-layer meteorology—how vertical wind structure under different flow regimes controls farm-scale power variability—with broad implications for renewable energy forecasting. Second, the findings challenge a widely held assumption in the wind energy community and provide a physically interpretable, operationally implementable alternative. Third, the results are concise and self-contained, with detailed methodological descriptions provided in the Supporting Information.</w:t>
      </w:r>
    </w:p>
    <w:p w:rsidR="005C0FE2" w:rsidRDefault="00000000">
      <w:pPr>
        <w:spacing w:after="200" w:line="360" w:lineRule="auto"/>
      </w:pPr>
      <w:r>
        <w:t xml:space="preserve">All data and code used in this study are publicly available. Observational and NWP data are archived at </w:t>
      </w:r>
      <w:proofErr w:type="spellStart"/>
      <w:r>
        <w:t>Zenodo</w:t>
      </w:r>
      <w:proofErr w:type="spellEnd"/>
      <w:r>
        <w:t xml:space="preserve"> (</w:t>
      </w:r>
      <w:hyperlink r:id="rId5" w:history="1">
        <w:r w:rsidR="00A40B08" w:rsidRPr="0024601E">
          <w:rPr>
            <w:rStyle w:val="a5"/>
          </w:rPr>
          <w:t>https://doi.org/10.5281/zenodo.18671960</w:t>
        </w:r>
      </w:hyperlink>
      <w:r>
        <w:rPr>
          <w:rFonts w:hint="eastAsia"/>
        </w:rPr>
        <w:t>),</w:t>
      </w:r>
      <w:r>
        <w:t xml:space="preserve"> and the analysis code is available at GitHub (</w:t>
      </w:r>
      <w:hyperlink r:id="rId6" w:history="1">
        <w:r w:rsidR="00A40B08" w:rsidRPr="0024601E">
          <w:rPr>
            <w:rStyle w:val="a5"/>
          </w:rPr>
          <w:t>https://github.com/Xiax24/ExtendedProfile-WindPower-Forecasting</w:t>
        </w:r>
      </w:hyperlink>
      <w:r>
        <w:rPr>
          <w:rFonts w:hint="eastAsia"/>
        </w:rPr>
        <w:t>)</w:t>
      </w:r>
      <w:r>
        <w:t>. This manuscript has not been published elsewhere and is not under consideration by another journal. All authors have approved the manuscript and agree with its submission to GRL.</w:t>
      </w:r>
    </w:p>
    <w:p w:rsidR="005C0FE2" w:rsidRDefault="00000000">
      <w:pPr>
        <w:spacing w:after="200" w:line="360" w:lineRule="auto"/>
      </w:pPr>
      <w:r>
        <w:t>We suggest the following potential reviewers who have expertise in wind energy meteorology and boundary-layer processes relevant to this work:</w:t>
      </w:r>
    </w:p>
    <w:p w:rsidR="005C0FE2" w:rsidRDefault="00000000">
      <w:pPr>
        <w:spacing w:after="60"/>
        <w:ind w:left="720"/>
      </w:pPr>
      <w:r>
        <w:rPr>
          <w:i/>
          <w:iCs/>
          <w:color w:val="808080"/>
        </w:rPr>
        <w:t>[Reviewer 1: Name, Affiliation, Email]</w:t>
      </w:r>
    </w:p>
    <w:p w:rsidR="005C0FE2" w:rsidRDefault="00000000">
      <w:pPr>
        <w:spacing w:after="60"/>
        <w:ind w:left="720"/>
      </w:pPr>
      <w:r>
        <w:rPr>
          <w:i/>
          <w:iCs/>
          <w:color w:val="808080"/>
        </w:rPr>
        <w:t>[Reviewer 2: Name, Affiliation, Email]</w:t>
      </w:r>
    </w:p>
    <w:p w:rsidR="005C0FE2" w:rsidRDefault="00000000">
      <w:pPr>
        <w:spacing w:after="200"/>
        <w:ind w:left="720"/>
      </w:pPr>
      <w:r>
        <w:rPr>
          <w:i/>
          <w:iCs/>
          <w:color w:val="808080"/>
        </w:rPr>
        <w:t>[Reviewer 3: Name, Affiliation, Email]</w:t>
      </w:r>
    </w:p>
    <w:p w:rsidR="005C0FE2" w:rsidRDefault="00000000">
      <w:pPr>
        <w:spacing w:after="200" w:line="360" w:lineRule="auto"/>
      </w:pPr>
      <w:r>
        <w:t>Thank you for your time and consideration. We look forward to hearing from you.</w:t>
      </w:r>
    </w:p>
    <w:p w:rsidR="005C0FE2" w:rsidRDefault="00000000">
      <w:pPr>
        <w:spacing w:after="120"/>
      </w:pPr>
      <w:r>
        <w:t>Sincerely,</w:t>
      </w:r>
    </w:p>
    <w:p w:rsidR="005C0FE2" w:rsidRDefault="00000000">
      <w:r>
        <w:rPr>
          <w:b/>
          <w:bCs/>
        </w:rPr>
        <w:t>Yong Luo</w:t>
      </w:r>
    </w:p>
    <w:p w:rsidR="005C0FE2" w:rsidRDefault="00000000">
      <w:r>
        <w:t>Professor</w:t>
      </w:r>
    </w:p>
    <w:p w:rsidR="005C0FE2" w:rsidRDefault="00000000">
      <w:r>
        <w:t>Department of Earth System Science, Tsinghua University</w:t>
      </w:r>
    </w:p>
    <w:p w:rsidR="005C0FE2" w:rsidRDefault="00000000">
      <w:r>
        <w:t>Beijing 100084, China</w:t>
      </w:r>
    </w:p>
    <w:p w:rsidR="005C0FE2" w:rsidRDefault="00000000">
      <w:r>
        <w:t>Email: Yongluo@tsinghua.edu.cn</w:t>
      </w:r>
    </w:p>
    <w:p w:rsidR="005C0FE2" w:rsidRDefault="00000000">
      <w:pPr>
        <w:spacing w:before="240"/>
      </w:pPr>
      <w:r>
        <w:rPr>
          <w:i/>
          <w:iCs/>
          <w:sz w:val="22"/>
          <w:szCs w:val="22"/>
        </w:rPr>
        <w:t xml:space="preserve">On behalf of all co-authors: Xin Xia, Rong Zhu, Rui Chang, Martin Dörenkämper, and </w:t>
      </w:r>
      <w:proofErr w:type="spellStart"/>
      <w:r>
        <w:rPr>
          <w:i/>
          <w:iCs/>
          <w:sz w:val="22"/>
          <w:szCs w:val="22"/>
        </w:rPr>
        <w:t>Peidu</w:t>
      </w:r>
      <w:proofErr w:type="spellEnd"/>
      <w:r>
        <w:rPr>
          <w:i/>
          <w:iCs/>
          <w:sz w:val="22"/>
          <w:szCs w:val="22"/>
        </w:rPr>
        <w:t xml:space="preserve"> Li</w:t>
      </w:r>
    </w:p>
    <w:sectPr w:rsidR="005C0FE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26FF2"/>
    <w:multiLevelType w:val="hybridMultilevel"/>
    <w:tmpl w:val="C4DA5766"/>
    <w:lvl w:ilvl="0" w:tplc="57C0E9C4">
      <w:start w:val="1"/>
      <w:numFmt w:val="bullet"/>
      <w:lvlText w:val="●"/>
      <w:lvlJc w:val="left"/>
      <w:pPr>
        <w:ind w:left="720" w:hanging="360"/>
      </w:pPr>
    </w:lvl>
    <w:lvl w:ilvl="1" w:tplc="90A6ADEA">
      <w:start w:val="1"/>
      <w:numFmt w:val="bullet"/>
      <w:lvlText w:val="○"/>
      <w:lvlJc w:val="left"/>
      <w:pPr>
        <w:ind w:left="1440" w:hanging="360"/>
      </w:pPr>
    </w:lvl>
    <w:lvl w:ilvl="2" w:tplc="7A8EF958">
      <w:start w:val="1"/>
      <w:numFmt w:val="bullet"/>
      <w:lvlText w:val="■"/>
      <w:lvlJc w:val="left"/>
      <w:pPr>
        <w:ind w:left="2160" w:hanging="360"/>
      </w:pPr>
    </w:lvl>
    <w:lvl w:ilvl="3" w:tplc="4A88BA98">
      <w:start w:val="1"/>
      <w:numFmt w:val="bullet"/>
      <w:lvlText w:val="●"/>
      <w:lvlJc w:val="left"/>
      <w:pPr>
        <w:ind w:left="2880" w:hanging="360"/>
      </w:pPr>
    </w:lvl>
    <w:lvl w:ilvl="4" w:tplc="C8BC81A2">
      <w:start w:val="1"/>
      <w:numFmt w:val="bullet"/>
      <w:lvlText w:val="○"/>
      <w:lvlJc w:val="left"/>
      <w:pPr>
        <w:ind w:left="3600" w:hanging="360"/>
      </w:pPr>
    </w:lvl>
    <w:lvl w:ilvl="5" w:tplc="90E08988">
      <w:start w:val="1"/>
      <w:numFmt w:val="bullet"/>
      <w:lvlText w:val="■"/>
      <w:lvlJc w:val="left"/>
      <w:pPr>
        <w:ind w:left="4320" w:hanging="360"/>
      </w:pPr>
    </w:lvl>
    <w:lvl w:ilvl="6" w:tplc="B6A67032">
      <w:start w:val="1"/>
      <w:numFmt w:val="bullet"/>
      <w:lvlText w:val="●"/>
      <w:lvlJc w:val="left"/>
      <w:pPr>
        <w:ind w:left="5040" w:hanging="360"/>
      </w:pPr>
    </w:lvl>
    <w:lvl w:ilvl="7" w:tplc="CC82182E">
      <w:start w:val="1"/>
      <w:numFmt w:val="bullet"/>
      <w:lvlText w:val="●"/>
      <w:lvlJc w:val="left"/>
      <w:pPr>
        <w:ind w:left="5760" w:hanging="360"/>
      </w:pPr>
    </w:lvl>
    <w:lvl w:ilvl="8" w:tplc="ED8A8384">
      <w:start w:val="1"/>
      <w:numFmt w:val="bullet"/>
      <w:lvlText w:val="●"/>
      <w:lvlJc w:val="left"/>
      <w:pPr>
        <w:ind w:left="6480" w:hanging="360"/>
      </w:pPr>
    </w:lvl>
  </w:abstractNum>
  <w:num w:numId="1" w16cid:durableId="1403521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FE2"/>
    <w:rsid w:val="005C0FE2"/>
    <w:rsid w:val="008E5C62"/>
    <w:rsid w:val="00A4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C65091"/>
  <w15:docId w15:val="{72EEEC20-1F39-DA4C-936A-A4815A45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A40B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Xiax24/ExtendedProfile-WindPower-Forecasting" TargetMode="External"/><Relationship Id="rId5" Type="http://schemas.openxmlformats.org/officeDocument/2006/relationships/hyperlink" Target="https://doi.org/10.5281/zenodo.1867196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xiaxin</cp:lastModifiedBy>
  <cp:revision>2</cp:revision>
  <dcterms:created xsi:type="dcterms:W3CDTF">2026-02-22T15:43:00Z</dcterms:created>
  <dcterms:modified xsi:type="dcterms:W3CDTF">2026-02-22T15:48:00Z</dcterms:modified>
</cp:coreProperties>
</file>