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4877" w14:textId="77777777" w:rsidR="000A29B4" w:rsidRDefault="000A29B4">
      <w:pPr>
        <w:pStyle w:val="ac"/>
        <w:rPr>
          <w:rFonts w:asciiTheme="minorHAnsi" w:hAnsiTheme="minorHAnsi" w:cstheme="minorHAnsi"/>
          <w:lang w:eastAsia="zh-CN"/>
        </w:rPr>
        <w:sectPr w:rsidR="000A29B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2F26E9BA" w14:textId="77777777" w:rsidR="000A29B4" w:rsidRDefault="0093274C">
      <w:pPr>
        <w:pStyle w:val="ac"/>
        <w:rPr>
          <w:rFonts w:asciiTheme="minorHAnsi" w:hAnsiTheme="minorHAnsi" w:cstheme="minorHAnsi"/>
        </w:rPr>
      </w:pPr>
      <w:r>
        <w:rPr>
          <w:rFonts w:asciiTheme="minorHAnsi" w:hAnsiTheme="minorHAnsi" w:cstheme="minorHAnsi"/>
          <w:lang w:eastAsia="zh-CN"/>
        </w:rPr>
        <w:t>Extended Profiles Including</w:t>
      </w:r>
      <w:r>
        <w:rPr>
          <w:rFonts w:asciiTheme="minorHAnsi" w:hAnsiTheme="minorHAnsi" w:cstheme="minorHAnsi" w:hint="eastAsia"/>
          <w:lang w:eastAsia="zh-CN"/>
        </w:rPr>
        <w:t xml:space="preserve"> </w:t>
      </w:r>
      <w:r>
        <w:rPr>
          <w:rFonts w:asciiTheme="minorHAnsi" w:hAnsiTheme="minorHAnsi" w:cstheme="minorHAnsi"/>
          <w:lang w:eastAsia="zh-CN"/>
        </w:rPr>
        <w:t>Surface-Layer Wind Speed Improve Farm-Scale Wind Power Forecasting</w:t>
      </w:r>
      <w:r>
        <w:rPr>
          <w:rFonts w:asciiTheme="minorHAnsi" w:hAnsiTheme="minorHAnsi" w:cstheme="minorHAnsi" w:hint="eastAsia"/>
          <w:lang w:eastAsia="zh-CN"/>
        </w:rPr>
        <w:t xml:space="preserve"> </w:t>
      </w:r>
    </w:p>
    <w:p w14:paraId="02E15F03" w14:textId="4673E372" w:rsidR="000A29B4" w:rsidRDefault="0093274C">
      <w:pPr>
        <w:pStyle w:val="Authors"/>
        <w:rPr>
          <w:rFonts w:asciiTheme="minorHAnsi" w:hAnsiTheme="minorHAnsi" w:cstheme="minorHAnsi"/>
          <w:lang w:eastAsia="zh-CN"/>
        </w:rPr>
      </w:pPr>
      <w:r>
        <w:rPr>
          <w:rFonts w:asciiTheme="minorHAnsi" w:hAnsiTheme="minorHAnsi" w:cstheme="minorHAnsi"/>
        </w:rPr>
        <w:t>Xin Xia</w:t>
      </w:r>
      <w:proofErr w:type="gramStart"/>
      <w:r>
        <w:rPr>
          <w:rFonts w:asciiTheme="minorHAnsi" w:hAnsiTheme="minorHAnsi" w:cstheme="minorHAnsi"/>
          <w:vertAlign w:val="superscript"/>
        </w:rPr>
        <w:t>1</w:t>
      </w:r>
      <w:r w:rsidR="00A17C6B">
        <w:rPr>
          <w:rFonts w:asciiTheme="minorHAnsi" w:hAnsiTheme="minorHAnsi" w:cstheme="minorHAnsi"/>
          <w:vertAlign w:val="superscript"/>
        </w:rPr>
        <w:t>,*</w:t>
      </w:r>
      <w:proofErr w:type="gramEnd"/>
      <w:r>
        <w:rPr>
          <w:rFonts w:asciiTheme="minorHAnsi" w:hAnsiTheme="minorHAnsi" w:cstheme="minorHAnsi"/>
        </w:rPr>
        <w:t>, Yong Luo</w:t>
      </w:r>
      <w:proofErr w:type="gramStart"/>
      <w:r>
        <w:rPr>
          <w:rFonts w:asciiTheme="minorHAnsi" w:hAnsiTheme="minorHAnsi" w:cstheme="minorHAnsi"/>
          <w:vertAlign w:val="superscript"/>
        </w:rPr>
        <w:t>1</w:t>
      </w:r>
      <w:r>
        <w:rPr>
          <w:rFonts w:asciiTheme="minorHAnsi" w:hAnsiTheme="minorHAnsi" w:cstheme="minorHAnsi"/>
          <w:vertAlign w:val="superscript"/>
          <w:lang w:eastAsia="zh-CN"/>
        </w:rPr>
        <w:t>,*</w:t>
      </w:r>
      <w:proofErr w:type="gramEnd"/>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xml:space="preserve">, </w:t>
      </w:r>
      <w:proofErr w:type="spellStart"/>
      <w:r>
        <w:rPr>
          <w:rFonts w:asciiTheme="minorHAnsi" w:hAnsiTheme="minorHAnsi" w:cstheme="minorHAnsi"/>
        </w:rPr>
        <w:t>Peidu</w:t>
      </w:r>
      <w:proofErr w:type="spellEnd"/>
      <w:r>
        <w:rPr>
          <w:rFonts w:asciiTheme="minorHAnsi" w:hAnsiTheme="minorHAnsi" w:cstheme="minorHAnsi"/>
        </w:rPr>
        <w:t xml:space="preserve"> Li</w:t>
      </w:r>
      <w:r>
        <w:rPr>
          <w:rFonts w:asciiTheme="minorHAnsi" w:hAnsiTheme="minorHAnsi" w:cstheme="minorHAnsi"/>
          <w:vertAlign w:val="superscript"/>
        </w:rPr>
        <w:t>4</w:t>
      </w:r>
    </w:p>
    <w:p w14:paraId="1B06B2C9" w14:textId="77777777" w:rsidR="000A29B4" w:rsidRDefault="0093274C">
      <w:pPr>
        <w:pStyle w:val="Affiliation"/>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14:paraId="6B058171"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14:paraId="4D43B447"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14:paraId="3967D4BF"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w:t>
      </w:r>
      <w:proofErr w:type="spellStart"/>
      <w:r>
        <w:rPr>
          <w:rFonts w:asciiTheme="minorHAnsi" w:hAnsiTheme="minorHAnsi" w:cstheme="minorHAnsi"/>
        </w:rPr>
        <w:t>mospheric</w:t>
      </w:r>
      <w:proofErr w:type="spellEnd"/>
      <w:r>
        <w:rPr>
          <w:rFonts w:asciiTheme="minorHAnsi" w:hAnsiTheme="minorHAnsi" w:cstheme="minorHAnsi"/>
        </w:rPr>
        <w:t xml:space="preserve"> Sciences, Chengdu University of Information Technology, Chengdu 610225, China</w:t>
      </w:r>
    </w:p>
    <w:p w14:paraId="5F596BC4" w14:textId="0519FB70" w:rsidR="000A29B4" w:rsidRDefault="0093274C">
      <w:pPr>
        <w:pStyle w:val="Affiliation"/>
        <w:rPr>
          <w:rFonts w:asciiTheme="minorHAnsi" w:hAnsiTheme="minorHAnsi" w:cstheme="minorHAnsi"/>
          <w:lang w:eastAsia="zh-CN"/>
        </w:rPr>
      </w:pPr>
      <w:r>
        <w:rPr>
          <w:rFonts w:asciiTheme="minorHAnsi" w:hAnsiTheme="minorHAnsi" w:cstheme="minorHAnsi"/>
        </w:rPr>
        <w:t xml:space="preserve">*Corresponding author: </w:t>
      </w:r>
      <w:r w:rsidR="00A17C6B">
        <w:rPr>
          <w:rFonts w:asciiTheme="minorHAnsi" w:hAnsiTheme="minorHAnsi" w:cstheme="minorHAnsi"/>
        </w:rPr>
        <w:t>Xin Xia (</w:t>
      </w:r>
      <w:hyperlink r:id="rId11" w:history="1">
        <w:r w:rsidR="00A17C6B" w:rsidRPr="004426CB">
          <w:rPr>
            <w:rStyle w:val="af3"/>
            <w:rFonts w:asciiTheme="minorHAnsi" w:hAnsiTheme="minorHAnsi" w:cstheme="minorHAnsi"/>
          </w:rPr>
          <w:t>xiax24@mails.tsinghua.edu.cn</w:t>
        </w:r>
      </w:hyperlink>
      <w:r w:rsidR="00A17C6B">
        <w:rPr>
          <w:rFonts w:asciiTheme="minorHAnsi" w:hAnsiTheme="minorHAnsi" w:cstheme="minorHAnsi"/>
        </w:rPr>
        <w:t xml:space="preserve">) and </w:t>
      </w:r>
      <w:r>
        <w:rPr>
          <w:rFonts w:asciiTheme="minorHAnsi" w:hAnsiTheme="minorHAnsi" w:cstheme="minorHAnsi"/>
        </w:rPr>
        <w:t>Yong Luo (</w:t>
      </w:r>
      <w:hyperlink r:id="rId12" w:history="1">
        <w:r>
          <w:rPr>
            <w:rStyle w:val="af3"/>
            <w:rFonts w:asciiTheme="minorHAnsi" w:hAnsiTheme="minorHAnsi" w:cstheme="minorHAnsi"/>
          </w:rPr>
          <w:t>Yongluo@tsinghua.edu.cn</w:t>
        </w:r>
      </w:hyperlink>
      <w:r>
        <w:rPr>
          <w:rFonts w:asciiTheme="minorHAnsi" w:hAnsiTheme="minorHAnsi" w:cstheme="minorHAnsi"/>
        </w:rPr>
        <w:t>)</w:t>
      </w:r>
    </w:p>
    <w:p w14:paraId="048829E1" w14:textId="77777777" w:rsidR="000A29B4" w:rsidRDefault="0093274C">
      <w:pPr>
        <w:pStyle w:val="Heading-Main"/>
        <w:rPr>
          <w:rFonts w:asciiTheme="minorHAnsi" w:hAnsiTheme="minorHAnsi" w:cstheme="minorHAnsi"/>
        </w:rPr>
      </w:pPr>
      <w:r>
        <w:rPr>
          <w:rFonts w:asciiTheme="minorHAnsi" w:hAnsiTheme="minorHAnsi" w:cstheme="minorHAnsi"/>
        </w:rPr>
        <w:t>Key Points:</w:t>
      </w:r>
    </w:p>
    <w:p w14:paraId="76BB50E3" w14:textId="77777777" w:rsidR="000A29B4" w:rsidRDefault="0093274C">
      <w:pPr>
        <w:pStyle w:val="KeyPoints"/>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14:paraId="0B1AFE7E" w14:textId="77777777" w:rsidR="000A29B4" w:rsidRDefault="0093274C">
      <w:pPr>
        <w:pStyle w:val="KeyPoints"/>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14:paraId="25A1DC26" w14:textId="7C4B62FE" w:rsidR="000A29B4" w:rsidRDefault="0093274C">
      <w:pPr>
        <w:pStyle w:val="KeyPoints"/>
        <w:numPr>
          <w:ilvl w:val="0"/>
          <w:numId w:val="1"/>
        </w:numPr>
        <w:rPr>
          <w:rFonts w:asciiTheme="minorHAnsi" w:hAnsiTheme="minorHAnsi" w:cstheme="minorHAnsi"/>
        </w:rPr>
      </w:pPr>
      <w:r>
        <w:rPr>
          <w:rFonts w:asciiTheme="minorHAnsi" w:hAnsiTheme="minorHAnsi" w:cstheme="minorHAnsi"/>
        </w:rPr>
        <w:t>Extended profiles improve power reconstruction, and a wind-direction-aware strategy enhances day-ahead forecasting.</w:t>
      </w:r>
    </w:p>
    <w:p w14:paraId="7A4990EE" w14:textId="547C51D6" w:rsidR="000A29B4" w:rsidRPr="00EE0AC5" w:rsidRDefault="00EE0AC5">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60D4E8CF" w14:textId="77777777" w:rsidR="000A29B4" w:rsidRDefault="0093274C">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lastRenderedPageBreak/>
        <w:br w:type="page"/>
      </w:r>
    </w:p>
    <w:p w14:paraId="7261F8A1" w14:textId="77777777" w:rsidR="000A29B4" w:rsidRDefault="000A29B4">
      <w:pPr>
        <w:rPr>
          <w:rFonts w:asciiTheme="minorHAnsi" w:eastAsia="Times New Roman" w:hAnsiTheme="minorHAnsi" w:cstheme="minorHAnsi"/>
          <w:sz w:val="24"/>
          <w:szCs w:val="24"/>
          <w:lang w:eastAsia="zh-CN"/>
        </w:rPr>
        <w:sectPr w:rsidR="000A29B4">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338C2429" w14:textId="77777777" w:rsidR="000A29B4" w:rsidRDefault="0093274C">
      <w:pPr>
        <w:pStyle w:val="Heading-Main"/>
        <w:rPr>
          <w:rFonts w:asciiTheme="minorHAnsi" w:hAnsiTheme="minorHAnsi" w:cstheme="minorHAnsi"/>
        </w:rPr>
      </w:pPr>
      <w:r>
        <w:rPr>
          <w:rFonts w:asciiTheme="minorHAnsi" w:hAnsiTheme="minorHAnsi" w:cstheme="minorHAnsi"/>
        </w:rPr>
        <w:t>Abstract</w:t>
      </w:r>
    </w:p>
    <w:p w14:paraId="2254137C" w14:textId="7D15975B" w:rsidR="000A29B4" w:rsidRDefault="0093274C">
      <w:pPr>
        <w:pStyle w:val="Abstract"/>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r w:rsidR="00E02483" w:rsidRPr="00E02483">
        <w:rPr>
          <w:rFonts w:asciiTheme="minorHAnsi" w:hAnsiTheme="minorHAnsi" w:cstheme="minorHAnsi"/>
          <w:lang w:eastAsia="zh-CN"/>
        </w:rPr>
        <w:t>enabling 10-m wind to characterize overall profile intensity across regimes, while rotor-swept layer winds become less reliable u</w:t>
      </w:r>
      <w:r w:rsidR="00E02483">
        <w:rPr>
          <w:rFonts w:asciiTheme="minorHAnsi" w:hAnsiTheme="minorHAnsi" w:cstheme="minorHAnsi"/>
          <w:lang w:eastAsia="zh-CN"/>
        </w:rPr>
        <w:t>nder wake-influenced conditions</w:t>
      </w:r>
      <w:r>
        <w:rPr>
          <w:rFonts w:asciiTheme="minorHAnsi" w:hAnsiTheme="minorHAnsi" w:cstheme="minorHAnsi"/>
          <w:lang w:eastAsia="zh-CN"/>
        </w:rPr>
        <w:t xml:space="preserve">. An </w:t>
      </w:r>
      <w:r>
        <w:rPr>
          <w:rFonts w:asciiTheme="minorHAnsi" w:hAnsiTheme="minorHAnsi" w:cstheme="minorHAnsi" w:hint="eastAsia"/>
          <w:lang w:eastAsia="zh-CN"/>
        </w:rPr>
        <w:t>e</w:t>
      </w:r>
      <w:r>
        <w:rPr>
          <w:rFonts w:asciiTheme="minorHAnsi" w:hAnsiTheme="minorHAnsi" w:cstheme="minorHAnsi"/>
          <w:lang w:eastAsia="zh-CN"/>
        </w:rPr>
        <w:t>xtended profile representation demonstrates consistent gains in power reconstruction and NWP-driven day-ahead forecasting. These results clarify how vertical wind structure governs farm-scale power and inform wind-to-power representation in operational forecasting.</w:t>
      </w:r>
    </w:p>
    <w:p w14:paraId="1249A7E0" w14:textId="473A7CE7" w:rsidR="000A29B4" w:rsidRPr="00BC21A0" w:rsidRDefault="0093274C" w:rsidP="00BC21A0">
      <w:pPr>
        <w:pStyle w:val="Heading-Main"/>
        <w:rPr>
          <w:rFonts w:asciiTheme="minorHAnsi" w:hAnsiTheme="minorHAnsi" w:cstheme="minorHAnsi"/>
        </w:rPr>
      </w:pPr>
      <w:r>
        <w:rPr>
          <w:rFonts w:asciiTheme="minorHAnsi" w:hAnsiTheme="minorHAnsi" w:cstheme="minorHAnsi"/>
        </w:rPr>
        <w:t xml:space="preserve">Plain Language </w:t>
      </w:r>
      <w:proofErr w:type="spellStart"/>
      <w:r>
        <w:rPr>
          <w:rFonts w:asciiTheme="minorHAnsi" w:hAnsiTheme="minorHAnsi" w:cstheme="minorHAnsi"/>
        </w:rPr>
        <w:t>Summary</w:t>
      </w:r>
      <w:r w:rsidR="00BC21A0">
        <w:rPr>
          <w:rFonts w:asciiTheme="minorHAnsi" w:hAnsiTheme="minorHAnsi" w:cstheme="minorHAnsi"/>
        </w:rPr>
        <w:t>s</w:t>
      </w:r>
      <w:proofErr w:type="spellEnd"/>
    </w:p>
    <w:p w14:paraId="0DBB66F5" w14:textId="1F20F3A7" w:rsidR="00275066" w:rsidRDefault="0093274C">
      <w:pPr>
        <w:pStyle w:val="Abstract"/>
        <w:rPr>
          <w:rFonts w:asciiTheme="minorHAnsi" w:hAnsiTheme="minorHAnsi" w:cstheme="minorHAnsi"/>
          <w:lang w:eastAsia="zh-CN"/>
        </w:rPr>
      </w:pPr>
      <w:r>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Pr>
          <w:rFonts w:asciiTheme="minorHAnsi" w:hAnsiTheme="minorHAnsi" w:cstheme="minorHAnsi"/>
          <w:lang w:eastAsia="zh-CN"/>
        </w:rPr>
        <w:t>days time</w:t>
      </w:r>
      <w:proofErr w:type="spellEnd"/>
      <w:r>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p>
    <w:p w14:paraId="2EB9FA1E" w14:textId="70B5E913" w:rsidR="000A29B4" w:rsidRDefault="0093274C">
      <w:pPr>
        <w:pStyle w:val="Abstract"/>
        <w:rPr>
          <w:rFonts w:asciiTheme="minorHAnsi" w:hAnsiTheme="minorHAnsi" w:cstheme="minorHAnsi"/>
          <w:lang w:eastAsia="zh-CN"/>
        </w:rPr>
      </w:pPr>
      <w:r>
        <w:rPr>
          <w:rFonts w:asciiTheme="minorHAnsi" w:hAnsiTheme="minorHAnsi" w:cstheme="minorHAnsi"/>
        </w:rPr>
        <w:br w:type="page"/>
      </w:r>
    </w:p>
    <w:p w14:paraId="053A7C10" w14:textId="77777777" w:rsidR="000A29B4" w:rsidRDefault="0093274C">
      <w:pPr>
        <w:pStyle w:val="Heading-Main"/>
        <w:rPr>
          <w:rFonts w:asciiTheme="minorHAnsi" w:hAnsiTheme="minorHAnsi" w:cstheme="minorHAnsi"/>
        </w:rPr>
      </w:pPr>
      <w:bookmarkStart w:id="1" w:name="_Hlk221745210"/>
      <w:r>
        <w:rPr>
          <w:rFonts w:asciiTheme="minorHAnsi" w:hAnsiTheme="minorHAnsi" w:cstheme="minorHAnsi"/>
        </w:rPr>
        <w:lastRenderedPageBreak/>
        <w:t>1 Introduction</w:t>
      </w:r>
    </w:p>
    <w:p w14:paraId="2FB626A3" w14:textId="77777777" w:rsidR="000A29B4" w:rsidRDefault="0093274C">
      <w:pPr>
        <w:pStyle w:val="Text"/>
        <w:rPr>
          <w:rFonts w:ascii="宋体" w:eastAsia="宋体" w:hAnsi="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the large-scale integration of variable renewable energy </w:t>
      </w:r>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(Holttinen,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asciiTheme="minorHAnsi" w:hAnsiTheme="minorHAnsi" w:cstheme="minorHAnsi" w:hint="eastAsia"/>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In comparison, input feature selection has received less mechanistic consideration. Consequently, the atmospheric physics governing farm-scale power production is increasingly well understood. However, this understanding has not yet been effectively translated into forecasting feature selection, particularly for vertical wind structure represented by commonly available multi-height observations.</w:t>
      </w:r>
    </w:p>
    <w:p w14:paraId="79F51739" w14:textId="77777777" w:rsidR="000A29B4" w:rsidRDefault="0093274C">
      <w:pPr>
        <w:pStyle w:val="Text"/>
        <w:rPr>
          <w:rFonts w:ascii="Calibri" w:eastAsia="宋体" w:hAnsi="Calibri" w:cs="Calibri"/>
          <w:color w:val="000000"/>
          <w:lang w:eastAsia="zh-CN"/>
        </w:rPr>
      </w:pPr>
      <w:bookmarkStart w:id="4" w:name="_Hlk221716200"/>
      <w:bookmarkEnd w:id="3"/>
      <w:r>
        <w:rPr>
          <w:rFonts w:ascii="Calibri" w:eastAsia="宋体" w:hAnsi="Calibri" w:cs="Calibri"/>
          <w:color w:val="000000"/>
        </w:rPr>
        <w:t xml:space="preserve">Traditionally, wind speed at hub height has been the primary input for wind power forecasting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Pr>
          <w:rFonts w:ascii="Calibri" w:eastAsia="宋体" w:hAnsi="Calibri" w:cs="Calibri"/>
          <w:color w:val="000000"/>
        </w:rPr>
        <w:fldChar w:fldCharType="separate"/>
      </w:r>
      <w:r>
        <w:rPr>
          <w:rFonts w:ascii="Calibri" w:hAnsi="Calibri" w:cs="Calibri"/>
        </w:rPr>
        <w:t>(Mahoney et al., 2012; Ye et al., 2017; Che et al., 2022; Sun &amp; Yang, 2023)</w:t>
      </w:r>
      <w:r>
        <w:rPr>
          <w:rFonts w:ascii="Calibri" w:eastAsia="宋体" w:hAnsi="Calibri" w:cs="Calibri"/>
          <w:color w:val="000000"/>
        </w:rPr>
        <w:fldChar w:fldCharType="end"/>
      </w:r>
      <w:r>
        <w:rPr>
          <w:rFonts w:ascii="Calibri" w:eastAsia="宋体" w:hAnsi="Calibri" w:cs="Calibri"/>
          <w:color w:val="000000"/>
          <w:lang w:eastAsia="zh-CN"/>
        </w:rPr>
        <w:t>,</w:t>
      </w:r>
      <w:r>
        <w:rPr>
          <w:rFonts w:ascii="Calibri" w:eastAsia="宋体" w:hAnsi="Calibri" w:cs="Calibri" w:hint="eastAsia"/>
          <w:color w:val="000000"/>
          <w:lang w:eastAsia="zh-CN"/>
        </w:rPr>
        <w:t xml:space="preserve"> </w:t>
      </w:r>
      <w:r>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rPr>
        <w:fldChar w:fldCharType="separate"/>
      </w:r>
      <w:r>
        <w:rPr>
          <w:rFonts w:ascii="Calibri" w:hAnsi="Calibri" w:cs="Calibri"/>
          <w:color w:val="000000"/>
        </w:rPr>
        <w:t>(Turbines—Part, 2005)</w:t>
      </w:r>
      <w:r>
        <w:rPr>
          <w:rFonts w:ascii="Calibri" w:eastAsia="宋体" w:hAnsi="Calibri" w:cs="Calibri"/>
          <w:color w:val="000000"/>
        </w:rPr>
        <w:fldChar w:fldCharType="end"/>
      </w:r>
      <w:r>
        <w:rPr>
          <w:rFonts w:ascii="Calibri" w:eastAsia="宋体" w:hAnsi="Calibri" w:cs="Calibri"/>
          <w:color w:val="000000"/>
        </w:rPr>
        <w:t>.</w:t>
      </w:r>
      <w:r>
        <w:rPr>
          <w:rFonts w:ascii="Calibri" w:eastAsia="宋体" w:hAnsi="Calibri" w:cs="Calibri" w:hint="eastAsia"/>
          <w:color w:val="000000"/>
        </w:rPr>
        <w:t xml:space="preserve"> </w:t>
      </w:r>
      <w:r>
        <w:rPr>
          <w:rFonts w:ascii="Calibri" w:eastAsia="宋体" w:hAnsi="Calibri" w:cs="Calibri"/>
          <w:color w:val="000000"/>
        </w:rPr>
        <w:t>This practice is further supported by the strong correlation between hub-height wind speed and single-turbine power</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(Clifton et al., 2013)</w:t>
      </w:r>
      <w:r>
        <w:rPr>
          <w:rFonts w:ascii="Calibri" w:eastAsia="宋体" w:hAnsi="Calibri" w:cs="Calibri"/>
          <w:color w:val="000000"/>
        </w:rPr>
        <w:fldChar w:fldCharType="end"/>
      </w:r>
      <w:r>
        <w:rPr>
          <w:rFonts w:ascii="Calibri" w:eastAsia="宋体" w:hAnsi="Calibri" w:cs="Calibri"/>
          <w:color w:val="000000"/>
        </w:rPr>
        <w:t xml:space="preserve">. </w:t>
      </w:r>
      <w:bookmarkStart w:id="5" w:name="OLE_LINK5"/>
      <w:r>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rPr>
        <w:t>(Barthelmie et al., 2010)</w:t>
      </w:r>
      <w:r>
        <w:rPr>
          <w:rFonts w:ascii="Calibri" w:eastAsia="宋体" w:hAnsi="Calibri" w:cs="Calibri"/>
          <w:color w:val="000000"/>
        </w:rPr>
        <w:fldChar w:fldCharType="end"/>
      </w:r>
      <w:r>
        <w:rPr>
          <w:rFonts w:ascii="Calibri" w:eastAsia="宋体" w:hAnsi="Calibri" w:cs="Calibri"/>
          <w:color w:val="000000"/>
        </w:rPr>
        <w:t xml:space="preserve">. Wake development and recovery are strongly influenced by boundary-layer structure, including wind shear, turbulence, and atmospheric stability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Pr>
          <w:rFonts w:ascii="Calibri" w:eastAsia="宋体" w:hAnsi="Calibri" w:cs="Calibri"/>
          <w:color w:val="000000"/>
        </w:rPr>
        <w:fldChar w:fldCharType="separate"/>
      </w:r>
      <w:r>
        <w:rPr>
          <w:rFonts w:ascii="Calibri" w:hAnsi="Calibri" w:cs="Calibri"/>
        </w:rPr>
        <w:t>(Abkar &amp; Porté-Agel, 2015)</w:t>
      </w:r>
      <w:r>
        <w:rPr>
          <w:rFonts w:ascii="Calibri" w:eastAsia="宋体" w:hAnsi="Calibri" w:cs="Calibri"/>
          <w:color w:val="000000"/>
        </w:rPr>
        <w:fldChar w:fldCharType="end"/>
      </w:r>
      <w:r>
        <w:rPr>
          <w:rFonts w:ascii="Calibri" w:eastAsia="宋体" w:hAnsi="Calibri" w:cs="Calibri"/>
          <w:color w:val="000000"/>
        </w:rPr>
        <w:t xml:space="preserve">. As a result, forecasting based solely on hub-height wind speed often fails to fully capture the atmospheric drivers of farm-scale power variability. </w:t>
      </w:r>
      <w:bookmarkEnd w:id="5"/>
      <w:r>
        <w:rPr>
          <w:rFonts w:ascii="Calibri" w:eastAsia="宋体" w:hAnsi="Calibri" w:cs="Calibri"/>
          <w:color w:val="000000"/>
        </w:rPr>
        <w:t xml:space="preserve">Physical studies have demonstrated that rotor-equivalent wind speed (REWS)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Pr>
          <w:rFonts w:ascii="Calibri" w:eastAsia="宋体" w:hAnsi="Calibri" w:cs="Calibri" w:hint="eastAsia"/>
          <w:color w:val="000000"/>
        </w:rPr>
        <w:instrText>‐</w:instrText>
      </w:r>
      <w:r>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Pr>
          <w:rFonts w:ascii="Calibri" w:eastAsia="宋体" w:hAnsi="Calibri" w:cs="Calibri" w:hint="eastAsia"/>
          <w:color w:val="000000"/>
        </w:rPr>
        <w:instrText>‐</w:instrText>
      </w:r>
      <w:r>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Pr>
          <w:rFonts w:ascii="Calibri" w:eastAsia="宋体" w:hAnsi="Calibri" w:cs="Calibri" w:hint="eastAsia"/>
          <w:color w:val="000000"/>
        </w:rPr>
        <w:instrText>ount. Electrical power is found to correlate significantly better to the equivalent wind speed than to the single point hub</w:instrText>
      </w:r>
      <w:r>
        <w:rPr>
          <w:rFonts w:ascii="Calibri" w:eastAsia="宋体" w:hAnsi="Calibri" w:cs="Calibri" w:hint="eastAsia"/>
          <w:color w:val="000000"/>
        </w:rPr>
        <w:instrText>‐</w:instrText>
      </w:r>
      <w:r>
        <w:rPr>
          <w:rFonts w:ascii="Calibri" w:eastAsia="宋体" w:hAnsi="Calibri" w:cs="Calibri" w:hint="eastAsia"/>
          <w:color w:val="000000"/>
        </w:rPr>
        <w:instrText>height wind speed. Copyright © 2008 John Wiley &amp; Sons, Ltd.","container-title":"Wind Energy","DOI":"10.1002/we.297","ISSN":"1095-42</w:instrText>
      </w:r>
      <w:r>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Pr>
          <w:rFonts w:ascii="Calibri" w:eastAsia="宋体" w:hAnsi="Calibri" w:cs="Calibri"/>
          <w:color w:val="000000"/>
        </w:rPr>
        <w:fldChar w:fldCharType="separate"/>
      </w:r>
      <w:r>
        <w:rPr>
          <w:rFonts w:ascii="Calibri" w:hAnsi="Calibri" w:cs="Calibri"/>
        </w:rPr>
        <w:t>(Wagner et al., 2009)</w:t>
      </w:r>
      <w:r>
        <w:rPr>
          <w:rFonts w:ascii="Calibri" w:eastAsia="宋体" w:hAnsi="Calibri" w:cs="Calibri"/>
          <w:color w:val="000000"/>
        </w:rPr>
        <w:fldChar w:fldCharType="end"/>
      </w:r>
      <w:r>
        <w:rPr>
          <w:rFonts w:ascii="Calibri" w:eastAsia="宋体" w:hAnsi="Calibri" w:cs="Calibri" w:hint="eastAsia"/>
          <w:color w:val="000000"/>
        </w:rPr>
        <w:t xml:space="preserve">, which </w:t>
      </w:r>
      <w:r>
        <w:rPr>
          <w:rFonts w:ascii="Calibri" w:eastAsia="宋体" w:hAnsi="Calibri" w:cs="Calibri"/>
          <w:color w:val="000000"/>
        </w:rPr>
        <w:t>integrates wind speeds across the rotor-swept layer</w:t>
      </w:r>
      <w:r>
        <w:rPr>
          <w:rFonts w:ascii="Calibri" w:eastAsia="宋体" w:hAnsi="Calibri" w:cs="Calibri"/>
          <w:color w:val="000000"/>
          <w:lang w:eastAsia="zh-CN"/>
        </w:rPr>
        <w:t>,</w:t>
      </w:r>
      <w:r>
        <w:rPr>
          <w:rFonts w:ascii="Calibri" w:eastAsia="宋体" w:hAnsi="Calibri" w:cs="Calibri" w:hint="eastAsia"/>
          <w:color w:val="000000"/>
        </w:rPr>
        <w:t xml:space="preserve"> </w:t>
      </w:r>
      <w:r>
        <w:rPr>
          <w:rFonts w:ascii="Calibri" w:eastAsia="宋体" w:hAnsi="Calibri" w:cs="Calibri"/>
          <w:color w:val="000000"/>
        </w:rPr>
        <w:t>outperforms single-</w:t>
      </w:r>
      <w:r>
        <w:rPr>
          <w:rFonts w:ascii="Calibri" w:eastAsia="宋体" w:hAnsi="Calibri" w:cs="Calibri" w:hint="eastAsia"/>
          <w:color w:val="000000"/>
        </w:rPr>
        <w:t>height</w:t>
      </w:r>
      <w:r>
        <w:rPr>
          <w:rFonts w:ascii="Calibri" w:eastAsia="宋体" w:hAnsi="Calibri" w:cs="Calibri"/>
          <w:color w:val="000000"/>
        </w:rPr>
        <w:t xml:space="preserve"> measurements</w:t>
      </w:r>
      <w:r>
        <w:rPr>
          <w:rFonts w:ascii="Calibri" w:eastAsia="宋体" w:hAnsi="Calibri" w:cs="Calibri" w:hint="eastAsia"/>
          <w:color w:val="000000"/>
        </w:rPr>
        <w:t xml:space="preserve"> in forecasting farm-scale power</w:t>
      </w:r>
      <w:r>
        <w:rPr>
          <w:rFonts w:ascii="Calibri" w:eastAsia="宋体" w:hAnsi="Calibri" w:cs="Calibri"/>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(Sasser et al., 2022)</w:t>
      </w:r>
      <w:r>
        <w:rPr>
          <w:rFonts w:ascii="Calibri" w:eastAsia="宋体" w:hAnsi="Calibri" w:cs="Calibri"/>
          <w:color w:val="000000"/>
        </w:rPr>
        <w:fldChar w:fldCharType="end"/>
      </w:r>
      <w:r>
        <w:rPr>
          <w:rFonts w:ascii="Calibri" w:eastAsia="宋体" w:hAnsi="Calibri" w:cs="Calibri"/>
          <w:color w:val="000000"/>
        </w:rPr>
        <w:t xml:space="preserve">. Even with this advance, atmospheric stability can induce 15–20% power variations at the same nominal wind speed, and turbulent kinetic energy has been identified as a dominant modulation factor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(Wharton &amp; Lundquist, 2012)</w:t>
      </w:r>
      <w:r>
        <w:rPr>
          <w:rFonts w:ascii="Calibri" w:eastAsia="宋体" w:hAnsi="Calibri" w:cs="Calibri"/>
          <w:color w:val="000000"/>
        </w:rPr>
        <w:fldChar w:fldCharType="end"/>
      </w:r>
      <w:r>
        <w:rPr>
          <w:rFonts w:ascii="Calibri" w:eastAsia="宋体" w:hAnsi="Calibri" w:cs="Calibri"/>
          <w:color w:val="000000"/>
        </w:rPr>
        <w:t>. Confining vertical integration to the rotor-swept layer therefore remains insufficient to capture the influence of vertical structure and its governing scales on farm-scale power variability.</w:t>
      </w:r>
    </w:p>
    <w:p w14:paraId="4A88E802" w14:textId="77777777" w:rsidR="000A29B4" w:rsidRDefault="0093274C">
      <w:pPr>
        <w:pStyle w:val="Text"/>
        <w:rPr>
          <w:rFonts w:ascii="Calibri" w:eastAsia="宋体" w:hAnsi="Calibri" w:cs="Calibri"/>
          <w:color w:val="000000"/>
          <w:lang w:eastAsia="zh-CN"/>
        </w:rPr>
      </w:pPr>
      <w:bookmarkStart w:id="6" w:name="OLE_LINK7"/>
      <w:bookmarkEnd w:id="4"/>
      <w:r>
        <w:rPr>
          <w:rFonts w:ascii="Calibri" w:eastAsia="宋体" w:hAnsi="Calibri" w:cs="Calibri"/>
          <w:color w:val="000000"/>
        </w:rPr>
        <w:t>Flow-regime variability adds another dimension to farm-scale power representation. Wind farms operate in environments that encompass b</w:t>
      </w:r>
      <w:r w:rsidRPr="003F68B5">
        <w:rPr>
          <w:rFonts w:ascii="Calibri" w:eastAsia="宋体" w:hAnsi="Calibri" w:cs="Calibri"/>
          <w:color w:val="000000"/>
        </w:rPr>
        <w:t>oth free-stream inflow and wake-influenced flow, within which the dominant drivers of power production differ. Wake interactions can cause 10–20% power losses and elevate</w:t>
      </w:r>
      <w:r>
        <w:rPr>
          <w:rFonts w:ascii="Calibri" w:eastAsia="宋体" w:hAnsi="Calibri" w:cs="Calibri"/>
          <w:color w:val="000000"/>
        </w:rPr>
        <w:t xml:space="preserve"> turbulence intensity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Pr>
          <w:rFonts w:ascii="Calibri" w:eastAsia="宋体" w:hAnsi="Calibri" w:cs="Calibri" w:hint="eastAsia"/>
          <w:color w:val="000000"/>
        </w:rPr>
        <w:instrText>‐</w:instrText>
      </w:r>
      <w:r>
        <w:rPr>
          <w:rFonts w:ascii="Calibri" w:eastAsia="宋体" w:hAnsi="Calibri" w:cs="Calibri" w:hint="eastAsia"/>
          <w:color w:val="000000"/>
        </w:rPr>
        <w:instrText>of</w:instrText>
      </w:r>
      <w:r>
        <w:rPr>
          <w:rFonts w:ascii="Calibri" w:eastAsia="宋体" w:hAnsi="Calibri" w:cs="Calibri" w:hint="eastAsia"/>
          <w:color w:val="000000"/>
        </w:rPr>
        <w:instrText>‐</w:instrText>
      </w:r>
      <w:r>
        <w:rPr>
          <w:rFonts w:ascii="Calibri" w:eastAsia="宋体" w:hAnsi="Calibri" w:cs="Calibri" w:hint="eastAsia"/>
          <w:color w:val="000000"/>
        </w:rPr>
        <w:instrText>the</w:instrText>
      </w:r>
      <w:r>
        <w:rPr>
          <w:rFonts w:ascii="Calibri" w:eastAsia="宋体" w:hAnsi="Calibri" w:cs="Calibri" w:hint="eastAsia"/>
          <w:color w:val="000000"/>
        </w:rPr>
        <w:instrText>‐</w:instrText>
      </w:r>
      <w:r>
        <w:rPr>
          <w:rFonts w:ascii="Calibri" w:eastAsia="宋体" w:hAnsi="Calibri" w:cs="Calibri" w:hint="eastAsia"/>
          <w:color w:val="000000"/>
        </w:rPr>
        <w:instrText>art models. Observed power losses due solely to wakes are approximately 10% on average. Thes</w:instrText>
      </w:r>
      <w:r>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Pr>
          <w:rFonts w:ascii="Calibri" w:eastAsia="宋体" w:hAnsi="Calibri" w:cs="Calibri" w:hint="eastAsia"/>
          <w:color w:val="000000"/>
        </w:rPr>
        <w:instrText>:"M. N."},{"family":"Pryor","given":"S. C."},{"family":"Rethore","given":"P.</w:instrText>
      </w:r>
      <w:r>
        <w:rPr>
          <w:rFonts w:ascii="Calibri" w:eastAsia="宋体" w:hAnsi="Calibri" w:cs="Calibri" w:hint="eastAsia"/>
          <w:color w:val="000000"/>
        </w:rPr>
        <w:instrText>‐</w:instrText>
      </w:r>
      <w:r>
        <w:rPr>
          <w:rFonts w:ascii="Calibri" w:eastAsia="宋体" w:hAnsi="Calibri" w:cs="Calibri" w:hint="eastAsia"/>
          <w:color w:val="000000"/>
        </w:rPr>
        <w:instrText>E."},{"family":"Jørgensen","given":"H. E."}],"issued":{"date-parts":[["2007",11]]}}},{"id":1748,"uris":["http://zotero.org/users/14274501/items/IK6DQM6L"],"itemData":{"id":1748,"</w:instrText>
      </w:r>
      <w:r>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(Barthelmie et al., 2007; Feroz et al., 2020)</w:t>
      </w:r>
      <w:r>
        <w:rPr>
          <w:rFonts w:ascii="Calibri" w:eastAsia="宋体" w:hAnsi="Calibri" w:cs="Calibri"/>
          <w:color w:val="000000"/>
        </w:rPr>
        <w:fldChar w:fldCharType="end"/>
      </w:r>
      <w:r>
        <w:rPr>
          <w:rFonts w:ascii="Calibri" w:eastAsia="宋体" w:hAnsi="Calibri" w:cs="Calibri"/>
          <w:color w:val="000000"/>
        </w:rPr>
        <w:t>, implying that the physical controls on power output vary dynamically with flow regime and atmospheric stability.</w:t>
      </w:r>
      <w:r>
        <w:t xml:space="preserve"> </w:t>
      </w:r>
      <w:r>
        <w:rPr>
          <w:rFonts w:ascii="Calibri" w:eastAsia="宋体" w:hAnsi="Calibri" w:cs="Calibri"/>
          <w:color w:val="000000"/>
        </w:rPr>
        <w:t xml:space="preserve">Recent explainable-AI analyses also rank turbulence-related variables, including turbulent kinetic energy and turbulence intensity, among the most informative predictors of farm-scale power, second only to wind speed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(Optis &amp; Perr-Sauer, 2019; Kim &amp; Kim, 2023)</w:t>
      </w:r>
      <w:r>
        <w:rPr>
          <w:rFonts w:ascii="Calibri" w:eastAsia="宋体" w:hAnsi="Calibri" w:cs="Calibri"/>
          <w:color w:val="000000"/>
        </w:rPr>
        <w:fldChar w:fldCharType="end"/>
      </w:r>
      <w:r>
        <w:rPr>
          <w:rFonts w:ascii="Calibri" w:eastAsia="宋体" w:hAnsi="Calibri" w:cs="Calibri"/>
          <w:color w:val="000000"/>
        </w:rPr>
        <w:t>, further suggesting regime-dependent modulation of inflow–power relationships.</w:t>
      </w:r>
      <w:r>
        <w:rPr>
          <w:rFonts w:ascii="Calibri" w:eastAsia="宋体" w:hAnsi="Calibri" w:cs="Calibri" w:hint="eastAsia"/>
          <w:color w:val="000000"/>
          <w:lang w:eastAsia="zh-CN"/>
        </w:rPr>
        <w:t xml:space="preserve"> </w:t>
      </w:r>
      <w:r>
        <w:rPr>
          <w:rFonts w:ascii="Calibri" w:eastAsia="宋体" w:hAnsi="Calibri" w:cs="Calibri"/>
          <w:color w:val="000000"/>
          <w:lang w:eastAsia="zh-CN"/>
        </w:rPr>
        <w:t>Yet data-driven forecasting models commonly incorporate multi-</w:t>
      </w:r>
      <w:r>
        <w:rPr>
          <w:rFonts w:ascii="Calibri" w:eastAsia="宋体" w:hAnsi="Calibri" w:cs="Calibri"/>
          <w:color w:val="000000"/>
          <w:lang w:eastAsia="zh-CN"/>
        </w:rPr>
        <w:lastRenderedPageBreak/>
        <w:t>height meteorological inputs as homogeneous predictors, without explicitly accounting for flow-regime-dependent mechanisms.</w:t>
      </w:r>
      <w:r>
        <w:rPr>
          <w:rFonts w:ascii="Calibri" w:eastAsia="宋体" w:hAnsi="Calibri" w:cs="Calibri" w:hint="eastAsia"/>
          <w:color w:val="000000"/>
          <w:lang w:eastAsia="zh-CN"/>
        </w:rPr>
        <w:t xml:space="preserve"> </w:t>
      </w:r>
      <w:r>
        <w:rPr>
          <w:rFonts w:ascii="Calibri" w:eastAsia="宋体" w:hAnsi="Calibri" w:cs="Calibri"/>
          <w:color w:val="000000"/>
          <w:lang w:eastAsia="zh-CN"/>
        </w:rPr>
        <w:t>When distinct flow regimes are aggregated, underlying physical differences can manifest as persistent empirical correlations that lack clear physical interpretation.</w:t>
      </w:r>
      <w:r>
        <w:rPr>
          <w:rFonts w:ascii="Calibri" w:eastAsia="宋体" w:hAnsi="Calibri" w:cs="Calibri" w:hint="eastAsia"/>
          <w:color w:val="000000"/>
          <w:lang w:eastAsia="zh-CN"/>
        </w:rPr>
        <w:t xml:space="preserve"> </w:t>
      </w:r>
      <w:r>
        <w:rPr>
          <w:rFonts w:ascii="Calibri" w:eastAsia="宋体" w:hAnsi="Calibri" w:cs="Calibri"/>
          <w:color w:val="000000"/>
          <w:lang w:eastAsia="zh-CN"/>
        </w:rPr>
        <w:t>One such example is the consistently reported high correlation between near-surface wind speeds (e.g., 10-m wind) and total wind-farm power output</w:t>
      </w:r>
      <w:r>
        <w:rPr>
          <w:rFonts w:ascii="Calibri" w:eastAsia="宋体" w:hAnsi="Calibri" w:cs="Calibri" w:hint="eastAsia"/>
          <w:color w:val="000000"/>
          <w:lang w:eastAsia="zh-CN"/>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color w:val="000000"/>
        </w:rPr>
        <w:t>(Rubanenko et al., 2020; Chen &amp; Xu, 2022)</w:t>
      </w:r>
      <w:r>
        <w:rPr>
          <w:rFonts w:ascii="Calibri" w:eastAsia="宋体" w:hAnsi="Calibri" w:cs="Calibri"/>
          <w:color w:val="000000"/>
        </w:rPr>
        <w:fldChar w:fldCharType="end"/>
      </w:r>
      <w:r>
        <w:rPr>
          <w:rFonts w:ascii="Calibri" w:eastAsia="宋体" w:hAnsi="Calibri" w:cs="Calibri"/>
          <w:color w:val="000000"/>
          <w:lang w:eastAsia="zh-CN"/>
        </w:rPr>
        <w:t>, whose physical basis remains unclear.</w:t>
      </w:r>
    </w:p>
    <w:bookmarkEnd w:id="6"/>
    <w:p w14:paraId="013969C6" w14:textId="77777777" w:rsidR="000A29B4" w:rsidRDefault="0093274C">
      <w:pPr>
        <w:pStyle w:val="Text"/>
        <w:rPr>
          <w:rFonts w:asciiTheme="minorHAnsi" w:hAnsiTheme="minorHAnsi" w:cstheme="minorHAnsi"/>
          <w:lang w:eastAsia="zh-CN"/>
        </w:rPr>
      </w:pPr>
      <w:r>
        <w:rPr>
          <w:rFonts w:ascii="Calibri" w:eastAsia="宋体" w:hAnsi="Calibri" w:cs="Calibri"/>
          <w:color w:val="000000"/>
        </w:rPr>
        <w:t>In this study, we link atmospheric flow physics to farm-scale power forecasting by explicitly partitioning inflow regimes and examining the regime-dependent roles of multi-height wind observations spanning 10 to 70 m, from near-surface to hub-height levels.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We show that incorporating regime-dependent profile information outperforms both single hub-height input and undifferentiated multi-height predictors in observational power reconstruction and Numerical Weather Prediction (NWP)-driven day-ahead forecasting. By revealing that governing atmospheric time scales and vertical coherence underpin the relevance of non-hub-height winds to farm-scale power, the results provide a mechanistic basis for improving wind-to-power representation in operational forecasting.</w:t>
      </w:r>
    </w:p>
    <w:bookmarkEnd w:id="1"/>
    <w:p w14:paraId="129B8AA1" w14:textId="77777777" w:rsidR="000A29B4" w:rsidRDefault="0093274C">
      <w:pPr>
        <w:pStyle w:val="Heading-Main"/>
        <w:rPr>
          <w:rFonts w:asciiTheme="minorHAnsi" w:hAnsiTheme="minorHAnsi" w:cstheme="minorHAnsi"/>
          <w:lang w:eastAsia="zh-CN"/>
        </w:rPr>
      </w:pPr>
      <w:r>
        <w:rPr>
          <w:rFonts w:asciiTheme="minorHAnsi" w:hAnsiTheme="minorHAnsi" w:cstheme="minorHAnsi"/>
        </w:rPr>
        <w:t>2 Materials and Methods</w:t>
      </w:r>
    </w:p>
    <w:p w14:paraId="7421F0B8" w14:textId="77777777" w:rsidR="000A29B4" w:rsidRDefault="0093274C">
      <w:pPr>
        <w:pStyle w:val="Heading-Secondary"/>
        <w:rPr>
          <w:rFonts w:asciiTheme="minorHAnsi" w:hAnsiTheme="minorHAnsi" w:cstheme="minorHAnsi"/>
          <w:lang w:eastAsia="zh-CN"/>
        </w:rPr>
      </w:pPr>
      <w:bookmarkStart w:id="7" w:name="OLE_LINK8"/>
      <w:r>
        <w:rPr>
          <w:rFonts w:asciiTheme="minorHAnsi" w:hAnsiTheme="minorHAnsi" w:cstheme="minorHAnsi"/>
        </w:rPr>
        <w:t>2.1 Flow Regime Classification</w:t>
      </w:r>
    </w:p>
    <w:p w14:paraId="551CAAF5" w14:textId="77777777" w:rsidR="000A29B4" w:rsidRDefault="0093274C">
      <w:pPr>
        <w:pStyle w:val="Text"/>
        <w:rPr>
          <w:rFonts w:asciiTheme="minorHAnsi" w:hAnsiTheme="minorHAnsi" w:cstheme="minorHAnsi"/>
          <w:lang w:eastAsia="zh-CN"/>
        </w:rPr>
      </w:pPr>
      <w:r>
        <w:rPr>
          <w:rFonts w:asciiTheme="minorHAnsi" w:hAnsiTheme="minorHAnsi" w:cstheme="minorHAnsi"/>
        </w:rPr>
        <w:t xml:space="preserve">Flow regimes were classified based on wind direction relative to the turbine layout </w:t>
      </w:r>
      <w:r w:rsidRPr="00EB1041">
        <w:rPr>
          <w:rFonts w:asciiTheme="minorHAnsi" w:hAnsiTheme="minorHAnsi" w:cstheme="minorHAnsi"/>
        </w:rPr>
        <w:t>(Figure 1 shows the turbine layout and mast location).</w:t>
      </w:r>
      <w:r w:rsidRPr="00EB1041">
        <w:rPr>
          <w:rFonts w:asciiTheme="minorHAnsi" w:hAnsiTheme="minorHAnsi" w:cstheme="minorHAnsi" w:hint="eastAsia"/>
          <w:lang w:eastAsia="zh-CN"/>
        </w:rPr>
        <w:t xml:space="preserve"> </w:t>
      </w:r>
      <w:r w:rsidRPr="00EB1041">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lang w:eastAsia="zh-CN"/>
        </w:rPr>
        <w:t>.</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hAnsiTheme="minorHAnsi" w:cs="Calibri"/>
        </w:rPr>
        <w:t>(Porté-Agel et al., 2020)</w:t>
      </w:r>
      <w:r>
        <w:rPr>
          <w:rFonts w:asciiTheme="minorHAnsi" w:hAnsiTheme="minorHAnsi" w:cstheme="minorHAnsi"/>
        </w:rPr>
        <w:fldChar w:fldCharType="end"/>
      </w:r>
      <w:r>
        <w:rPr>
          <w:rFonts w:asciiTheme="minorHAnsi" w:hAnsiTheme="minorHAnsi" w:cstheme="minorHAnsi"/>
        </w:rPr>
        <w:t>.</w:t>
      </w:r>
      <w:bookmarkStart w:id="8" w:name="OLE_LINK9"/>
      <w:r>
        <w:rPr>
          <w:rFonts w:asciiTheme="minorHAnsi" w:hAnsiTheme="minorHAnsi" w:cstheme="minorHAnsi"/>
        </w:rPr>
        <w:t xml:space="preserve"> </w:t>
      </w:r>
      <w:bookmarkEnd w:id="8"/>
      <w:r>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This stringent filtering reduces the number of retained samples but enhances the physical interpretability of regime-dependent analysis. Over the study period, the resulting dataset comprises 1,951 free-stream samples (3.7%) and 8,693 wake-influenced samples (16.6%), with the remaining observations excluded from regime-specific evaluation.</w:t>
      </w:r>
    </w:p>
    <w:p w14:paraId="47D74EA6" w14:textId="77777777" w:rsidR="000A29B4" w:rsidRDefault="0093274C">
      <w:pPr>
        <w:pStyle w:val="Heading-Secondary"/>
        <w:rPr>
          <w:rFonts w:asciiTheme="minorHAnsi" w:hAnsiTheme="minorHAnsi" w:cstheme="minorHAnsi"/>
          <w:lang w:eastAsia="zh-CN"/>
        </w:rPr>
      </w:pPr>
      <w:bookmarkStart w:id="9" w:name="_Hlk220792935"/>
      <w:bookmarkEnd w:id="7"/>
      <w:r>
        <w:rPr>
          <w:rFonts w:asciiTheme="minorHAnsi" w:hAnsiTheme="minorHAnsi" w:cstheme="minorHAnsi" w:hint="eastAsia"/>
          <w:lang w:eastAsia="zh-CN"/>
        </w:rPr>
        <w:t xml:space="preserve">2.2 </w:t>
      </w:r>
      <w:r>
        <w:rPr>
          <w:rFonts w:asciiTheme="minorHAnsi" w:hAnsiTheme="minorHAnsi" w:cstheme="minorHAnsi"/>
          <w:lang w:eastAsia="zh-CN"/>
        </w:rPr>
        <w:t>Data Analysis Methods</w:t>
      </w:r>
    </w:p>
    <w:p w14:paraId="29F10162"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 xml:space="preserve">was applied to the continuous wind speed (at different heights) and total farm power time series to obtain intrinsic mode functions across temporal scales. Regime-dependent wind–power coupling was </w:t>
      </w:r>
      <w:r>
        <w:rPr>
          <w:rFonts w:asciiTheme="minorHAnsi" w:hAnsiTheme="minorHAnsi" w:cstheme="minorHAnsi"/>
          <w:lang w:eastAsia="zh-CN"/>
        </w:rPr>
        <w:lastRenderedPageBreak/>
        <w:t>quantified by computing cross-scale correlations within subsets of timestamps classified into free-stream and wake-influenced conditions based on wind direction</w:t>
      </w:r>
      <w:r>
        <w:rPr>
          <w:rFonts w:asciiTheme="minorHAnsi" w:hAnsiTheme="minorHAnsi" w:cstheme="minorHAnsi" w:hint="eastAsia"/>
          <w:lang w:eastAsia="zh-CN"/>
        </w:rPr>
        <w:t xml:space="preserve"> </w:t>
      </w:r>
      <w:r>
        <w:rPr>
          <w:rFonts w:asciiTheme="minorHAnsi" w:hAnsiTheme="minorHAnsi" w:cstheme="minorHAnsi"/>
          <w:lang w:eastAsia="zh-CN"/>
        </w:rPr>
        <w:t>(Text S1).</w:t>
      </w:r>
      <w:r>
        <w:rPr>
          <w:rFonts w:asciiTheme="minorHAnsi" w:hAnsiTheme="minorHAnsi" w:cstheme="minorHAnsi" w:hint="eastAsia"/>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The first EOF mode (EOF1) represents the leading spatial pattern, and its principal component time series (PC1) quantifies temporal amplitude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Least-squares linear regression between PC1 and wind speeds at 10 m or 70 m quantifies how effectively surface-layer or hub-height observations capture vertical profile variability. Further details on the decomposition and EOF methodologies are provided in Texts S1 and S2.</w:t>
      </w:r>
    </w:p>
    <w:bookmarkEnd w:id="9"/>
    <w:p w14:paraId="1DCEE698"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2.3 Power Reconstruction Experiment</w:t>
      </w:r>
    </w:p>
    <w:p w14:paraId="25710E77" w14:textId="376F85B8" w:rsidR="000A29B4" w:rsidRDefault="0093274C">
      <w:pPr>
        <w:pStyle w:val="Text"/>
        <w:rPr>
          <w:rFonts w:asciiTheme="minorHAnsi" w:hAnsiTheme="minorHAnsi" w:cstheme="minorHAnsi"/>
          <w:lang w:eastAsia="zh-CN"/>
        </w:rPr>
      </w:pPr>
      <w:bookmarkStart w:id="10" w:name="OLE_LINK10"/>
      <w:r>
        <w:rPr>
          <w:rFonts w:asciiTheme="minorHAnsi" w:hAnsiTheme="minorHAnsi" w:cstheme="minorHAnsi"/>
          <w:lang w:eastAsia="zh-CN"/>
        </w:rPr>
        <w:t xml:space="preserve">To evaluate whether the extended profile representation improves wind farm power prediction, a reconstruction experiment was conducted using observed meteorological variables and observed farm-scale power output. A </w:t>
      </w:r>
      <w:proofErr w:type="spellStart"/>
      <w:r>
        <w:rPr>
          <w:rFonts w:asciiTheme="minorHAnsi" w:hAnsiTheme="minorHAnsi" w:cstheme="minorHAnsi"/>
          <w:lang w:eastAsia="zh-CN"/>
        </w:rPr>
        <w:t>LightGBM</w:t>
      </w:r>
      <w:proofErr w:type="spellEnd"/>
      <w:r>
        <w:rPr>
          <w:rFonts w:asciiTheme="minorHAnsi" w:hAnsiTheme="minorHAnsi" w:cstheme="minorHAnsi"/>
          <w:lang w:eastAsia="zh-CN"/>
        </w:rPr>
        <w:t xml:space="preserve"> regression model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r>
        <w:rPr>
          <w:rFonts w:asciiTheme="minorHAnsi" w:hAnsiTheme="minorHAnsi" w:cstheme="minorHAnsi"/>
          <w:lang w:eastAsia="zh-CN"/>
        </w:rPr>
        <w:t xml:space="preserve">was trained to learn the relationship between wind measurements and total power production. Three input configurations were tested: hub-height wind speed only (HH, 70 m), Standard REWS integrating wind speeds within the rotor-swept layer (SR, 30–70 m), and Extended REWS incorporating surface-layer wind speed (ER, 10–70 m). </w:t>
      </w:r>
      <w:r w:rsidRPr="00B60316">
        <w:rPr>
          <w:rFonts w:asciiTheme="minorHAnsi" w:hAnsiTheme="minorHAnsi" w:cstheme="minorHAnsi"/>
          <w:lang w:eastAsia="zh-CN"/>
        </w:rPr>
        <w:t xml:space="preserve">Models were trained on a subset of the observational dataset and evaluated on withheld test samples. </w:t>
      </w:r>
      <w:r w:rsidR="00B60316" w:rsidRPr="00B60316">
        <w:rPr>
          <w:rFonts w:asciiTheme="minorHAnsi" w:hAnsiTheme="minorHAnsi" w:cstheme="minorHAnsi"/>
          <w:lang w:eastAsia="zh-CN"/>
        </w:rPr>
        <w:t>Performance was assessed on the full test set and separately on test samples under free-stream and wake-influenced conditions.</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Full implementation details, including model hyperparameters, data filtering, and train–test splitting procedures, are documented in Text S3.</w:t>
      </w:r>
      <w:r w:rsidRPr="00B60316">
        <w:rPr>
          <w:rFonts w:asciiTheme="minorHAnsi" w:hAnsiTheme="minorHAnsi" w:cstheme="minorHAnsi" w:hint="eastAsia"/>
          <w:lang w:eastAsia="zh-CN"/>
        </w:rPr>
        <w:t xml:space="preserve"> </w:t>
      </w:r>
      <w:r w:rsidRPr="00B60316">
        <w:rPr>
          <w:rFonts w:asciiTheme="minorHAnsi" w:hAnsiTheme="minorHAnsi" w:cstheme="minorHAnsi"/>
          <w:lang w:eastAsia="zh-CN"/>
        </w:rPr>
        <w:t>To examine whether the regression model exploits physically meaningful information rather than statistical</w:t>
      </w:r>
      <w:r>
        <w:rPr>
          <w:rFonts w:asciiTheme="minorHAnsi" w:hAnsiTheme="minorHAnsi" w:cstheme="minorHAnsi"/>
          <w:lang w:eastAsia="zh-CN"/>
        </w:rPr>
        <w:t xml:space="preserve"> artifacts, </w:t>
      </w:r>
      <w:proofErr w:type="spellStart"/>
      <w:r>
        <w:rPr>
          <w:rFonts w:asciiTheme="minorHAnsi" w:hAnsiTheme="minorHAnsi" w:cstheme="minorHAnsi"/>
          <w:lang w:eastAsia="zh-CN"/>
        </w:rPr>
        <w:t>SHapley</w:t>
      </w:r>
      <w:proofErr w:type="spellEnd"/>
      <w:r>
        <w:rPr>
          <w:rFonts w:asciiTheme="minorHAnsi" w:hAnsiTheme="minorHAnsi" w:cstheme="minorHAnsi"/>
          <w:lang w:eastAsia="zh-CN"/>
        </w:rPr>
        <w:t xml:space="preserve"> Additive </w:t>
      </w:r>
      <w:proofErr w:type="spellStart"/>
      <w:r>
        <w:rPr>
          <w:rFonts w:asciiTheme="minorHAnsi" w:hAnsiTheme="minorHAnsi" w:cstheme="minorHAnsi"/>
          <w:lang w:eastAsia="zh-CN"/>
        </w:rPr>
        <w:t>exPlanations</w:t>
      </w:r>
      <w:proofErr w:type="spellEnd"/>
      <w:r>
        <w:rPr>
          <w:rFonts w:asciiTheme="minorHAnsi" w:hAnsiTheme="minorHAnsi" w:cstheme="minorHAnsi"/>
          <w:lang w:eastAsia="zh-CN"/>
        </w:rPr>
        <w:t xml:space="preserve"> (SHAP) were applied to quantify the contribution of each input variable</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(Lundberg &amp; Lee, 2017)</w:t>
      </w:r>
      <w:r>
        <w:rPr>
          <w:rFonts w:asciiTheme="minorHAnsi" w:hAnsiTheme="minorHAnsi" w:cstheme="minorHAnsi"/>
          <w:lang w:eastAsia="zh-CN"/>
        </w:rPr>
        <w:fldChar w:fldCharType="end"/>
      </w:r>
      <w:r>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10"/>
    <w:p w14:paraId="7D44BC60"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2.4 Day-Ahead Forecast Experiment</w:t>
      </w:r>
    </w:p>
    <w:p w14:paraId="50FBA436"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asciiTheme="minorHAnsi" w:hAnsiTheme="minorHAnsi" w:cstheme="minorHAnsi" w:hint="eastAsia"/>
          <w:lang w:eastAsia="zh-CN"/>
        </w:rPr>
        <w:t xml:space="preserve"> </w:t>
      </w:r>
      <w:r>
        <w:rPr>
          <w:rFonts w:asciiTheme="minorHAnsi" w:hAnsiTheme="minorHAnsi" w:cstheme="minorHAnsi"/>
          <w:lang w:eastAsia="zh-CN"/>
        </w:rPr>
        <w:t>(Text S4).</w:t>
      </w:r>
    </w:p>
    <w:p w14:paraId="1EBBA544" w14:textId="1F98E934" w:rsidR="00F9727D" w:rsidRDefault="00F9727D">
      <w:pPr>
        <w:pStyle w:val="Text"/>
        <w:rPr>
          <w:rFonts w:asciiTheme="minorHAnsi" w:hAnsiTheme="minorHAnsi" w:cstheme="minorHAnsi"/>
          <w:lang w:eastAsia="zh-CN"/>
        </w:rPr>
      </w:pPr>
      <w:r w:rsidRPr="00F9727D">
        <w:rPr>
          <w:rFonts w:asciiTheme="minorHAnsi" w:hAnsiTheme="minorHAnsi" w:cstheme="minorHAnsi"/>
          <w:lang w:eastAsia="zh-CN"/>
        </w:rPr>
        <w:t xml:space="preserve">In addition to these baseline configurations, a sector-based forecasting experiment was implemented to reflect regime-dependent behavior. Forecasts were partitioned into free-stream conditions (225°–315°), wake-influenced conditions (45°–135°), and transitional directions (remaining sectors) based on 70-m wind direction predicted by WRF. During forecasting, the sector was determined from the predicted wind direction, and the corresponding sector-specific model was applied. This sector-based forecasting experiment is </w:t>
      </w:r>
      <w:r w:rsidRPr="00F9727D">
        <w:rPr>
          <w:rFonts w:asciiTheme="minorHAnsi" w:hAnsiTheme="minorHAnsi" w:cstheme="minorHAnsi"/>
          <w:lang w:eastAsia="zh-CN"/>
        </w:rPr>
        <w:lastRenderedPageBreak/>
        <w:t>referred to as the wind-direction-aware (WDA) approach in the following sections. The input variables for each sector were determined based on SHAP-derived feature importance from the reconstruction experiment (Section 4.3): for the free-stream sector, wind speeds at 10 m, 50 m, and 70 m were used; for the wake-influenced sector, wind speeds at 10 m, 30 m, and 70 m were used; for the transitional sector, wind speeds at all four heights were used. In all sectors, 10-m temperature was included as an additional predictor. Full implementation details are documented in Text S4.</w:t>
      </w:r>
    </w:p>
    <w:p w14:paraId="1D9B4F6A" w14:textId="7D9EF9EB" w:rsidR="00A745FF" w:rsidRDefault="00A745FF">
      <w:pPr>
        <w:pStyle w:val="Text"/>
        <w:rPr>
          <w:rFonts w:asciiTheme="minorHAnsi" w:hAnsiTheme="minorHAnsi" w:cstheme="minorHAnsi"/>
          <w:highlight w:val="yellow"/>
          <w:lang w:eastAsia="zh-CN"/>
        </w:rPr>
      </w:pPr>
      <w:r w:rsidRPr="00A745FF">
        <w:rPr>
          <w:rFonts w:asciiTheme="minorHAnsi" w:hAnsiTheme="minorHAnsi" w:cstheme="minorHAnsi"/>
          <w:lang w:eastAsia="zh-CN"/>
        </w:rPr>
        <w:t>All</w:t>
      </w:r>
      <w:r w:rsidR="00EE2CA2">
        <w:rPr>
          <w:rFonts w:asciiTheme="minorHAnsi" w:hAnsiTheme="minorHAnsi" w:cstheme="minorHAnsi"/>
          <w:lang w:eastAsia="zh-CN"/>
        </w:rPr>
        <w:t xml:space="preserve"> four</w:t>
      </w:r>
      <w:r w:rsidRPr="00A745FF">
        <w:rPr>
          <w:rFonts w:asciiTheme="minorHAnsi" w:hAnsiTheme="minorHAnsi" w:cstheme="minorHAnsi"/>
          <w:lang w:eastAsia="zh-CN"/>
        </w:rPr>
        <w:t xml:space="preserve"> forecasting strategies followed a two-stage learning framework. In the first stage, each meteorological variable was individually bias-corrected using a </w:t>
      </w:r>
      <w:proofErr w:type="spellStart"/>
      <w:r w:rsidRPr="00A745FF">
        <w:rPr>
          <w:rFonts w:asciiTheme="minorHAnsi" w:hAnsiTheme="minorHAnsi" w:cstheme="minorHAnsi"/>
          <w:lang w:eastAsia="zh-CN"/>
        </w:rPr>
        <w:t>L</w:t>
      </w:r>
      <w:r w:rsidR="007E0B68">
        <w:rPr>
          <w:rFonts w:asciiTheme="minorHAnsi" w:hAnsiTheme="minorHAnsi" w:cstheme="minorHAnsi"/>
          <w:lang w:eastAsia="zh-CN"/>
        </w:rPr>
        <w:t>ightGBM</w:t>
      </w:r>
      <w:proofErr w:type="spellEnd"/>
      <w:r w:rsidR="007E0B68">
        <w:rPr>
          <w:rFonts w:asciiTheme="minorHAnsi" w:hAnsiTheme="minorHAnsi" w:cstheme="minorHAnsi"/>
          <w:lang w:eastAsia="zh-CN"/>
        </w:rPr>
        <w:t xml:space="preserve"> model trained to map WRF</w:t>
      </w:r>
      <w:r w:rsidRPr="00A745FF">
        <w:rPr>
          <w:rFonts w:asciiTheme="minorHAnsi" w:hAnsiTheme="minorHAnsi" w:cstheme="minorHAnsi"/>
          <w:lang w:eastAsia="zh-CN"/>
        </w:rPr>
        <w:t xml:space="preserve"> outputs to the corresponding observed variable. In the second stage, the bias-corrected meteorological variables were used as inputs to a separately trained </w:t>
      </w:r>
      <w:proofErr w:type="spellStart"/>
      <w:r w:rsidRPr="00A745FF">
        <w:rPr>
          <w:rFonts w:asciiTheme="minorHAnsi" w:hAnsiTheme="minorHAnsi" w:cstheme="minorHAnsi"/>
          <w:lang w:eastAsia="zh-CN"/>
        </w:rPr>
        <w:t>LightGBM</w:t>
      </w:r>
      <w:proofErr w:type="spellEnd"/>
      <w:r w:rsidRPr="00A745FF">
        <w:rPr>
          <w:rFonts w:asciiTheme="minorHAnsi" w:hAnsiTheme="minorHAnsi" w:cstheme="minorHAnsi"/>
          <w:lang w:eastAsia="zh-CN"/>
        </w:rPr>
        <w:t xml:space="preserve"> power prediction model. For the HH, SR, and ER strategies, a single power model was trained on the full dataset using the respective input configurations. For the WDA strategy, three independent power models were trained separately within the free-stream, wake-influenced, and transitional sectors using the ER input configuration; during prediction, the se</w:t>
      </w:r>
      <w:r w:rsidR="007E0B68">
        <w:rPr>
          <w:rFonts w:asciiTheme="minorHAnsi" w:hAnsiTheme="minorHAnsi" w:cstheme="minorHAnsi"/>
          <w:lang w:eastAsia="zh-CN"/>
        </w:rPr>
        <w:t>ctor was determined from the WRF</w:t>
      </w:r>
      <w:r w:rsidRPr="00A745FF">
        <w:rPr>
          <w:rFonts w:asciiTheme="minorHAnsi" w:hAnsiTheme="minorHAnsi" w:cstheme="minorHAnsi"/>
          <w:lang w:eastAsia="zh-CN"/>
        </w:rPr>
        <w:t>-predicted 70-m wind direction, and the corresponding model was applied.</w:t>
      </w:r>
    </w:p>
    <w:p w14:paraId="47AEAD5F"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2.5 Statistical Testing</w:t>
      </w:r>
    </w:p>
    <w:p w14:paraId="133DEDE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which accounts for temporal autocorrelation in forecast errors when comparing predictive accuracy of competing models.</w:t>
      </w:r>
    </w:p>
    <w:p w14:paraId="49DD83D3" w14:textId="77777777" w:rsidR="000A29B4" w:rsidRDefault="0093274C">
      <w:pPr>
        <w:pStyle w:val="Heading-Main"/>
        <w:rPr>
          <w:rFonts w:asciiTheme="minorHAnsi" w:hAnsiTheme="minorHAnsi" w:cstheme="minorHAnsi"/>
          <w:lang w:eastAsia="zh-CN"/>
        </w:rPr>
      </w:pPr>
      <w:r>
        <w:rPr>
          <w:rFonts w:asciiTheme="minorHAnsi" w:hAnsiTheme="minorHAnsi" w:cstheme="minorHAnsi"/>
        </w:rPr>
        <w:t>3 Data</w:t>
      </w:r>
    </w:p>
    <w:p w14:paraId="5217109D"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3.1 Site and Observational Data</w:t>
      </w:r>
    </w:p>
    <w:p w14:paraId="59E54481"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Observational data were collected from a 201 MW wind farm located on flat terrain in the desert Gobi of the Hexi Corridor, Gansu, China (96.8114°E, 40.2053°N). The farm comprises 134 wind turbines, each with a rated capacity of 1.5 MW, a hub height of 61.5 m, and a rotor diameter of </w:t>
      </w:r>
      <w:r w:rsidRPr="00B60316">
        <w:rPr>
          <w:rFonts w:asciiTheme="minorHAnsi" w:hAnsiTheme="minorHAnsi" w:cstheme="minorHAnsi"/>
          <w:lang w:eastAsia="zh-CN"/>
        </w:rPr>
        <w:t>82 m. A 70 m meteorological mast is situated 586 m west of the first turbine row at the western boundary of the farm (Figure 1). Vertical</w:t>
      </w:r>
      <w:r>
        <w:rPr>
          <w:rFonts w:asciiTheme="minorHAnsi" w:hAnsiTheme="minorHAnsi" w:cstheme="minorHAnsi"/>
          <w:lang w:eastAsia="zh-CN"/>
        </w:rPr>
        <w:t xml:space="preserve">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14:paraId="4B81F12A"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All observational data underwent a standardized quality-control and preprocessing procedure consistent with that described 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 2026b)</w:t>
      </w:r>
      <w:r>
        <w:rPr>
          <w:rFonts w:asciiTheme="minorHAnsi" w:hAnsiTheme="minorHAnsi" w:cstheme="minorHAnsi"/>
          <w:lang w:eastAsia="zh-CN"/>
        </w:rPr>
        <w:fldChar w:fldCharType="end"/>
      </w:r>
      <w:r>
        <w:rPr>
          <w:rFonts w:asciiTheme="minorHAnsi" w:hAnsiTheme="minorHAnsi" w:cstheme="minorHAnsi"/>
          <w:lang w:eastAsia="zh-CN"/>
        </w:rPr>
        <w:t>. Briefly, missing or invalid values were identified and removed. Short gaps (</w:t>
      </w:r>
      <w:r>
        <w:rPr>
          <w:rFonts w:asciiTheme="minorHAnsi" w:hAnsiTheme="minorHAnsi" w:cstheme="minorHAnsi" w:hint="eastAsia"/>
          <w:lang w:eastAsia="zh-CN"/>
        </w:rPr>
        <w:t>≤</w:t>
      </w:r>
      <w:r>
        <w:rPr>
          <w:rFonts w:asciiTheme="minorHAnsi" w:hAnsiTheme="minorHAnsi" w:cstheme="minorHAnsi"/>
          <w:lang w:eastAsia="zh-CN"/>
        </w:rPr>
        <w:t xml:space="preserve"> 2 consecutive time steps) were filled using linear interpolation, while longer gaps were excluded from model training and evaluation. </w:t>
      </w:r>
      <w:r>
        <w:rPr>
          <w:rFonts w:asciiTheme="minorHAnsi" w:hAnsiTheme="minorHAnsi" w:cstheme="minorHAnsi"/>
          <w:lang w:eastAsia="zh-CN"/>
        </w:rPr>
        <w:lastRenderedPageBreak/>
        <w:t>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t>
      </w:r>
    </w:p>
    <w:p w14:paraId="530DAC1A"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3.2 NWP Data</w:t>
      </w:r>
    </w:p>
    <w:p w14:paraId="4E904519"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were extracted for evaluation, bilinearly interpolated to the meteorological mast location, and vertically interpolated to the four observation heights (10 m, 30 m, 50 m, and 70 m).</w:t>
      </w:r>
      <w:r>
        <w:rPr>
          <w:rFonts w:asciiTheme="minorHAnsi" w:hAnsiTheme="minorHAnsi" w:cstheme="minorHAnsi" w:hint="eastAsia"/>
          <w:lang w:eastAsia="zh-CN"/>
        </w:rPr>
        <w:t xml:space="preserve"> </w:t>
      </w:r>
      <w:r>
        <w:rPr>
          <w:rFonts w:asciiTheme="minorHAnsi" w:hAnsiTheme="minorHAnsi" w:cstheme="minorHAnsi"/>
          <w:lang w:eastAsia="zh-CN"/>
        </w:rPr>
        <w:t xml:space="preserve">The WRF configuration and baseline validation of the operational framework are documented in Xia et 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(2026a)</w:t>
      </w:r>
      <w:r>
        <w:rPr>
          <w:rFonts w:asciiTheme="minorHAnsi" w:hAnsiTheme="minorHAnsi" w:cstheme="minorHAnsi"/>
          <w:lang w:eastAsia="zh-CN"/>
        </w:rPr>
        <w:fldChar w:fldCharType="end"/>
      </w:r>
      <w:r>
        <w:rPr>
          <w:rFonts w:asciiTheme="minorHAnsi" w:hAnsiTheme="minorHAnsi" w:cstheme="minorHAnsi"/>
          <w:lang w:eastAsia="zh-CN"/>
        </w:rPr>
        <w:t xml:space="preserve">, and the same setup is adopted here to ensure methodological consistency. </w:t>
      </w:r>
    </w:p>
    <w:p w14:paraId="0FB7C041" w14:textId="77777777" w:rsidR="000A29B4" w:rsidRDefault="0093274C">
      <w:pPr>
        <w:pStyle w:val="Heading-Main"/>
        <w:rPr>
          <w:rFonts w:asciiTheme="minorHAnsi" w:hAnsiTheme="minorHAnsi" w:cstheme="minorHAnsi"/>
          <w:lang w:eastAsia="zh-CN"/>
        </w:rPr>
      </w:pPr>
      <w:r>
        <w:rPr>
          <w:rFonts w:asciiTheme="minorHAnsi" w:hAnsiTheme="minorHAnsi" w:cstheme="minorHAnsi"/>
        </w:rPr>
        <w:t xml:space="preserve">4 Results </w:t>
      </w:r>
      <w:r>
        <w:rPr>
          <w:rFonts w:asciiTheme="minorHAnsi" w:hAnsiTheme="minorHAnsi" w:cstheme="minorHAnsi"/>
          <w:lang w:eastAsia="zh-CN"/>
        </w:rPr>
        <w:t>and Discussion</w:t>
      </w:r>
    </w:p>
    <w:p w14:paraId="17572DDF" w14:textId="77777777" w:rsidR="000A29B4" w:rsidRDefault="0093274C">
      <w:pPr>
        <w:pStyle w:val="Heading-Secondary"/>
        <w:rPr>
          <w:rFonts w:ascii="Arial" w:eastAsia="宋体" w:hAnsi="Arial" w:cs="Arial"/>
          <w:b/>
          <w:color w:val="1A1C1E"/>
          <w:sz w:val="21"/>
          <w:szCs w:val="21"/>
          <w:lang w:eastAsia="zh-CN"/>
        </w:rPr>
      </w:pPr>
      <w:r>
        <w:rPr>
          <w:rFonts w:asciiTheme="minorHAnsi" w:hAnsiTheme="minorHAnsi" w:cstheme="minorHAnsi"/>
        </w:rPr>
        <w:t>4.1. Observational Evidence: Vertical Correlation Structure and Flow-Regime Dependency</w:t>
      </w:r>
    </w:p>
    <w:p w14:paraId="06877698" w14:textId="4CEC4E3D" w:rsidR="000A29B4" w:rsidRDefault="0093274C">
      <w:pPr>
        <w:pStyle w:val="Text"/>
        <w:rPr>
          <w:rFonts w:asciiTheme="minorHAnsi" w:hAnsiTheme="minorHAnsi" w:cstheme="minorHAnsi"/>
          <w:lang w:eastAsia="zh-CN"/>
        </w:rPr>
      </w:pPr>
      <w:bookmarkStart w:id="11" w:name="OLE_LINK2"/>
      <w:r>
        <w:rPr>
          <w:rFonts w:asciiTheme="minorHAnsi" w:hAnsiTheme="minorHAnsi" w:cstheme="minorHAnsi"/>
          <w:lang w:eastAsia="zh-CN"/>
        </w:rPr>
        <w:t xml:space="preserve">The meteorological mast, </w:t>
      </w:r>
      <w:r w:rsidR="00614EE6" w:rsidRPr="00614EE6">
        <w:rPr>
          <w:rFonts w:asciiTheme="minorHAnsi" w:hAnsiTheme="minorHAnsi" w:cstheme="minorHAnsi"/>
          <w:lang w:eastAsia="zh-CN"/>
        </w:rPr>
        <w:t>positioned 586 m west of the we</w:t>
      </w:r>
      <w:r w:rsidR="00614EE6">
        <w:rPr>
          <w:rFonts w:asciiTheme="minorHAnsi" w:hAnsiTheme="minorHAnsi" w:cstheme="minorHAnsi"/>
          <w:lang w:eastAsia="zh-CN"/>
        </w:rPr>
        <w:t>stern boundary of the wind farm</w:t>
      </w:r>
      <w:r>
        <w:rPr>
          <w:rFonts w:asciiTheme="minorHAnsi" w:hAnsiTheme="minorHAnsi" w:cstheme="minorHAnsi"/>
          <w:lang w:eastAsia="zh-CN"/>
        </w:rPr>
        <w:t>, captures two distinct inflow regimes determined by wind direction. As shown in the wind rose (Figure 2A), westerly winds represent free-stream conditions, whereas easterly winds correspond to wake-influenced conditions. This configuration provides a natural experimental setting for studying the relationship between vertical wind measurements and farm-scale power generation.</w:t>
      </w:r>
    </w:p>
    <w:p w14:paraId="15DD49A3"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asciiTheme="minorHAnsi" w:hAnsiTheme="minorHAnsi" w:cstheme="minorHAnsi" w:hint="eastAsia"/>
          <w:lang w:eastAsia="zh-CN"/>
        </w:rPr>
        <w:t>≈</w:t>
      </w:r>
      <w:r>
        <w:rPr>
          <w:rFonts w:asciiTheme="minorHAnsi" w:hAnsiTheme="minorHAnsi" w:cstheme="minorHAnsi"/>
          <w:lang w:eastAsia="zh-CN"/>
        </w:rPr>
        <w:t xml:space="preserve"> 0.81) than hub-height wind speed at 70 m (r </w:t>
      </w:r>
      <w:r>
        <w:rPr>
          <w:rFonts w:asciiTheme="minorHAnsi" w:hAnsiTheme="minorHAnsi" w:cstheme="minorHAnsi" w:hint="eastAsia"/>
          <w:lang w:eastAsia="zh-CN"/>
        </w:rPr>
        <w:t>≈</w:t>
      </w:r>
      <w:r>
        <w:rPr>
          <w:rFonts w:asciiTheme="minorHAnsi" w:hAnsiTheme="minorHAnsi" w:cstheme="minorHAnsi"/>
          <w:lang w:eastAsia="zh-CN"/>
        </w:rPr>
        <w:t xml:space="preserve"> 0.79) (Figure 2B, black line). This result challenges both the reliance on hub-height wind speed and the assumption underlying REWS that wind confined to the rotor-swept layer most effectively represents farm-scale power generation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S1.</w:t>
      </w:r>
    </w:p>
    <w:p w14:paraId="655EB054" w14:textId="77777777" w:rsidR="000A29B4" w:rsidRDefault="0093274C">
      <w:pPr>
        <w:pStyle w:val="Text"/>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2B, red line), correlation increases with height and peaks at 70 m (r </w:t>
      </w:r>
      <w:r>
        <w:rPr>
          <w:rFonts w:asciiTheme="minorHAnsi" w:hAnsiTheme="minorHAnsi" w:cstheme="minorHAnsi" w:hint="eastAsia"/>
        </w:rPr>
        <w:t>≈</w:t>
      </w:r>
      <w:r>
        <w:rPr>
          <w:rFonts w:asciiTheme="minorHAnsi" w:hAnsiTheme="minorHAnsi" w:cstheme="minorHAnsi"/>
        </w:rPr>
        <w:t xml:space="preserve"> 0.83), consistent with expectations based on vertical shear structure. Under wake-influenced</w:t>
      </w:r>
      <w:r>
        <w:rPr>
          <w:rFonts w:asciiTheme="minorHAnsi" w:hAnsiTheme="minorHAnsi" w:cstheme="minorHAnsi" w:hint="eastAsia"/>
          <w:lang w:eastAsia="zh-CN"/>
        </w:rPr>
        <w:t xml:space="preserve"> </w:t>
      </w:r>
      <w:r>
        <w:rPr>
          <w:rFonts w:asciiTheme="minorHAnsi" w:hAnsiTheme="minorHAnsi" w:cstheme="minorHAnsi"/>
        </w:rPr>
        <w:t xml:space="preserve">conditions (Figure 2B, blue line), however, correlation at 70 m decreases substantially (r </w:t>
      </w:r>
      <w:r>
        <w:rPr>
          <w:rFonts w:asciiTheme="minorHAnsi" w:hAnsiTheme="minorHAnsi" w:cstheme="minorHAnsi" w:hint="eastAsia"/>
        </w:rPr>
        <w:t>≈</w:t>
      </w:r>
      <w:r>
        <w:rPr>
          <w:rFonts w:asciiTheme="minorHAnsi" w:hAnsiTheme="minorHAnsi" w:cstheme="minorHAnsi"/>
        </w:rPr>
        <w:t xml:space="preserve"> 0.70), </w:t>
      </w:r>
      <w:r>
        <w:rPr>
          <w:rFonts w:asciiTheme="minorHAnsi" w:hAnsiTheme="minorHAnsi" w:cstheme="minorHAnsi"/>
        </w:rPr>
        <w:lastRenderedPageBreak/>
        <w:t xml:space="preserve">while correlation at 10 m remains high (r </w:t>
      </w:r>
      <w:r>
        <w:rPr>
          <w:rFonts w:asciiTheme="minorHAnsi" w:hAnsiTheme="minorHAnsi" w:cstheme="minorHAnsi" w:hint="eastAsia"/>
        </w:rPr>
        <w:t>≈</w:t>
      </w:r>
      <w:r>
        <w:rPr>
          <w:rFonts w:asciiTheme="minorHAnsi" w:hAnsiTheme="minorHAnsi" w:cstheme="minorHAnsi"/>
        </w:rPr>
        <w:t xml:space="preserve"> 0.78). The higher overall correlation at 10 m therefore arises from degradation of the hub-height signal under wake-influenced conditions</w:t>
      </w:r>
      <w:r>
        <w:rPr>
          <w:rFonts w:asciiTheme="minorHAnsi" w:hAnsiTheme="minorHAnsi" w:cstheme="minorHAnsi" w:hint="eastAsia"/>
          <w:lang w:eastAsia="zh-CN"/>
        </w:rPr>
        <w:t xml:space="preserve"> r</w:t>
      </w:r>
      <w:r>
        <w:rPr>
          <w:rFonts w:asciiTheme="minorHAnsi" w:hAnsiTheme="minorHAnsi" w:cstheme="minorHAnsi"/>
        </w:rPr>
        <w:t>ather than from enhanced predictive power of near-surface wind.</w:t>
      </w:r>
    </w:p>
    <w:p w14:paraId="7C9F769B" w14:textId="2C99F9B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2C and 2D). Under free-stream conditions, wind speed increases smoothly from the surface to hub height, consistent with a typical shear structure. Under wake-influenced conditions, wind speeds between 30 m and 70 m are reduced and exhibit larger variability compared with free-stream flow. These changes indicate that turbine-induced momentum extraction and turbulence alter the hub-height wind signal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(Barthelmie et al., 2007; Feroz et al., 2020)</w:t>
      </w:r>
      <w:r>
        <w:rPr>
          <w:rFonts w:asciiTheme="minorHAnsi" w:hAnsiTheme="minorHAnsi" w:cstheme="minorHAnsi"/>
          <w:lang w:eastAsia="zh-CN"/>
        </w:rPr>
        <w:fldChar w:fldCharType="end"/>
      </w:r>
      <w:r>
        <w:rPr>
          <w:rFonts w:asciiTheme="minorHAnsi" w:hAnsiTheme="minorHAnsi" w:cstheme="minorHAnsi"/>
          <w:lang w:eastAsia="zh-CN"/>
        </w:rPr>
        <w:t xml:space="preserve">. In contrast, the distribution of 10-m wind speed is nearly identical between free-stream and wake-influenced conditions, suggesting that this level </w:t>
      </w:r>
      <w:r w:rsidR="009315BB">
        <w:rPr>
          <w:rFonts w:asciiTheme="minorHAnsi" w:hAnsiTheme="minorHAnsi" w:cstheme="minorHAnsi" w:hint="eastAsia"/>
          <w:lang w:eastAsia="zh-CN"/>
        </w:rPr>
        <w:t>is much less influenced by the</w:t>
      </w:r>
      <w:r w:rsidR="009315BB">
        <w:rPr>
          <w:rFonts w:asciiTheme="minorHAnsi" w:hAnsiTheme="minorHAnsi" w:cstheme="minorHAnsi"/>
          <w:lang w:eastAsia="zh-CN"/>
        </w:rPr>
        <w:t xml:space="preserve"> wake</w:t>
      </w:r>
      <w:r w:rsidR="009315BB">
        <w:rPr>
          <w:rFonts w:asciiTheme="minorHAnsi" w:hAnsiTheme="minorHAnsi" w:cstheme="minorHAnsi" w:hint="eastAsia"/>
          <w:lang w:eastAsia="zh-CN"/>
        </w:rPr>
        <w:t xml:space="preserve"> than the above </w:t>
      </w:r>
      <w:r>
        <w:rPr>
          <w:rFonts w:asciiTheme="minorHAnsi" w:hAnsiTheme="minorHAnsi" w:cstheme="minorHAnsi"/>
          <w:lang w:eastAsia="zh-CN"/>
        </w:rPr>
        <w:t>layer and continues to reflect the background atmospheric inflow.</w:t>
      </w:r>
    </w:p>
    <w:p w14:paraId="73B03CEC"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Collectively, these observations (Figure 2)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11"/>
      <w:r>
        <w:rPr>
          <w:rFonts w:asciiTheme="minorHAnsi" w:hAnsiTheme="minorHAnsi" w:cstheme="minorHAnsi"/>
          <w:lang w:eastAsia="zh-CN"/>
        </w:rPr>
        <w:t>These findings motivate the use of an extended profile that incorporates 10-m measurements, recognizing that surface-layer wind can represent farm-scale power variability through vertical atmospheric coupling.</w:t>
      </w:r>
    </w:p>
    <w:p w14:paraId="4B1E2178" w14:textId="77777777" w:rsidR="000A29B4" w:rsidRDefault="0093274C">
      <w:pPr>
        <w:pStyle w:val="Heading-Secondary"/>
        <w:rPr>
          <w:rFonts w:asciiTheme="minorHAnsi" w:hAnsiTheme="minorHAnsi" w:cstheme="minorHAnsi"/>
          <w:lang w:eastAsia="zh-CN"/>
        </w:rPr>
      </w:pPr>
      <w:bookmarkStart w:id="12" w:name="OLE_LINK3"/>
      <w:r>
        <w:rPr>
          <w:rFonts w:asciiTheme="minorHAnsi" w:hAnsiTheme="minorHAnsi" w:cstheme="minorHAnsi" w:hint="eastAsia"/>
          <w:lang w:eastAsia="zh-CN"/>
        </w:rPr>
        <w:t>4</w:t>
      </w:r>
      <w:r>
        <w:rPr>
          <w:rFonts w:asciiTheme="minorHAnsi" w:hAnsiTheme="minorHAnsi" w:cstheme="minorHAnsi"/>
        </w:rPr>
        <w:t>.2. Scale-Dependent Coupling</w:t>
      </w:r>
      <w:r>
        <w:rPr>
          <w:rFonts w:asciiTheme="minorHAnsi" w:hAnsiTheme="minorHAnsi" w:cstheme="minorHAnsi" w:hint="eastAsia"/>
          <w:lang w:eastAsia="zh-CN"/>
        </w:rPr>
        <w:t xml:space="preserve"> </w:t>
      </w:r>
      <w:r>
        <w:rPr>
          <w:rFonts w:asciiTheme="minorHAnsi" w:hAnsiTheme="minorHAnsi" w:cstheme="minorHAnsi"/>
        </w:rPr>
        <w:t>and Vertical Structure Consistency</w:t>
      </w:r>
    </w:p>
    <w:p w14:paraId="5DF6DC9F" w14:textId="1C09ADF6" w:rsidR="000A29B4" w:rsidRDefault="0093274C">
      <w:pPr>
        <w:pStyle w:val="Text"/>
        <w:rPr>
          <w:rFonts w:asciiTheme="minorHAnsi" w:hAnsiTheme="minorHAnsi" w:cstheme="minorHAnsi"/>
          <w:lang w:eastAsia="zh-CN"/>
        </w:rPr>
      </w:pPr>
      <w:r>
        <w:t xml:space="preserve"> </w:t>
      </w:r>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w:t>
      </w:r>
      <w:r w:rsidR="00472837" w:rsidRPr="00472837">
        <w:rPr>
          <w:rFonts w:asciiTheme="minorHAnsi" w:hAnsiTheme="minorHAnsi" w:cstheme="minorHAnsi"/>
          <w:lang w:eastAsia="zh-CN"/>
        </w:rPr>
        <w:t xml:space="preserve">(quantified </w:t>
      </w:r>
      <w:r w:rsidR="00472837">
        <w:rPr>
          <w:rFonts w:asciiTheme="minorHAnsi" w:hAnsiTheme="minorHAnsi" w:cstheme="minorHAnsi"/>
          <w:lang w:eastAsia="zh-CN"/>
        </w:rPr>
        <w:t>as the Spearman correlation</w:t>
      </w:r>
      <w:r w:rsidR="00472837" w:rsidRPr="00472837">
        <w:rPr>
          <w:rFonts w:asciiTheme="minorHAnsi" w:hAnsiTheme="minorHAnsi" w:cstheme="minorHAnsi"/>
          <w:lang w:eastAsia="zh-CN"/>
        </w:rPr>
        <w:t>)</w:t>
      </w:r>
      <w:r w:rsidR="00472837">
        <w:rPr>
          <w:rFonts w:asciiTheme="minorHAnsi" w:hAnsiTheme="minorHAnsi" w:cstheme="minorHAnsi"/>
          <w:lang w:eastAsia="zh-CN"/>
        </w:rPr>
        <w:t xml:space="preserve"> </w:t>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14:paraId="1734FA29" w14:textId="6DFF1852"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Scale-resolved variance analysis (Figure 3A) distinguishes </w:t>
      </w:r>
      <w:r w:rsidR="000526A1" w:rsidRPr="000526A1">
        <w:rPr>
          <w:rFonts w:asciiTheme="minorHAnsi" w:hAnsiTheme="minorHAnsi" w:cstheme="minorHAnsi"/>
          <w:lang w:eastAsia="zh-CN"/>
        </w:rPr>
        <w:t xml:space="preserve">sub-daily </w:t>
      </w:r>
      <w:r>
        <w:rPr>
          <w:rFonts w:asciiTheme="minorHAnsi" w:hAnsiTheme="minorHAnsi" w:cstheme="minorHAnsi"/>
          <w:lang w:eastAsia="zh-CN"/>
        </w:rPr>
        <w:t xml:space="preserve">wake-related variability from </w:t>
      </w:r>
      <w:r w:rsidR="000526A1" w:rsidRPr="000526A1">
        <w:rPr>
          <w:rFonts w:asciiTheme="minorHAnsi" w:hAnsiTheme="minorHAnsi" w:cstheme="minorHAnsi"/>
          <w:lang w:eastAsia="zh-CN"/>
        </w:rPr>
        <w:t>synoptic-scale</w:t>
      </w:r>
      <w:r w:rsidR="000526A1">
        <w:rPr>
          <w:rFonts w:asciiTheme="minorHAnsi" w:hAnsiTheme="minorHAnsi" w:cstheme="minorHAnsi"/>
          <w:lang w:eastAsia="zh-CN"/>
        </w:rPr>
        <w:t xml:space="preserve"> </w:t>
      </w:r>
      <w:r>
        <w:rPr>
          <w:rFonts w:asciiTheme="minorHAnsi" w:hAnsiTheme="minorHAnsi" w:cstheme="minorHAnsi"/>
          <w:lang w:eastAsia="zh-CN"/>
        </w:rPr>
        <w:t xml:space="preserve">atmospheric variability. At </w:t>
      </w:r>
      <w:r w:rsidR="003166A2">
        <w:rPr>
          <w:rFonts w:asciiTheme="minorHAnsi" w:hAnsiTheme="minorHAnsi" w:cstheme="minorHAnsi"/>
          <w:lang w:eastAsia="zh-CN"/>
        </w:rPr>
        <w:t xml:space="preserve">sub-daily </w:t>
      </w:r>
      <w:r>
        <w:rPr>
          <w:rFonts w:asciiTheme="minorHAnsi" w:hAnsiTheme="minorHAnsi" w:cstheme="minorHAnsi"/>
          <w:lang w:eastAsia="zh-CN"/>
        </w:rPr>
        <w:t>periods</w:t>
      </w:r>
      <w:r w:rsidR="003166A2">
        <w:rPr>
          <w:rFonts w:asciiTheme="minorHAnsi" w:hAnsiTheme="minorHAnsi" w:cstheme="minorHAnsi"/>
          <w:lang w:eastAsia="zh-CN"/>
        </w:rPr>
        <w:t>,</w:t>
      </w:r>
      <w:r>
        <w:rPr>
          <w:rFonts w:asciiTheme="minorHAnsi" w:hAnsiTheme="minorHAnsi" w:cstheme="minorHAnsi"/>
          <w:lang w:eastAsia="zh-CN"/>
        </w:rPr>
        <w:t xml:space="preserve"> wind-speed variance at 70 m is </w:t>
      </w:r>
      <w:r w:rsidR="002715F4" w:rsidRPr="002715F4">
        <w:rPr>
          <w:rFonts w:asciiTheme="minorHAnsi" w:hAnsiTheme="minorHAnsi" w:cstheme="minorHAnsi"/>
          <w:lang w:eastAsia="zh-CN"/>
        </w:rPr>
        <w:t>notably</w:t>
      </w:r>
      <w:r w:rsidR="002715F4">
        <w:rPr>
          <w:rFonts w:asciiTheme="minorHAnsi" w:hAnsiTheme="minorHAnsi" w:cstheme="minorHAnsi"/>
          <w:lang w:eastAsia="zh-CN"/>
        </w:rPr>
        <w:t xml:space="preserve"> </w:t>
      </w:r>
      <w:r>
        <w:rPr>
          <w:rFonts w:asciiTheme="minorHAnsi" w:hAnsiTheme="minorHAnsi" w:cstheme="minorHAnsi"/>
          <w:lang w:eastAsia="zh-CN"/>
        </w:rPr>
        <w:t xml:space="preserve">higher under wake-influenced conditions than under free-stream conditions, reflecting additional variability introduced by turbine interactions. In contrast, </w:t>
      </w:r>
      <w:r w:rsidR="000526A1">
        <w:rPr>
          <w:rFonts w:asciiTheme="minorHAnsi" w:hAnsiTheme="minorHAnsi" w:cstheme="minorHAnsi"/>
          <w:lang w:eastAsia="zh-CN"/>
        </w:rPr>
        <w:t>at synoptic and longer periods</w:t>
      </w:r>
      <w:r>
        <w:rPr>
          <w:rFonts w:asciiTheme="minorHAnsi" w:hAnsiTheme="minorHAnsi" w:cstheme="minorHAnsi"/>
          <w:lang w:eastAsia="zh-CN"/>
        </w:rPr>
        <w:t xml:space="preserve">,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 The convergence at longer periods suggests that low-frequency variability is increasingly associated with large-scale atmospheric processes, although features at the longest periods should be interpreted with caution, as they </w:t>
      </w:r>
      <w:r>
        <w:rPr>
          <w:rFonts w:asciiTheme="minorHAnsi" w:hAnsiTheme="minorHAnsi" w:cstheme="minorHAnsi"/>
          <w:lang w:eastAsia="zh-CN"/>
        </w:rPr>
        <w:lastRenderedPageBreak/>
        <w:t>are constrained by the limited record length and involve only a small number of low-frequency cycles.</w:t>
      </w:r>
    </w:p>
    <w:p w14:paraId="18532E81" w14:textId="3C0B9859" w:rsidR="000A29B4" w:rsidRDefault="0093274C">
      <w:pPr>
        <w:pStyle w:val="Text"/>
        <w:rPr>
          <w:rFonts w:asciiTheme="minorHAnsi" w:hAnsiTheme="minorHAnsi" w:cstheme="minorHAnsi"/>
          <w:lang w:eastAsia="zh-CN"/>
        </w:rPr>
      </w:pPr>
      <w:r>
        <w:rPr>
          <w:rFonts w:asciiTheme="minorHAnsi" w:hAnsiTheme="minorHAnsi" w:cstheme="minorHAnsi"/>
          <w:lang w:eastAsia="zh-CN"/>
        </w:rPr>
        <w:t>Vertical coherence analysis (Figure 3B,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The correlation with power output (Figure 3B, lower panels) shows a consistent pattern. At hourly scales, correlations between wind speed and total power remain weak. As the averaging period increases toward one to three days, correlations increase substantially under both free-stream and wake-influenced conditions. These results indicate that farm-scale power variability is primarily associated with synoptic-scale atmospheric forcing rather than short-scale wake-driven fluctuations.</w:t>
      </w:r>
    </w:p>
    <w:p w14:paraId="0E98DA18"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The large vertical separation between 10 m and the rotor-swept layer raises the question of whether the vertical structure remains coherent across regimes. EOF analysis provides this insight. The first EOF mode explains more than 93% of total vertical variance in all cases (Figure 3C),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 conditions.</w:t>
      </w:r>
    </w:p>
    <w:p w14:paraId="18F38F0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The ability of surface-layer wind speed to scale profile intensity (quantified as the amplitude of the first EOF mode) is examined through its relationship with the first principal component amplitude. Strong linear correlations are observed between 10-m wind speed and PC1, with nearly identical regression slopes under free-stream and wake-influenced conditions (0.65 and 0.66; Figure 3D).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p>
    <w:p w14:paraId="52C3D8BD"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Taken together, these results show that farm-scale power variability is controlled primarily by synoptic-scale atmospheric forcing. At these scales, wind speeds across the vertical column are strongly coupled and governed by a stable structural mode.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 </w:t>
      </w:r>
    </w:p>
    <w:bookmarkEnd w:id="12"/>
    <w:p w14:paraId="3E5E9D88"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.3. Evaluation of the Extended Profile Representation</w:t>
      </w:r>
      <w:r>
        <w:rPr>
          <w:rFonts w:asciiTheme="minorHAnsi" w:hAnsiTheme="minorHAnsi" w:cstheme="minorHAnsi" w:hint="eastAsia"/>
          <w:lang w:eastAsia="zh-CN"/>
        </w:rPr>
        <w:t xml:space="preserve"> </w:t>
      </w:r>
      <w:r>
        <w:rPr>
          <w:rFonts w:asciiTheme="minorHAnsi" w:hAnsiTheme="minorHAnsi" w:cstheme="minorHAnsi"/>
        </w:rPr>
        <w:t>via Power Reconstruction</w:t>
      </w:r>
    </w:p>
    <w:p w14:paraId="4ECE4033" w14:textId="39D9C31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Sections 4.1 and 4.2 established the physical basis for extending vertical wind representation beyond the rotor-swept layer. </w:t>
      </w:r>
      <w:r w:rsidR="008F2F03" w:rsidRPr="008F2F03">
        <w:rPr>
          <w:rFonts w:asciiTheme="minorHAnsi" w:hAnsiTheme="minorHAnsi" w:cstheme="minorHAnsi"/>
          <w:lang w:eastAsia="zh-CN"/>
        </w:rPr>
        <w:t xml:space="preserve">To test whether this representation improves farm-scale power prediction, a </w:t>
      </w:r>
      <w:proofErr w:type="spellStart"/>
      <w:r w:rsidR="008F2F03" w:rsidRPr="008F2F03">
        <w:rPr>
          <w:rFonts w:asciiTheme="minorHAnsi" w:hAnsiTheme="minorHAnsi" w:cstheme="minorHAnsi"/>
          <w:lang w:eastAsia="zh-CN"/>
        </w:rPr>
        <w:t>LightGBM</w:t>
      </w:r>
      <w:proofErr w:type="spellEnd"/>
      <w:r w:rsidR="008F2F03" w:rsidRPr="008F2F03">
        <w:rPr>
          <w:rFonts w:asciiTheme="minorHAnsi" w:hAnsiTheme="minorHAnsi" w:cstheme="minorHAnsi"/>
          <w:lang w:eastAsia="zh-CN"/>
        </w:rPr>
        <w:t xml:space="preserve"> model is used to reconstruct total power from the three input configurations (HH, S</w:t>
      </w:r>
      <w:r w:rsidR="008F2F03">
        <w:rPr>
          <w:rFonts w:asciiTheme="minorHAnsi" w:hAnsiTheme="minorHAnsi" w:cstheme="minorHAnsi"/>
          <w:lang w:eastAsia="zh-CN"/>
        </w:rPr>
        <w:t>R, ER) described in Section 2.3</w:t>
      </w:r>
      <w:r>
        <w:rPr>
          <w:rFonts w:asciiTheme="minorHAnsi" w:hAnsiTheme="minorHAnsi" w:cstheme="minorHAnsi"/>
          <w:lang w:eastAsia="zh-CN"/>
        </w:rPr>
        <w:t>.</w:t>
      </w:r>
    </w:p>
    <w:p w14:paraId="5981BD8A"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lastRenderedPageBreak/>
        <w:t>Figure 4A shows that reconstruction accuracy improves systematically from HH (R² = 0.61) to SR (R² = 0.64) and further to ER (R² = 0.72). Including surface-layer wind therefore yields a clear improvement over models using only rotor-layer measurements. This result is consistent with Section 4.2, where 10-m wind speed was shown to scale the dominant vertical mode governing synoptic-scale variability.</w:t>
      </w:r>
      <w:r>
        <w:t xml:space="preserve"> </w:t>
      </w:r>
      <w:r>
        <w:rPr>
          <w:rFonts w:asciiTheme="minorHAnsi" w:hAnsiTheme="minorHAnsi" w:cstheme="minorHAnsi"/>
          <w:lang w:eastAsia="zh-CN"/>
        </w:rPr>
        <w:t>To assess robustness across flow regimes, the test dataset is partitioned into free-stream and wake-influenced conditions. Figure 4B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This pattern indicates that when rotor-layer wind signals are degraded under wake-influenced conditions, including surface-layer wind information improves representation of the background atmospheric state that governs farm-scale power variability.</w:t>
      </w:r>
    </w:p>
    <w:p w14:paraId="61514F3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Pr>
          <w:rFonts w:asciiTheme="minorHAnsi" w:hAnsiTheme="minorHAnsi" w:cstheme="minorHAnsi"/>
          <w:lang w:eastAsia="zh-CN"/>
        </w:rPr>
        <w:t xml:space="preserve">is </w:t>
      </w:r>
      <w:r>
        <w:rPr>
          <w:rFonts w:asciiTheme="minorHAnsi" w:hAnsiTheme="minorHAnsi" w:cstheme="minorHAnsi" w:hint="eastAsia"/>
          <w:lang w:eastAsia="zh-CN"/>
        </w:rPr>
        <w:t>a</w:t>
      </w:r>
      <w:r>
        <w:rPr>
          <w:rFonts w:asciiTheme="minorHAnsi" w:hAnsiTheme="minorHAnsi" w:cstheme="minorHAnsi"/>
          <w:lang w:eastAsia="zh-CN"/>
        </w:rPr>
        <w:t>pplied to the corresponding test sets. Figure 4C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Pr>
          <w:rFonts w:asciiTheme="minorHAnsi" w:hAnsiTheme="minorHAnsi" w:cstheme="minorHAnsi" w:hint="eastAsia"/>
          <w:lang w:eastAsia="zh-CN"/>
        </w:rPr>
        <w:t xml:space="preserve"> </w:t>
      </w:r>
      <w:r>
        <w:rPr>
          <w:rFonts w:asciiTheme="minorHAnsi" w:hAnsiTheme="minorHAnsi" w:cstheme="minorHAnsi"/>
          <w:lang w:eastAsia="zh-CN"/>
        </w:rPr>
        <w:t>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This shift aligns with the regime-dependent degradation of hub-height correlation identified in Section 4.1 and with the stable scaling relationship between 10-m wind speed and the dominant vertical mode shown in Section 4.2. In this regime, surface-layer wind better represents the large-scale atmospheric forcing that governs farm-scale power variability.</w:t>
      </w:r>
    </w:p>
    <w:p w14:paraId="0759DDE3"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The agreement between SHAP-derived feature importance and the physically established relationships identified earlier supports the interpretability of SHAP in diagnosing model behavior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1DA1F135"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4. Operational Implications: Wind-Direction-Aware Strategy</w:t>
      </w:r>
    </w:p>
    <w:p w14:paraId="68AF4A61" w14:textId="60BFD36B"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 4.3 demonstrated that extending vertical wind representation improves power reconstruction when observational data are used as inputs. In operational forecasting, </w:t>
      </w:r>
      <w:r>
        <w:rPr>
          <w:rFonts w:asciiTheme="minorHAnsi" w:hAnsiTheme="minorHAnsi" w:cstheme="minorHAnsi"/>
          <w:lang w:eastAsia="zh-CN"/>
        </w:rPr>
        <w:lastRenderedPageBreak/>
        <w:t>however, meteorological in</w:t>
      </w:r>
      <w:r w:rsidR="008472D3">
        <w:rPr>
          <w:rFonts w:asciiTheme="minorHAnsi" w:hAnsiTheme="minorHAnsi" w:cstheme="minorHAnsi"/>
          <w:lang w:eastAsia="zh-CN"/>
        </w:rPr>
        <w:t xml:space="preserve">puts are provided by </w:t>
      </w:r>
      <w:r w:rsidR="000A1EF5" w:rsidRPr="000A1EF5">
        <w:rPr>
          <w:rFonts w:asciiTheme="minorHAnsi" w:hAnsiTheme="minorHAnsi" w:cstheme="minorHAnsi"/>
          <w:lang w:eastAsia="zh-CN"/>
        </w:rPr>
        <w:t>NWP systems</w:t>
      </w:r>
      <w:r>
        <w:rPr>
          <w:rFonts w:asciiTheme="minorHAnsi" w:hAnsiTheme="minorHAnsi" w:cstheme="minorHAnsi"/>
          <w:lang w:eastAsia="zh-CN"/>
        </w:rPr>
        <w:t>, and their reliability varies across flow conditions. The regime-dependent feature behavior identified in Sections 4.1–4.3 suggests that a fixed set of input variables may not be optimal under all inflow regimes.</w:t>
      </w:r>
    </w:p>
    <w:p w14:paraId="27C55A0F" w14:textId="3B38CEF6" w:rsidR="000A29B4" w:rsidRDefault="0093274C">
      <w:pPr>
        <w:pStyle w:val="Text"/>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w:t>
      </w:r>
      <w:r w:rsidR="008472D3">
        <w:rPr>
          <w:rFonts w:asciiTheme="minorHAnsi" w:hAnsiTheme="minorHAnsi" w:cstheme="minorHAnsi"/>
          <w:lang w:eastAsia="zh-CN"/>
        </w:rPr>
        <w:t>tion predicted by WRF</w:t>
      </w:r>
      <w:r>
        <w:rPr>
          <w:rFonts w:asciiTheme="minorHAnsi" w:hAnsiTheme="minorHAnsi" w:cstheme="minorHAnsi"/>
          <w:lang w:eastAsia="zh-CN"/>
        </w:rPr>
        <w:t>. During forecasting, the sector is determined using the predicted wind direction, and the corresponding sector-specific model is applied. Although wind direction forecasts are subject to uncertainty, this strategy remains effective in practice.</w:t>
      </w:r>
    </w:p>
    <w:p w14:paraId="591CBDBA" w14:textId="5ACDE81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Figure 5A and 5C present day-ahead forecast performance using EC-WRF and GFS-WRF inputs, respectively.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00CC7039" w:rsidRPr="00CC7039">
        <w:rPr>
          <w:rFonts w:asciiTheme="minorHAnsi" w:hAnsiTheme="minorHAnsi" w:cstheme="minorHAnsi"/>
          <w:lang w:eastAsia="zh-CN"/>
        </w:rPr>
        <w:t>By adopting sector-specific input configurations informed by SHAP analysis—using three wind speed levels for free-stream and wake-influenced sectors while retaining all four levels for transitional sectors—WDA reduces redundant and wake-contaminated predictors and outperforms ER.</w:t>
      </w:r>
    </w:p>
    <w:p w14:paraId="35F2EDC4"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Regime-resolved results (Figure 5B and 5D)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This pattern is consistent with earlier findings that hub-height wind is more susceptible to wake-related degradation, whereas surface-layer wind maintains a more stable relationship with the background atmospheric state. Allowing input usage to vary with flow regime therefore yields the largest benefit under wake-influenced conditions. These results demonstrate that the physical understanding of scale-dependent vertical coupling can be translated into a simple operational strategy. Rather than relying on a fixed vertical representation, forecasting systems may benefit from adapting input usage according to inflow regime.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14:paraId="43984F58"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Several limitations should be noted. First, the analysis is based on a single wind farm in flat terrain, where vertical coupling between surface and rotor layers is relatively strong. The applicability of this strategy to complex terrain requires further multi-site evaluation. In addition, forecasting performance may exhibit geographical dependence, as the relative importance of surface-layer winds can vary with site-specific boundary-layer characteristics and terrain complexity. 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w:t>
      </w:r>
      <w:r>
        <w:rPr>
          <w:rFonts w:asciiTheme="minorHAnsi" w:hAnsiTheme="minorHAnsi" w:cstheme="minorHAnsi"/>
          <w:lang w:eastAsia="zh-CN"/>
        </w:rPr>
        <w:lastRenderedPageBreak/>
        <w:t>availability of multi-height observations and reliable wind-direction forecasts, which may vary across operational settings.</w:t>
      </w:r>
    </w:p>
    <w:p w14:paraId="4528C653" w14:textId="77777777" w:rsidR="000A29B4" w:rsidRDefault="0093274C">
      <w:pPr>
        <w:pStyle w:val="Heading-Main"/>
        <w:rPr>
          <w:rFonts w:asciiTheme="minorHAnsi" w:hAnsiTheme="minorHAnsi" w:cstheme="minorHAnsi"/>
          <w:lang w:eastAsia="zh-CN"/>
        </w:rPr>
      </w:pPr>
      <w:r>
        <w:rPr>
          <w:rFonts w:asciiTheme="minorHAnsi" w:hAnsiTheme="minorHAnsi" w:cstheme="minorHAnsi"/>
        </w:rPr>
        <w:t>5 Conclusions</w:t>
      </w:r>
    </w:p>
    <w:p w14:paraId="484D3272" w14:textId="5E99C047" w:rsidR="000A29B4" w:rsidRDefault="000F3622">
      <w:pPr>
        <w:pStyle w:val="Text"/>
        <w:rPr>
          <w:rFonts w:asciiTheme="minorHAnsi" w:hAnsiTheme="minorHAnsi" w:cstheme="minorHAnsi"/>
          <w:lang w:eastAsia="zh-CN"/>
        </w:rPr>
      </w:pPr>
      <w:r w:rsidRPr="000F3622">
        <w:rPr>
          <w:rFonts w:asciiTheme="minorHAnsi" w:hAnsiTheme="minorHAnsi" w:cstheme="minorHAnsi"/>
          <w:lang w:eastAsia="zh-CN"/>
        </w:rPr>
        <w:t>This study finds that 10-m surface-layer wind speed maintains a stronger correlation with farm-scale power than hub-height wind speed under wake-influenced conditions, explains the physical mechanisms underlying this observation, and proposes an extended profile forecasting approach grounded in this understanding</w:t>
      </w:r>
      <w:r w:rsidR="0093274C">
        <w:rPr>
          <w:rFonts w:asciiTheme="minorHAnsi" w:hAnsiTheme="minorHAnsi" w:cstheme="minorHAnsi"/>
          <w:lang w:eastAsia="zh-CN"/>
        </w:rPr>
        <w:t xml:space="preserve">. Our findings demonstrate that farm-scale power should be characterized through vertical wind profiles rather than single-height measurements such as conventional hub-height observations. While </w:t>
      </w:r>
      <w:r w:rsidR="00730C5B" w:rsidRPr="00730C5B">
        <w:rPr>
          <w:rFonts w:asciiTheme="minorHAnsi" w:hAnsiTheme="minorHAnsi" w:cstheme="minorHAnsi"/>
          <w:lang w:eastAsia="zh-CN"/>
        </w:rPr>
        <w:t>rotor-equiv</w:t>
      </w:r>
      <w:r w:rsidR="00730C5B">
        <w:rPr>
          <w:rFonts w:asciiTheme="minorHAnsi" w:hAnsiTheme="minorHAnsi" w:cstheme="minorHAnsi"/>
          <w:lang w:eastAsia="zh-CN"/>
        </w:rPr>
        <w:t>alent wind speed</w:t>
      </w:r>
      <w:r w:rsidR="0093274C">
        <w:rPr>
          <w:rFonts w:asciiTheme="minorHAnsi" w:hAnsiTheme="minorHAnsi" w:cstheme="minorHAnsi"/>
          <w:lang w:eastAsia="zh-CN"/>
        </w:rPr>
        <w:t xml:space="preserve"> approaches recognize the importance of vertical structure, this study establishes that the relevant profile must extend below the rotor-swept layer to represent the complete atmospheric state under certain flow conditions.</w:t>
      </w:r>
    </w:p>
    <w:p w14:paraId="78F36D64" w14:textId="0FFD8D29"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Under wake-influenced conditions, </w:t>
      </w:r>
      <w:r w:rsidR="00E032B2" w:rsidRPr="00E032B2">
        <w:rPr>
          <w:rFonts w:asciiTheme="minorHAnsi" w:hAnsiTheme="minorHAnsi" w:cstheme="minorHAnsi"/>
          <w:lang w:eastAsia="zh-CN"/>
        </w:rPr>
        <w:t>the 10-m level remains much less influenced by wake effects than the levels above, as it is positione</w:t>
      </w:r>
      <w:r w:rsidR="00E032B2">
        <w:rPr>
          <w:rFonts w:asciiTheme="minorHAnsi" w:hAnsiTheme="minorHAnsi" w:cstheme="minorHAnsi"/>
          <w:lang w:eastAsia="zh-CN"/>
        </w:rPr>
        <w:t>d below the primary wake volume</w:t>
      </w:r>
      <w:r>
        <w:rPr>
          <w:rFonts w:asciiTheme="minorHAnsi" w:hAnsiTheme="minorHAnsi" w:cstheme="minorHAnsi"/>
          <w:lang w:eastAsia="zh-CN"/>
        </w:rPr>
        <w:t>. However, its effectiveness does not solely stem from this shielding; rather, the 10-m wind speed serves as a key quantity for characterizing the intensity of the entire inflow profile. Scale-resolved analysis reveals that at the synoptic timescales governing power variability, wind speeds vary coherently across the vertical column over flat terrain. This vertical coupling, quantified through EOF analysis where a single mode captures over 93% of variance, enables 10-m wind speed to function as a consistent scaling factor for the energy state of the entire inflow profile. Through this mechanism, near-surface observations provide a reliable reference for the atmospheric state driving power potential, even when rotor-layer measurements are degraded by wake effects.</w:t>
      </w:r>
    </w:p>
    <w:p w14:paraId="2DB8948F" w14:textId="77F3323E" w:rsidR="000A29B4" w:rsidRDefault="00CC04F6">
      <w:pPr>
        <w:pStyle w:val="Text"/>
        <w:rPr>
          <w:rFonts w:asciiTheme="minorHAnsi" w:hAnsiTheme="minorHAnsi" w:cstheme="minorHAnsi"/>
          <w:lang w:eastAsia="zh-CN"/>
        </w:rPr>
      </w:pPr>
      <w:r w:rsidRPr="00CC04F6">
        <w:rPr>
          <w:rFonts w:asciiTheme="minorHAnsi" w:hAnsiTheme="minorHAnsi" w:cstheme="minorHAnsi"/>
          <w:lang w:eastAsia="zh-CN"/>
        </w:rPr>
        <w:t>Building on this physical understanding, the extended profile representation integrates surface-layer and rotor-layer wind information to improve power reconstruction accuracy. When further combined with regime-specific feature selection, a wind-direction-aware strategy yields systematic improvements in</w:t>
      </w:r>
      <w:r>
        <w:rPr>
          <w:rFonts w:asciiTheme="minorHAnsi" w:hAnsiTheme="minorHAnsi" w:cstheme="minorHAnsi"/>
          <w:lang w:eastAsia="zh-CN"/>
        </w:rPr>
        <w:t xml:space="preserve"> NWP-driven day-ahead forecasts</w:t>
      </w:r>
      <w:r w:rsidR="0093274C">
        <w:rPr>
          <w:rFonts w:asciiTheme="minorHAnsi" w:hAnsiTheme="minorHAnsi" w:cstheme="minorHAnsi"/>
          <w:lang w:eastAsia="zh-CN"/>
        </w:rPr>
        <w:t xml:space="preserve">. </w:t>
      </w:r>
      <w:r w:rsidR="00AB6AF9" w:rsidRPr="00AB6AF9">
        <w:rPr>
          <w:rFonts w:asciiTheme="minorHAnsi" w:hAnsiTheme="minorHAnsi" w:cstheme="minorHAnsi"/>
          <w:lang w:eastAsia="zh-CN"/>
        </w:rPr>
        <w:t>These results indicate that meteorological inputs should be selected according to the dominant atmospheric time scales and flow regimes governing power variability, rather than solely according to the proximity of the measurement height to the rotor-swept area.</w:t>
      </w:r>
      <w:r w:rsidR="00AB6AF9">
        <w:rPr>
          <w:rFonts w:asciiTheme="minorHAnsi" w:hAnsiTheme="minorHAnsi" w:cstheme="minorHAnsi"/>
          <w:lang w:eastAsia="zh-CN"/>
        </w:rPr>
        <w:t xml:space="preserve"> </w:t>
      </w:r>
      <w:r w:rsidR="0093274C">
        <w:rPr>
          <w:rFonts w:asciiTheme="minorHAnsi" w:hAnsiTheme="minorHAnsi" w:cstheme="minorHAnsi"/>
          <w:lang w:eastAsia="zh-CN"/>
        </w:rPr>
        <w:t>Recognizing and exploiting vertical coupling between surface and rotor layers provides a physically grounded pathway for improving farm-scale NWP-driven wind power forecasting.</w:t>
      </w:r>
    </w:p>
    <w:p w14:paraId="405F2867" w14:textId="77777777" w:rsidR="000A29B4" w:rsidRDefault="000A29B4" w:rsidP="00591F46">
      <w:pPr>
        <w:pStyle w:val="Text"/>
        <w:rPr>
          <w:lang w:eastAsia="zh-CN"/>
        </w:rPr>
      </w:pPr>
    </w:p>
    <w:p w14:paraId="1D9DCB57" w14:textId="77777777" w:rsidR="000A29B4" w:rsidRDefault="0093274C">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b/>
          <w:bCs/>
          <w:color w:val="262626"/>
          <w:sz w:val="24"/>
          <w:szCs w:val="24"/>
        </w:rPr>
        <w:t>Open Research</w:t>
      </w:r>
      <w:r>
        <w:rPr>
          <w:rFonts w:asciiTheme="minorHAnsi" w:eastAsia="Times New Roman" w:hAnsiTheme="minorHAnsi" w:cstheme="minorHAnsi"/>
        </w:rPr>
        <w:t> </w:t>
      </w:r>
    </w:p>
    <w:p w14:paraId="498E8CDD" w14:textId="77777777" w:rsidR="000A29B4" w:rsidRDefault="0093274C">
      <w:pPr>
        <w:shd w:val="clear" w:color="auto" w:fill="FFFFFF"/>
        <w:spacing w:line="480" w:lineRule="auto"/>
        <w:rPr>
          <w:rFonts w:asciiTheme="minorHAnsi" w:eastAsia="Times New Roman" w:hAnsiTheme="minorHAnsi" w:cstheme="minorHAnsi"/>
          <w:sz w:val="21"/>
          <w:szCs w:val="21"/>
          <w:lang w:eastAsia="zh-CN"/>
        </w:rPr>
      </w:pPr>
      <w:r>
        <w:rPr>
          <w:rFonts w:asciiTheme="minorHAnsi" w:eastAsia="Times New Roman" w:hAnsiTheme="minorHAnsi" w:cstheme="minorHAnsi"/>
          <w:color w:val="262626"/>
          <w:sz w:val="21"/>
          <w:szCs w:val="21"/>
        </w:rPr>
        <w:t>The</w:t>
      </w:r>
      <w:r>
        <w:rPr>
          <w:rFonts w:asciiTheme="minorHAnsi" w:eastAsia="Times New Roman" w:hAnsiTheme="minorHAnsi" w:cstheme="minorHAnsi"/>
          <w:sz w:val="21"/>
          <w:szCs w:val="21"/>
          <w:lang w:eastAsia="zh-CN"/>
        </w:rPr>
        <w:t xml:space="preserve"> observational wind speed and power data, together with the EC-WRF and GFS-WRF dynamical downscaling outputs used in this study, are archived at </w:t>
      </w:r>
      <w:proofErr w:type="spellStart"/>
      <w:r>
        <w:rPr>
          <w:rFonts w:asciiTheme="minorHAnsi" w:eastAsia="Times New Roman" w:hAnsiTheme="minorHAnsi" w:cstheme="minorHAnsi"/>
          <w:sz w:val="21"/>
          <w:szCs w:val="21"/>
          <w:lang w:eastAsia="zh-CN"/>
        </w:rPr>
        <w:t>Zenodo</w:t>
      </w:r>
      <w:proofErr w:type="spellEnd"/>
      <w:r>
        <w:rPr>
          <w:rFonts w:asciiTheme="minorHAnsi" w:eastAsia="Times New Roman" w:hAnsiTheme="minorHAnsi" w:cstheme="minorHAnsi"/>
          <w:sz w:val="21"/>
          <w:szCs w:val="21"/>
          <w:lang w:eastAsia="zh-CN"/>
        </w:rPr>
        <w:t xml:space="preserve"> (</w:t>
      </w:r>
      <w:hyperlink r:id="rId16" w:history="1">
        <w:r>
          <w:rPr>
            <w:rStyle w:val="af3"/>
            <w:rFonts w:asciiTheme="minorHAnsi" w:eastAsia="Times New Roman" w:hAnsiTheme="minorHAnsi" w:cstheme="minorHAnsi"/>
            <w:sz w:val="21"/>
            <w:szCs w:val="21"/>
            <w:lang w:eastAsia="zh-CN"/>
          </w:rPr>
          <w:t>https://doi.org/10.5281/zenodo.18671960</w:t>
        </w:r>
      </w:hyperlink>
      <w:r>
        <w:rPr>
          <w:rFonts w:asciiTheme="minorHAnsi" w:eastAsia="Times New Roman" w:hAnsiTheme="minorHAnsi" w:cstheme="minorHAnsi"/>
          <w:sz w:val="21"/>
          <w:szCs w:val="21"/>
          <w:lang w:eastAsia="zh-CN"/>
        </w:rPr>
        <w:t xml:space="preserve">). </w:t>
      </w:r>
      <w:r>
        <w:rPr>
          <w:rFonts w:asciiTheme="minorHAnsi" w:eastAsia="Times New Roman" w:hAnsiTheme="minorHAnsi" w:cstheme="minorHAnsi"/>
          <w:sz w:val="21"/>
          <w:szCs w:val="21"/>
          <w:lang w:eastAsia="zh-CN"/>
        </w:rPr>
        <w:lastRenderedPageBreak/>
        <w:t>The analysis and visualization code is publicly available at GitHub (</w:t>
      </w:r>
      <w:hyperlink r:id="rId17" w:history="1">
        <w:r>
          <w:rPr>
            <w:rStyle w:val="af3"/>
            <w:rFonts w:asciiTheme="minorHAnsi" w:eastAsia="Times New Roman" w:hAnsiTheme="minorHAnsi" w:cstheme="minorHAnsi"/>
            <w:sz w:val="21"/>
            <w:szCs w:val="21"/>
            <w:lang w:eastAsia="zh-CN"/>
          </w:rPr>
          <w:t>https://github.com/Xiax24/ExtendedProfile-WindPower-Forecasting</w:t>
        </w:r>
      </w:hyperlink>
      <w:r>
        <w:rPr>
          <w:rFonts w:asciiTheme="minorHAnsi" w:eastAsia="Times New Roman" w:hAnsiTheme="minorHAnsi" w:cstheme="minorHAnsi"/>
          <w:sz w:val="21"/>
          <w:szCs w:val="21"/>
          <w:lang w:eastAsia="zh-CN"/>
        </w:rPr>
        <w:t xml:space="preserve">). ECMWF IFS HRES forecasts are publicly available from </w:t>
      </w:r>
      <w:hyperlink r:id="rId18" w:history="1">
        <w:r>
          <w:rPr>
            <w:rStyle w:val="af3"/>
            <w:rFonts w:asciiTheme="minorHAnsi" w:eastAsia="Times New Roman" w:hAnsiTheme="minorHAnsi" w:cstheme="minorHAnsi"/>
            <w:sz w:val="21"/>
            <w:szCs w:val="21"/>
            <w:lang w:eastAsia="zh-CN"/>
          </w:rPr>
          <w:t>https://www.ecmwf.int/en/forecasts/datasets/set-i</w:t>
        </w:r>
      </w:hyperlink>
      <w:r>
        <w:rPr>
          <w:rFonts w:asciiTheme="minorHAnsi" w:eastAsia="Times New Roman" w:hAnsiTheme="minorHAnsi" w:cstheme="minorHAnsi" w:hint="eastAsia"/>
          <w:sz w:val="21"/>
          <w:szCs w:val="21"/>
          <w:lang w:eastAsia="zh-CN"/>
        </w:rPr>
        <w:t>.</w:t>
      </w:r>
      <w:r>
        <w:rPr>
          <w:rFonts w:asciiTheme="minorHAnsi" w:eastAsia="Times New Roman" w:hAnsiTheme="minorHAnsi" w:cstheme="minorHAnsi"/>
          <w:sz w:val="21"/>
          <w:szCs w:val="21"/>
          <w:lang w:eastAsia="zh-CN"/>
        </w:rPr>
        <w:t xml:space="preserve"> NCEP GFS forecasts are publicly accessible from </w:t>
      </w:r>
      <w:hyperlink r:id="rId19" w:history="1">
        <w:r>
          <w:rPr>
            <w:rStyle w:val="af3"/>
            <w:rFonts w:asciiTheme="minorHAnsi" w:eastAsia="Times New Roman" w:hAnsiTheme="minorHAnsi" w:cstheme="minorHAnsi"/>
            <w:sz w:val="21"/>
            <w:szCs w:val="21"/>
            <w:lang w:eastAsia="zh-CN"/>
          </w:rPr>
          <w:t>https://www.ncei.noaa.gov/products/weather-climate-models/global-forecast</w:t>
        </w:r>
      </w:hyperlink>
      <w:r>
        <w:rPr>
          <w:rFonts w:asciiTheme="minorHAnsi" w:eastAsia="Times New Roman" w:hAnsiTheme="minorHAnsi" w:cstheme="minorHAnsi" w:hint="eastAsia"/>
          <w:sz w:val="21"/>
          <w:szCs w:val="21"/>
          <w:lang w:eastAsia="zh-CN"/>
        </w:rPr>
        <w:t>.</w:t>
      </w:r>
      <w:r>
        <w:rPr>
          <w:rFonts w:asciiTheme="minorHAnsi" w:eastAsia="Times New Roman" w:hAnsiTheme="minorHAnsi" w:cstheme="minorHAnsi"/>
          <w:sz w:val="21"/>
          <w:szCs w:val="21"/>
          <w:lang w:eastAsia="zh-CN"/>
        </w:rPr>
        <w:t xml:space="preserve"> The WRF model version 4.2 is openly accessible from </w:t>
      </w:r>
      <w:hyperlink r:id="rId20" w:history="1">
        <w:r>
          <w:rPr>
            <w:rStyle w:val="af3"/>
            <w:rFonts w:asciiTheme="minorHAnsi" w:eastAsia="Times New Roman" w:hAnsiTheme="minorHAnsi" w:cstheme="minorHAnsi"/>
            <w:sz w:val="21"/>
            <w:szCs w:val="21"/>
            <w:lang w:eastAsia="zh-CN"/>
          </w:rPr>
          <w:t>https://www2.mmm.ucar.edu/wrf/users/download/get_source.html</w:t>
        </w:r>
      </w:hyperlink>
      <w:r>
        <w:rPr>
          <w:rFonts w:asciiTheme="minorHAnsi" w:eastAsia="Times New Roman" w:hAnsiTheme="minorHAnsi" w:cstheme="minorHAnsi" w:hint="eastAsia"/>
          <w:sz w:val="21"/>
          <w:szCs w:val="21"/>
          <w:lang w:eastAsia="zh-CN"/>
        </w:rPr>
        <w:t>.</w:t>
      </w:r>
      <w:r>
        <w:rPr>
          <w:rFonts w:asciiTheme="minorHAnsi" w:eastAsia="Times New Roman" w:hAnsiTheme="minorHAnsi" w:cstheme="minorHAnsi"/>
          <w:sz w:val="21"/>
          <w:szCs w:val="21"/>
          <w:lang w:eastAsia="zh-CN"/>
        </w:rPr>
        <w:t xml:space="preserve"> The </w:t>
      </w:r>
      <w:proofErr w:type="spellStart"/>
      <w:r>
        <w:rPr>
          <w:rFonts w:asciiTheme="minorHAnsi" w:eastAsia="Times New Roman" w:hAnsiTheme="minorHAnsi" w:cstheme="minorHAnsi"/>
          <w:sz w:val="21"/>
          <w:szCs w:val="21"/>
          <w:lang w:eastAsia="zh-CN"/>
        </w:rPr>
        <w:t>LightGBM</w:t>
      </w:r>
      <w:proofErr w:type="spellEnd"/>
      <w:r>
        <w:rPr>
          <w:rFonts w:asciiTheme="minorHAnsi" w:eastAsia="Times New Roman" w:hAnsiTheme="minorHAnsi" w:cstheme="minorHAnsi"/>
          <w:sz w:val="21"/>
          <w:szCs w:val="21"/>
          <w:lang w:eastAsia="zh-CN"/>
        </w:rPr>
        <w:t xml:space="preserve"> package used for machine learning experiments is available from </w:t>
      </w:r>
      <w:hyperlink r:id="rId21" w:history="1">
        <w:r>
          <w:rPr>
            <w:rStyle w:val="af3"/>
            <w:rFonts w:asciiTheme="minorHAnsi" w:eastAsia="Times New Roman" w:hAnsiTheme="minorHAnsi" w:cstheme="minorHAnsi"/>
            <w:sz w:val="21"/>
            <w:szCs w:val="21"/>
            <w:lang w:eastAsia="zh-CN"/>
          </w:rPr>
          <w:t>https://github.com/microsoft/LightGBM</w:t>
        </w:r>
      </w:hyperlink>
      <w:r>
        <w:rPr>
          <w:rFonts w:asciiTheme="minorHAnsi" w:eastAsia="Times New Roman" w:hAnsiTheme="minorHAnsi" w:cstheme="minorHAnsi" w:hint="eastAsia"/>
          <w:sz w:val="21"/>
          <w:szCs w:val="21"/>
          <w:lang w:eastAsia="zh-CN"/>
        </w:rPr>
        <w:t>.</w:t>
      </w:r>
    </w:p>
    <w:p w14:paraId="7CBEE654" w14:textId="77777777" w:rsidR="000A29B4" w:rsidRDefault="000A29B4">
      <w:pPr>
        <w:shd w:val="clear" w:color="auto" w:fill="FFFFFF"/>
        <w:spacing w:line="480" w:lineRule="auto"/>
        <w:rPr>
          <w:rFonts w:asciiTheme="minorHAnsi" w:eastAsia="Times New Roman" w:hAnsiTheme="minorHAnsi" w:cstheme="minorHAnsi"/>
          <w:sz w:val="24"/>
          <w:szCs w:val="24"/>
          <w:lang w:eastAsia="zh-CN"/>
        </w:rPr>
      </w:pPr>
    </w:p>
    <w:p w14:paraId="429721DF" w14:textId="77777777" w:rsidR="000A29B4" w:rsidRDefault="0093274C">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b/>
          <w:bCs/>
          <w:color w:val="262626"/>
          <w:sz w:val="24"/>
          <w:szCs w:val="24"/>
        </w:rPr>
        <w:t>Conflict of Interest Disclosure</w:t>
      </w:r>
    </w:p>
    <w:p w14:paraId="3AFB3D81" w14:textId="77777777" w:rsidR="000A29B4" w:rsidRDefault="0093274C">
      <w:pPr>
        <w:shd w:val="clear" w:color="auto" w:fill="FFFFFF"/>
        <w:spacing w:line="480" w:lineRule="auto"/>
        <w:rPr>
          <w:rFonts w:asciiTheme="minorHAnsi" w:eastAsia="Times New Roman" w:hAnsiTheme="minorHAnsi" w:cstheme="minorHAnsi"/>
          <w:color w:val="262626"/>
          <w:sz w:val="21"/>
          <w:szCs w:val="21"/>
        </w:rPr>
      </w:pPr>
      <w:r>
        <w:rPr>
          <w:rFonts w:asciiTheme="minorHAnsi" w:eastAsia="Times New Roman" w:hAnsiTheme="minorHAnsi" w:cstheme="minorHAnsi"/>
          <w:color w:val="262626"/>
          <w:sz w:val="21"/>
          <w:szCs w:val="21"/>
        </w:rPr>
        <w:t>The authors declare there are no conflicts of interest for this manuscript.</w:t>
      </w:r>
    </w:p>
    <w:p w14:paraId="5373615E" w14:textId="77777777" w:rsidR="000A29B4" w:rsidRDefault="000A29B4">
      <w:pPr>
        <w:shd w:val="clear" w:color="auto" w:fill="FFFFFF"/>
        <w:spacing w:line="480" w:lineRule="auto"/>
        <w:rPr>
          <w:rFonts w:asciiTheme="minorHAnsi" w:eastAsia="Times New Roman" w:hAnsiTheme="minorHAnsi" w:cstheme="minorHAnsi"/>
          <w:color w:val="262626"/>
          <w:sz w:val="21"/>
          <w:szCs w:val="21"/>
          <w:lang w:eastAsia="zh-CN"/>
        </w:rPr>
      </w:pPr>
    </w:p>
    <w:p w14:paraId="0C6B3562" w14:textId="77777777" w:rsidR="000A29B4" w:rsidRDefault="0093274C">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b/>
          <w:bCs/>
          <w:color w:val="262626"/>
          <w:sz w:val="24"/>
          <w:szCs w:val="24"/>
        </w:rPr>
        <w:t>References</w:t>
      </w:r>
    </w:p>
    <w:p w14:paraId="07EBA91A" w14:textId="77777777" w:rsidR="000A29B4" w:rsidRDefault="0093274C">
      <w:pPr>
        <w:pStyle w:val="11"/>
        <w:rPr>
          <w:rFonts w:ascii="Calibri" w:hAnsi="Calibri" w:cs="Calibri"/>
          <w:sz w:val="24"/>
        </w:rPr>
      </w:pPr>
      <w:r>
        <w:rPr>
          <w:rFonts w:asciiTheme="minorHAnsi" w:eastAsia="Times New Roman" w:hAnsiTheme="minorHAnsi" w:cstheme="minorHAnsi"/>
          <w:color w:val="262626"/>
        </w:rPr>
        <w:fldChar w:fldCharType="begin"/>
      </w:r>
      <w:r>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14:paraId="76C2FC45" w14:textId="77777777" w:rsidR="000A29B4" w:rsidRDefault="0093274C">
      <w:pPr>
        <w:pStyle w:val="11"/>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14:paraId="3154DB41" w14:textId="77777777" w:rsidR="000A29B4" w:rsidRDefault="0093274C">
      <w:pPr>
        <w:pStyle w:val="11"/>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14:paraId="1F6C0D94" w14:textId="77777777" w:rsidR="000A29B4" w:rsidRDefault="0093274C">
      <w:pPr>
        <w:pStyle w:val="11"/>
        <w:rPr>
          <w:rFonts w:ascii="Calibri" w:hAnsi="Calibri" w:cs="Calibri"/>
          <w:sz w:val="24"/>
        </w:rPr>
      </w:pPr>
      <w:r>
        <w:rPr>
          <w:rFonts w:ascii="Calibri" w:hAnsi="Calibri" w:cs="Calibri"/>
          <w:sz w:val="24"/>
        </w:rPr>
        <w:lastRenderedPageBreak/>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14:paraId="0F51ACC0" w14:textId="77777777" w:rsidR="000A29B4" w:rsidRDefault="0093274C">
      <w:pPr>
        <w:pStyle w:val="11"/>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14:paraId="4B5D0E40" w14:textId="77777777" w:rsidR="000A29B4" w:rsidRDefault="0093274C">
      <w:pPr>
        <w:pStyle w:val="11"/>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14:paraId="4BF8988C" w14:textId="77777777" w:rsidR="000A29B4" w:rsidRDefault="0093274C">
      <w:pPr>
        <w:pStyle w:val="11"/>
        <w:rPr>
          <w:rFonts w:ascii="Calibri" w:hAnsi="Calibri" w:cs="Calibri"/>
          <w:sz w:val="24"/>
        </w:rPr>
      </w:pPr>
      <w:r>
        <w:rPr>
          <w:rFonts w:ascii="Calibri" w:hAnsi="Calibri" w:cs="Calibri"/>
          <w:sz w:val="24"/>
        </w:rPr>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14:paraId="1B0110E6" w14:textId="77777777" w:rsidR="000A29B4" w:rsidRDefault="0093274C">
      <w:pPr>
        <w:pStyle w:val="11"/>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14:paraId="12F1F976" w14:textId="77777777" w:rsidR="000A29B4" w:rsidRDefault="0093274C">
      <w:pPr>
        <w:pStyle w:val="11"/>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14:paraId="67FBD64B" w14:textId="77777777" w:rsidR="000A29B4" w:rsidRDefault="0093274C">
      <w:pPr>
        <w:pStyle w:val="11"/>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14:paraId="4358DE74" w14:textId="77777777" w:rsidR="000A29B4" w:rsidRDefault="0093274C">
      <w:pPr>
        <w:pStyle w:val="11"/>
        <w:rPr>
          <w:rFonts w:ascii="Calibri" w:hAnsi="Calibri" w:cs="Calibri"/>
          <w:sz w:val="24"/>
        </w:rPr>
      </w:pPr>
      <w:r>
        <w:rPr>
          <w:rFonts w:ascii="Calibri" w:hAnsi="Calibri" w:cs="Calibri"/>
          <w:sz w:val="24"/>
        </w:rPr>
        <w:lastRenderedPageBreak/>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14:paraId="435ACE80" w14:textId="77777777" w:rsidR="000A29B4" w:rsidRDefault="0093274C">
      <w:pPr>
        <w:pStyle w:val="11"/>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14:paraId="0DB0CD7C" w14:textId="77777777" w:rsidR="000A29B4" w:rsidRDefault="0093274C">
      <w:pPr>
        <w:pStyle w:val="11"/>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52C7BE60" w14:textId="77777777" w:rsidR="000A29B4" w:rsidRDefault="0093274C">
      <w:pPr>
        <w:pStyle w:val="11"/>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14:paraId="53DF48C8" w14:textId="77777777" w:rsidR="000A29B4" w:rsidRDefault="0093274C">
      <w:pPr>
        <w:pStyle w:val="11"/>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14:paraId="37F80DAD" w14:textId="77777777" w:rsidR="000A29B4" w:rsidRDefault="0093274C">
      <w:pPr>
        <w:pStyle w:val="11"/>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14:paraId="42318AB4" w14:textId="77777777" w:rsidR="000A29B4" w:rsidRDefault="0093274C">
      <w:pPr>
        <w:pStyle w:val="11"/>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01A2E19A" w14:textId="77777777" w:rsidR="000A29B4" w:rsidRDefault="0093274C">
      <w:pPr>
        <w:pStyle w:val="11"/>
        <w:rPr>
          <w:rFonts w:ascii="Calibri" w:hAnsi="Calibri" w:cs="Calibri"/>
          <w:sz w:val="24"/>
        </w:rPr>
      </w:pPr>
      <w:r>
        <w:rPr>
          <w:rFonts w:ascii="Calibri" w:hAnsi="Calibri" w:cs="Calibri"/>
          <w:sz w:val="24"/>
        </w:rPr>
        <w:lastRenderedPageBreak/>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14:paraId="60B58BFD" w14:textId="77777777" w:rsidR="000A29B4" w:rsidRDefault="0093274C">
      <w:pPr>
        <w:pStyle w:val="11"/>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14:paraId="2FC847D9" w14:textId="77777777" w:rsidR="000A29B4" w:rsidRDefault="0093274C">
      <w:pPr>
        <w:pStyle w:val="11"/>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14:paraId="31791418" w14:textId="77777777" w:rsidR="000A29B4" w:rsidRDefault="0093274C">
      <w:pPr>
        <w:pStyle w:val="11"/>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14:paraId="0D04A268" w14:textId="77777777" w:rsidR="000A29B4" w:rsidRDefault="0093274C">
      <w:pPr>
        <w:pStyle w:val="11"/>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14:paraId="05D7206A" w14:textId="77777777" w:rsidR="000A29B4" w:rsidRDefault="0093274C">
      <w:pPr>
        <w:pStyle w:val="11"/>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14:paraId="29033191" w14:textId="77777777" w:rsidR="000A29B4" w:rsidRDefault="0093274C">
      <w:pPr>
        <w:pStyle w:val="11"/>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14:paraId="7A913DD8" w14:textId="77777777" w:rsidR="000A29B4" w:rsidRDefault="0093274C">
      <w:pPr>
        <w:pStyle w:val="11"/>
        <w:rPr>
          <w:rFonts w:ascii="Calibri" w:hAnsi="Calibri" w:cs="Calibri"/>
          <w:sz w:val="24"/>
        </w:rPr>
      </w:pPr>
      <w:r>
        <w:rPr>
          <w:rFonts w:ascii="Calibri" w:hAnsi="Calibri" w:cs="Calibri"/>
          <w:sz w:val="24"/>
        </w:rPr>
        <w:lastRenderedPageBreak/>
        <w:t xml:space="preserve">Torres, M. E., Colominas, M. A., Schlotthauer, G., &amp; Flandrin, P. (2011). A complete ensemble empirical mode decomposition with adaptive noise. In </w:t>
      </w:r>
      <w:r>
        <w:rPr>
          <w:rFonts w:ascii="Calibri" w:hAnsi="Calibri" w:cs="Calibri"/>
          <w:i/>
          <w:iCs/>
          <w:sz w:val="24"/>
        </w:rPr>
        <w:t>2011 IEEE International Conference on Acoustics, Speech and Signal Processing (ICASSP)</w:t>
      </w:r>
      <w:r>
        <w:rPr>
          <w:rFonts w:ascii="Calibri" w:hAnsi="Calibri" w:cs="Calibri"/>
          <w:sz w:val="24"/>
        </w:rPr>
        <w:t xml:space="preserve"> (pp. 4144–4147). Prague, Czech Republic: IEEE. https://doi.org/10.1109/ICASSP.2011.5947265</w:t>
      </w:r>
    </w:p>
    <w:p w14:paraId="30FE942F" w14:textId="77777777" w:rsidR="000A29B4" w:rsidRDefault="0093274C">
      <w:pPr>
        <w:pStyle w:val="11"/>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14:paraId="3187ADB6" w14:textId="77777777" w:rsidR="000A29B4" w:rsidRDefault="0093274C">
      <w:pPr>
        <w:pStyle w:val="11"/>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14:paraId="3D1FE267" w14:textId="77777777" w:rsidR="000A29B4" w:rsidRDefault="0093274C">
      <w:pPr>
        <w:pStyle w:val="11"/>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14:paraId="0B3D679B" w14:textId="77777777" w:rsidR="000A29B4" w:rsidRDefault="0093274C">
      <w:pPr>
        <w:pStyle w:val="11"/>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14:paraId="4DBC6526" w14:textId="77777777" w:rsidR="000A29B4" w:rsidRDefault="0093274C">
      <w:pPr>
        <w:pStyle w:val="11"/>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14:paraId="4F81335A" w14:textId="77777777" w:rsidR="000A29B4" w:rsidRDefault="0093274C">
      <w:pPr>
        <w:pStyle w:val="11"/>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14:paraId="2A9BE7A7" w14:textId="77777777" w:rsidR="000A29B4" w:rsidRDefault="0093274C">
      <w:pPr>
        <w:pStyle w:val="11"/>
        <w:rPr>
          <w:rFonts w:ascii="Calibri" w:hAnsi="Calibri" w:cs="Calibri"/>
          <w:sz w:val="24"/>
        </w:rPr>
      </w:pPr>
      <w:r>
        <w:rPr>
          <w:rFonts w:ascii="Calibri" w:hAnsi="Calibri" w:cs="Calibri"/>
          <w:sz w:val="24"/>
        </w:rPr>
        <w:lastRenderedPageBreak/>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14:paraId="3A12B0FC" w14:textId="77777777" w:rsidR="000A29B4" w:rsidRDefault="0093274C">
      <w:pPr>
        <w:pStyle w:val="11"/>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14:paraId="7A1C79AD" w14:textId="77777777" w:rsidR="000A29B4" w:rsidRDefault="0093274C">
      <w:pPr>
        <w:pStyle w:val="11"/>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14:paraId="3174E2A7" w14:textId="77777777" w:rsidR="000A29B4" w:rsidRDefault="0093274C">
      <w:pPr>
        <w:pStyle w:val="11"/>
        <w:rPr>
          <w:rFonts w:asciiTheme="minorHAnsi" w:eastAsia="Times New Roman" w:hAnsiTheme="minorHAnsi" w:cstheme="minorHAnsi"/>
          <w:color w:val="262626"/>
          <w:sz w:val="24"/>
          <w:szCs w:val="24"/>
          <w:lang w:eastAsia="zh-CN"/>
        </w:rPr>
      </w:pPr>
      <w:r>
        <w:rPr>
          <w:rFonts w:asciiTheme="minorHAnsi" w:eastAsia="Times New Roman" w:hAnsiTheme="minorHAnsi" w:cstheme="minorHAnsi"/>
          <w:color w:val="262626"/>
          <w:sz w:val="24"/>
          <w:szCs w:val="24"/>
        </w:rPr>
        <w:fldChar w:fldCharType="end"/>
      </w:r>
    </w:p>
    <w:sectPr w:rsidR="000A29B4">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BCD1F" w14:textId="77777777" w:rsidR="001A46B8" w:rsidRDefault="001A46B8">
      <w:r>
        <w:separator/>
      </w:r>
    </w:p>
  </w:endnote>
  <w:endnote w:type="continuationSeparator" w:id="0">
    <w:p w14:paraId="58AF6CCA" w14:textId="77777777" w:rsidR="001A46B8" w:rsidRDefault="001A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ED53" w14:textId="77777777" w:rsidR="000A29B4" w:rsidRDefault="000A29B4">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6D40" w14:textId="77777777" w:rsidR="000A29B4" w:rsidRDefault="000A29B4">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3D3A" w14:textId="77777777" w:rsidR="001A46B8" w:rsidRDefault="001A46B8">
      <w:r>
        <w:separator/>
      </w:r>
    </w:p>
  </w:footnote>
  <w:footnote w:type="continuationSeparator" w:id="0">
    <w:p w14:paraId="3F451538" w14:textId="77777777" w:rsidR="001A46B8" w:rsidRDefault="001A4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A372" w14:textId="6DCB337F" w:rsidR="000A29B4" w:rsidRDefault="0093274C">
    <w:pPr>
      <w:pStyle w:val="a9"/>
      <w:jc w:val="center"/>
    </w:pPr>
    <w:r>
      <w:t xml:space="preserve">manuscript submitted to </w:t>
    </w:r>
    <w:r w:rsidR="00B23830" w:rsidRPr="00B23830">
      <w:rPr>
        <w:i/>
      </w:rPr>
      <w:t>Geophysical Research Letters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D6DE" w14:textId="77777777" w:rsidR="000A29B4" w:rsidRDefault="0093274C">
    <w:pPr>
      <w:pStyle w:val="a9"/>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735A" w14:textId="6DA8A1DF" w:rsidR="000A29B4" w:rsidRDefault="0093274C">
    <w:pPr>
      <w:pStyle w:val="a9"/>
      <w:jc w:val="center"/>
    </w:pPr>
    <w:r>
      <w:t xml:space="preserve">manuscript submitted to </w:t>
    </w:r>
    <w:r w:rsidR="00B23830" w:rsidRPr="00B23830">
      <w:rPr>
        <w:i/>
      </w:rPr>
      <w:t>Geophysical Research Letters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2660" w14:textId="77777777" w:rsidR="000A29B4" w:rsidRDefault="0093274C">
    <w:pPr>
      <w:pStyle w:val="a9"/>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1D63"/>
    <w:multiLevelType w:val="multilevel"/>
    <w:tmpl w:val="24A61D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7552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03FF"/>
    <w:rsid w:val="000037C2"/>
    <w:rsid w:val="000070C6"/>
    <w:rsid w:val="00013759"/>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6A1"/>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A1EF5"/>
    <w:rsid w:val="000A2813"/>
    <w:rsid w:val="000A29B4"/>
    <w:rsid w:val="000A5D3B"/>
    <w:rsid w:val="000A7479"/>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0F3622"/>
    <w:rsid w:val="00101D9C"/>
    <w:rsid w:val="001058A4"/>
    <w:rsid w:val="00105D85"/>
    <w:rsid w:val="00107A81"/>
    <w:rsid w:val="00111ACE"/>
    <w:rsid w:val="00111D11"/>
    <w:rsid w:val="0011424A"/>
    <w:rsid w:val="001171A1"/>
    <w:rsid w:val="00124233"/>
    <w:rsid w:val="00125979"/>
    <w:rsid w:val="00125DB1"/>
    <w:rsid w:val="00130B21"/>
    <w:rsid w:val="00131A0D"/>
    <w:rsid w:val="00131EC3"/>
    <w:rsid w:val="00136660"/>
    <w:rsid w:val="0014203B"/>
    <w:rsid w:val="0015060D"/>
    <w:rsid w:val="001520C4"/>
    <w:rsid w:val="001531D5"/>
    <w:rsid w:val="00155033"/>
    <w:rsid w:val="00156784"/>
    <w:rsid w:val="00172067"/>
    <w:rsid w:val="0017243F"/>
    <w:rsid w:val="00173476"/>
    <w:rsid w:val="00176452"/>
    <w:rsid w:val="00176CA2"/>
    <w:rsid w:val="0018268D"/>
    <w:rsid w:val="00187556"/>
    <w:rsid w:val="0019027E"/>
    <w:rsid w:val="00194443"/>
    <w:rsid w:val="00195891"/>
    <w:rsid w:val="001A27FF"/>
    <w:rsid w:val="001A3DB0"/>
    <w:rsid w:val="001A46B8"/>
    <w:rsid w:val="001B1E3A"/>
    <w:rsid w:val="001B2B1A"/>
    <w:rsid w:val="001B3DAA"/>
    <w:rsid w:val="001B5FBE"/>
    <w:rsid w:val="001C2B0D"/>
    <w:rsid w:val="001C4293"/>
    <w:rsid w:val="001C4FD0"/>
    <w:rsid w:val="001C6D18"/>
    <w:rsid w:val="001D0AA1"/>
    <w:rsid w:val="001D3307"/>
    <w:rsid w:val="001D55C2"/>
    <w:rsid w:val="001D70C2"/>
    <w:rsid w:val="001D7AA9"/>
    <w:rsid w:val="001E33EF"/>
    <w:rsid w:val="001F0E74"/>
    <w:rsid w:val="001F357F"/>
    <w:rsid w:val="001F4BD1"/>
    <w:rsid w:val="0020390B"/>
    <w:rsid w:val="00205265"/>
    <w:rsid w:val="00205ED3"/>
    <w:rsid w:val="002073EC"/>
    <w:rsid w:val="002112B8"/>
    <w:rsid w:val="00212215"/>
    <w:rsid w:val="00216625"/>
    <w:rsid w:val="002205DA"/>
    <w:rsid w:val="00222796"/>
    <w:rsid w:val="00227565"/>
    <w:rsid w:val="00230693"/>
    <w:rsid w:val="002346A8"/>
    <w:rsid w:val="002352A9"/>
    <w:rsid w:val="00235BA6"/>
    <w:rsid w:val="00240493"/>
    <w:rsid w:val="00247A6B"/>
    <w:rsid w:val="0025016C"/>
    <w:rsid w:val="00260145"/>
    <w:rsid w:val="002629F2"/>
    <w:rsid w:val="00267BBB"/>
    <w:rsid w:val="002715F4"/>
    <w:rsid w:val="00271CE0"/>
    <w:rsid w:val="00272C13"/>
    <w:rsid w:val="00275066"/>
    <w:rsid w:val="00277699"/>
    <w:rsid w:val="00281FE6"/>
    <w:rsid w:val="002820F7"/>
    <w:rsid w:val="002869BE"/>
    <w:rsid w:val="00296DC1"/>
    <w:rsid w:val="002A048B"/>
    <w:rsid w:val="002A0855"/>
    <w:rsid w:val="002A2012"/>
    <w:rsid w:val="002A41EF"/>
    <w:rsid w:val="002A52F8"/>
    <w:rsid w:val="002B5FE3"/>
    <w:rsid w:val="002B6F74"/>
    <w:rsid w:val="002B71FE"/>
    <w:rsid w:val="002B7CA5"/>
    <w:rsid w:val="002C3263"/>
    <w:rsid w:val="002C3838"/>
    <w:rsid w:val="002D18C2"/>
    <w:rsid w:val="002D3D45"/>
    <w:rsid w:val="002D3D82"/>
    <w:rsid w:val="002D7273"/>
    <w:rsid w:val="002D73A6"/>
    <w:rsid w:val="002E1646"/>
    <w:rsid w:val="002E18D1"/>
    <w:rsid w:val="002E3FD1"/>
    <w:rsid w:val="002E49B3"/>
    <w:rsid w:val="002E7898"/>
    <w:rsid w:val="002E7DC3"/>
    <w:rsid w:val="002F2289"/>
    <w:rsid w:val="002F2FF8"/>
    <w:rsid w:val="002F39DE"/>
    <w:rsid w:val="002F3B11"/>
    <w:rsid w:val="002F410C"/>
    <w:rsid w:val="002F4D30"/>
    <w:rsid w:val="002F6A09"/>
    <w:rsid w:val="002F7905"/>
    <w:rsid w:val="00300AB9"/>
    <w:rsid w:val="00304FD1"/>
    <w:rsid w:val="003137C3"/>
    <w:rsid w:val="003166A2"/>
    <w:rsid w:val="003200F9"/>
    <w:rsid w:val="0032135B"/>
    <w:rsid w:val="0032151C"/>
    <w:rsid w:val="00321596"/>
    <w:rsid w:val="003258E4"/>
    <w:rsid w:val="00332620"/>
    <w:rsid w:val="00332D53"/>
    <w:rsid w:val="00333523"/>
    <w:rsid w:val="003352DA"/>
    <w:rsid w:val="003355F2"/>
    <w:rsid w:val="003375FC"/>
    <w:rsid w:val="00346461"/>
    <w:rsid w:val="00352CA2"/>
    <w:rsid w:val="00353C9C"/>
    <w:rsid w:val="00354EDF"/>
    <w:rsid w:val="0035644F"/>
    <w:rsid w:val="0036140F"/>
    <w:rsid w:val="00361BA9"/>
    <w:rsid w:val="00362060"/>
    <w:rsid w:val="00366917"/>
    <w:rsid w:val="00370E2F"/>
    <w:rsid w:val="0037466A"/>
    <w:rsid w:val="0037517A"/>
    <w:rsid w:val="00376069"/>
    <w:rsid w:val="00380DF2"/>
    <w:rsid w:val="003812F8"/>
    <w:rsid w:val="00381939"/>
    <w:rsid w:val="0038438F"/>
    <w:rsid w:val="0039077D"/>
    <w:rsid w:val="00393A7A"/>
    <w:rsid w:val="00393BBE"/>
    <w:rsid w:val="00397829"/>
    <w:rsid w:val="00397F4C"/>
    <w:rsid w:val="003A2206"/>
    <w:rsid w:val="003A234C"/>
    <w:rsid w:val="003A3EEC"/>
    <w:rsid w:val="003A43C4"/>
    <w:rsid w:val="003A4B76"/>
    <w:rsid w:val="003A4C42"/>
    <w:rsid w:val="003B04FE"/>
    <w:rsid w:val="003B0614"/>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3F68B5"/>
    <w:rsid w:val="00400425"/>
    <w:rsid w:val="004009A6"/>
    <w:rsid w:val="004028E2"/>
    <w:rsid w:val="00402D95"/>
    <w:rsid w:val="00406330"/>
    <w:rsid w:val="004072B0"/>
    <w:rsid w:val="0041018A"/>
    <w:rsid w:val="00410869"/>
    <w:rsid w:val="00416089"/>
    <w:rsid w:val="0041695E"/>
    <w:rsid w:val="00420C00"/>
    <w:rsid w:val="00421527"/>
    <w:rsid w:val="00421703"/>
    <w:rsid w:val="004253DD"/>
    <w:rsid w:val="00431134"/>
    <w:rsid w:val="0043355E"/>
    <w:rsid w:val="00440A22"/>
    <w:rsid w:val="00451B77"/>
    <w:rsid w:val="004529BB"/>
    <w:rsid w:val="00454756"/>
    <w:rsid w:val="00454AF8"/>
    <w:rsid w:val="00454D46"/>
    <w:rsid w:val="00463588"/>
    <w:rsid w:val="00465B65"/>
    <w:rsid w:val="0046739F"/>
    <w:rsid w:val="004707F6"/>
    <w:rsid w:val="00472837"/>
    <w:rsid w:val="00473701"/>
    <w:rsid w:val="00476A65"/>
    <w:rsid w:val="00480DFD"/>
    <w:rsid w:val="00482B48"/>
    <w:rsid w:val="00485781"/>
    <w:rsid w:val="00486E15"/>
    <w:rsid w:val="004969B5"/>
    <w:rsid w:val="004A18E6"/>
    <w:rsid w:val="004B1338"/>
    <w:rsid w:val="004B29C0"/>
    <w:rsid w:val="004B537D"/>
    <w:rsid w:val="004B686E"/>
    <w:rsid w:val="004B6870"/>
    <w:rsid w:val="004B7F40"/>
    <w:rsid w:val="004C1475"/>
    <w:rsid w:val="004C19B1"/>
    <w:rsid w:val="004D4C62"/>
    <w:rsid w:val="004D73B5"/>
    <w:rsid w:val="004E07CC"/>
    <w:rsid w:val="004E2969"/>
    <w:rsid w:val="004E2BD5"/>
    <w:rsid w:val="004E4330"/>
    <w:rsid w:val="00505774"/>
    <w:rsid w:val="00506457"/>
    <w:rsid w:val="0051367B"/>
    <w:rsid w:val="0051453E"/>
    <w:rsid w:val="00514B45"/>
    <w:rsid w:val="005167EA"/>
    <w:rsid w:val="005170C7"/>
    <w:rsid w:val="0052595E"/>
    <w:rsid w:val="0052640B"/>
    <w:rsid w:val="00533B8E"/>
    <w:rsid w:val="00534D5F"/>
    <w:rsid w:val="005358D5"/>
    <w:rsid w:val="00540D2A"/>
    <w:rsid w:val="005453E9"/>
    <w:rsid w:val="00545B46"/>
    <w:rsid w:val="00545B6C"/>
    <w:rsid w:val="00560484"/>
    <w:rsid w:val="00561B20"/>
    <w:rsid w:val="00561BF1"/>
    <w:rsid w:val="00562C9F"/>
    <w:rsid w:val="00562D64"/>
    <w:rsid w:val="005675D1"/>
    <w:rsid w:val="00571955"/>
    <w:rsid w:val="00573BC8"/>
    <w:rsid w:val="0057441D"/>
    <w:rsid w:val="00575C0B"/>
    <w:rsid w:val="005774DA"/>
    <w:rsid w:val="00581536"/>
    <w:rsid w:val="00583B12"/>
    <w:rsid w:val="0058557A"/>
    <w:rsid w:val="00591F46"/>
    <w:rsid w:val="00593E3E"/>
    <w:rsid w:val="005A1F41"/>
    <w:rsid w:val="005A3C3F"/>
    <w:rsid w:val="005A553B"/>
    <w:rsid w:val="005C1FEE"/>
    <w:rsid w:val="005C4B4D"/>
    <w:rsid w:val="005D00E2"/>
    <w:rsid w:val="005D2C0A"/>
    <w:rsid w:val="005D3D09"/>
    <w:rsid w:val="005D5662"/>
    <w:rsid w:val="005E1969"/>
    <w:rsid w:val="005E3806"/>
    <w:rsid w:val="005E561D"/>
    <w:rsid w:val="005E6E76"/>
    <w:rsid w:val="005F155B"/>
    <w:rsid w:val="005F2E15"/>
    <w:rsid w:val="005F551D"/>
    <w:rsid w:val="005F6380"/>
    <w:rsid w:val="006018CC"/>
    <w:rsid w:val="006057A6"/>
    <w:rsid w:val="0060601C"/>
    <w:rsid w:val="006129D8"/>
    <w:rsid w:val="006143D3"/>
    <w:rsid w:val="00614EE6"/>
    <w:rsid w:val="00616CAC"/>
    <w:rsid w:val="00624AD5"/>
    <w:rsid w:val="00624D02"/>
    <w:rsid w:val="0062533D"/>
    <w:rsid w:val="00627D9D"/>
    <w:rsid w:val="00627EAA"/>
    <w:rsid w:val="0063190A"/>
    <w:rsid w:val="00633166"/>
    <w:rsid w:val="006333B4"/>
    <w:rsid w:val="006350D9"/>
    <w:rsid w:val="0063545B"/>
    <w:rsid w:val="0063639B"/>
    <w:rsid w:val="006377AF"/>
    <w:rsid w:val="006414E0"/>
    <w:rsid w:val="006434C4"/>
    <w:rsid w:val="00651677"/>
    <w:rsid w:val="006565B5"/>
    <w:rsid w:val="00661DC1"/>
    <w:rsid w:val="006646DD"/>
    <w:rsid w:val="00670F38"/>
    <w:rsid w:val="00671751"/>
    <w:rsid w:val="006740D3"/>
    <w:rsid w:val="006771AE"/>
    <w:rsid w:val="00680E1A"/>
    <w:rsid w:val="006842EE"/>
    <w:rsid w:val="00687F24"/>
    <w:rsid w:val="006941C6"/>
    <w:rsid w:val="006A5752"/>
    <w:rsid w:val="006B2A3C"/>
    <w:rsid w:val="006B58D7"/>
    <w:rsid w:val="006B66EF"/>
    <w:rsid w:val="006B7352"/>
    <w:rsid w:val="006B76B4"/>
    <w:rsid w:val="006C4619"/>
    <w:rsid w:val="006C5DCA"/>
    <w:rsid w:val="006C6E62"/>
    <w:rsid w:val="006C77D6"/>
    <w:rsid w:val="006D0775"/>
    <w:rsid w:val="006D0D40"/>
    <w:rsid w:val="006D1020"/>
    <w:rsid w:val="006D127D"/>
    <w:rsid w:val="006D19B4"/>
    <w:rsid w:val="006D564B"/>
    <w:rsid w:val="006D6FD4"/>
    <w:rsid w:val="006E36FF"/>
    <w:rsid w:val="006E5466"/>
    <w:rsid w:val="006E61BA"/>
    <w:rsid w:val="006F0D4D"/>
    <w:rsid w:val="006F48CD"/>
    <w:rsid w:val="006F662E"/>
    <w:rsid w:val="006F6B2B"/>
    <w:rsid w:val="006F6D81"/>
    <w:rsid w:val="00711A83"/>
    <w:rsid w:val="00713BE0"/>
    <w:rsid w:val="00713EC2"/>
    <w:rsid w:val="007165D9"/>
    <w:rsid w:val="00720863"/>
    <w:rsid w:val="007275E7"/>
    <w:rsid w:val="00730C5B"/>
    <w:rsid w:val="00741863"/>
    <w:rsid w:val="00746229"/>
    <w:rsid w:val="007469CF"/>
    <w:rsid w:val="007473B3"/>
    <w:rsid w:val="00750CD0"/>
    <w:rsid w:val="00751F57"/>
    <w:rsid w:val="00752C1D"/>
    <w:rsid w:val="0075306D"/>
    <w:rsid w:val="00753FD7"/>
    <w:rsid w:val="0076073B"/>
    <w:rsid w:val="00760782"/>
    <w:rsid w:val="00760AB3"/>
    <w:rsid w:val="007621EC"/>
    <w:rsid w:val="00764184"/>
    <w:rsid w:val="00767596"/>
    <w:rsid w:val="0077075B"/>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D0919"/>
    <w:rsid w:val="007D1384"/>
    <w:rsid w:val="007D74E1"/>
    <w:rsid w:val="007E080E"/>
    <w:rsid w:val="007E0B68"/>
    <w:rsid w:val="007E15DC"/>
    <w:rsid w:val="007E4423"/>
    <w:rsid w:val="007E7CC0"/>
    <w:rsid w:val="007F4D54"/>
    <w:rsid w:val="008009B4"/>
    <w:rsid w:val="00800B63"/>
    <w:rsid w:val="00804559"/>
    <w:rsid w:val="00805622"/>
    <w:rsid w:val="00807471"/>
    <w:rsid w:val="00807DC4"/>
    <w:rsid w:val="00813315"/>
    <w:rsid w:val="0081621A"/>
    <w:rsid w:val="00817B0C"/>
    <w:rsid w:val="00823732"/>
    <w:rsid w:val="008269BC"/>
    <w:rsid w:val="008322EA"/>
    <w:rsid w:val="008323E7"/>
    <w:rsid w:val="00836A97"/>
    <w:rsid w:val="00844327"/>
    <w:rsid w:val="008452F6"/>
    <w:rsid w:val="00845729"/>
    <w:rsid w:val="008472D3"/>
    <w:rsid w:val="00850691"/>
    <w:rsid w:val="00855B07"/>
    <w:rsid w:val="008569BD"/>
    <w:rsid w:val="00860E3F"/>
    <w:rsid w:val="00861765"/>
    <w:rsid w:val="00862116"/>
    <w:rsid w:val="008636BF"/>
    <w:rsid w:val="008855A8"/>
    <w:rsid w:val="0089406B"/>
    <w:rsid w:val="00897193"/>
    <w:rsid w:val="008A0D6F"/>
    <w:rsid w:val="008A1A74"/>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2F03"/>
    <w:rsid w:val="008F4FA1"/>
    <w:rsid w:val="008F5F94"/>
    <w:rsid w:val="008F7096"/>
    <w:rsid w:val="009007AE"/>
    <w:rsid w:val="009073D1"/>
    <w:rsid w:val="009106FF"/>
    <w:rsid w:val="009160EA"/>
    <w:rsid w:val="00921E54"/>
    <w:rsid w:val="00924611"/>
    <w:rsid w:val="00924DFF"/>
    <w:rsid w:val="009315BB"/>
    <w:rsid w:val="0093274C"/>
    <w:rsid w:val="0093366F"/>
    <w:rsid w:val="009440D6"/>
    <w:rsid w:val="009513BA"/>
    <w:rsid w:val="00951A33"/>
    <w:rsid w:val="00964E53"/>
    <w:rsid w:val="009716C0"/>
    <w:rsid w:val="00971717"/>
    <w:rsid w:val="0097213C"/>
    <w:rsid w:val="0097276C"/>
    <w:rsid w:val="009728B6"/>
    <w:rsid w:val="00972FAB"/>
    <w:rsid w:val="00975D9D"/>
    <w:rsid w:val="00977B01"/>
    <w:rsid w:val="00980548"/>
    <w:rsid w:val="00981134"/>
    <w:rsid w:val="00982D69"/>
    <w:rsid w:val="00983966"/>
    <w:rsid w:val="00983A3C"/>
    <w:rsid w:val="009859CB"/>
    <w:rsid w:val="00991D5C"/>
    <w:rsid w:val="00995CAA"/>
    <w:rsid w:val="009A1C68"/>
    <w:rsid w:val="009A2895"/>
    <w:rsid w:val="009A3CD0"/>
    <w:rsid w:val="009A4681"/>
    <w:rsid w:val="009B546F"/>
    <w:rsid w:val="009B57FB"/>
    <w:rsid w:val="009B5FE1"/>
    <w:rsid w:val="009B6127"/>
    <w:rsid w:val="009B68DA"/>
    <w:rsid w:val="009C0FA4"/>
    <w:rsid w:val="009C20B8"/>
    <w:rsid w:val="009C55BD"/>
    <w:rsid w:val="009C63D9"/>
    <w:rsid w:val="009D0178"/>
    <w:rsid w:val="009D2F48"/>
    <w:rsid w:val="009D5CCB"/>
    <w:rsid w:val="009E1040"/>
    <w:rsid w:val="009E2C46"/>
    <w:rsid w:val="009F0C36"/>
    <w:rsid w:val="009F3039"/>
    <w:rsid w:val="009F684F"/>
    <w:rsid w:val="009F7FCF"/>
    <w:rsid w:val="00A015C9"/>
    <w:rsid w:val="00A02F81"/>
    <w:rsid w:val="00A04594"/>
    <w:rsid w:val="00A045C3"/>
    <w:rsid w:val="00A07B70"/>
    <w:rsid w:val="00A1073D"/>
    <w:rsid w:val="00A10E40"/>
    <w:rsid w:val="00A17C6B"/>
    <w:rsid w:val="00A21A94"/>
    <w:rsid w:val="00A22A1B"/>
    <w:rsid w:val="00A30C4D"/>
    <w:rsid w:val="00A30C90"/>
    <w:rsid w:val="00A42839"/>
    <w:rsid w:val="00A44E37"/>
    <w:rsid w:val="00A45BE4"/>
    <w:rsid w:val="00A46DAE"/>
    <w:rsid w:val="00A47847"/>
    <w:rsid w:val="00A50F35"/>
    <w:rsid w:val="00A5329C"/>
    <w:rsid w:val="00A573ED"/>
    <w:rsid w:val="00A649F1"/>
    <w:rsid w:val="00A65D63"/>
    <w:rsid w:val="00A67440"/>
    <w:rsid w:val="00A70749"/>
    <w:rsid w:val="00A70BA5"/>
    <w:rsid w:val="00A70D52"/>
    <w:rsid w:val="00A731B6"/>
    <w:rsid w:val="00A745FF"/>
    <w:rsid w:val="00A77187"/>
    <w:rsid w:val="00A77D4E"/>
    <w:rsid w:val="00A82998"/>
    <w:rsid w:val="00A85A57"/>
    <w:rsid w:val="00A91D1F"/>
    <w:rsid w:val="00A955E7"/>
    <w:rsid w:val="00AA11F3"/>
    <w:rsid w:val="00AA26B5"/>
    <w:rsid w:val="00AA32D8"/>
    <w:rsid w:val="00AA4063"/>
    <w:rsid w:val="00AB46CF"/>
    <w:rsid w:val="00AB59A9"/>
    <w:rsid w:val="00AB5DCD"/>
    <w:rsid w:val="00AB6AF9"/>
    <w:rsid w:val="00AC567C"/>
    <w:rsid w:val="00AC6B0A"/>
    <w:rsid w:val="00AD03B0"/>
    <w:rsid w:val="00AD0599"/>
    <w:rsid w:val="00AD0FE4"/>
    <w:rsid w:val="00AD1A65"/>
    <w:rsid w:val="00AD46B9"/>
    <w:rsid w:val="00AE08F7"/>
    <w:rsid w:val="00AE21A9"/>
    <w:rsid w:val="00AE3485"/>
    <w:rsid w:val="00AE539F"/>
    <w:rsid w:val="00AE686B"/>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3830"/>
    <w:rsid w:val="00B25EB9"/>
    <w:rsid w:val="00B26514"/>
    <w:rsid w:val="00B27B87"/>
    <w:rsid w:val="00B339C3"/>
    <w:rsid w:val="00B355DD"/>
    <w:rsid w:val="00B369D2"/>
    <w:rsid w:val="00B43321"/>
    <w:rsid w:val="00B4569B"/>
    <w:rsid w:val="00B527BC"/>
    <w:rsid w:val="00B5333E"/>
    <w:rsid w:val="00B60316"/>
    <w:rsid w:val="00B6133C"/>
    <w:rsid w:val="00B644CD"/>
    <w:rsid w:val="00B65457"/>
    <w:rsid w:val="00B719C8"/>
    <w:rsid w:val="00B75A24"/>
    <w:rsid w:val="00B81C79"/>
    <w:rsid w:val="00B82556"/>
    <w:rsid w:val="00B828C4"/>
    <w:rsid w:val="00B901D2"/>
    <w:rsid w:val="00B928DF"/>
    <w:rsid w:val="00B941D4"/>
    <w:rsid w:val="00B94BEA"/>
    <w:rsid w:val="00BA08BE"/>
    <w:rsid w:val="00BA3A19"/>
    <w:rsid w:val="00BA3B9A"/>
    <w:rsid w:val="00BA4826"/>
    <w:rsid w:val="00BA4B3E"/>
    <w:rsid w:val="00BA6545"/>
    <w:rsid w:val="00BA6FFB"/>
    <w:rsid w:val="00BA7DB8"/>
    <w:rsid w:val="00BB2EB7"/>
    <w:rsid w:val="00BB7057"/>
    <w:rsid w:val="00BB770B"/>
    <w:rsid w:val="00BC03BF"/>
    <w:rsid w:val="00BC0776"/>
    <w:rsid w:val="00BC0D80"/>
    <w:rsid w:val="00BC21A0"/>
    <w:rsid w:val="00BC29A3"/>
    <w:rsid w:val="00BC3066"/>
    <w:rsid w:val="00BC35C8"/>
    <w:rsid w:val="00BC3F79"/>
    <w:rsid w:val="00BC6CE9"/>
    <w:rsid w:val="00BD47BB"/>
    <w:rsid w:val="00BD4CFA"/>
    <w:rsid w:val="00BD5E8C"/>
    <w:rsid w:val="00BD71DE"/>
    <w:rsid w:val="00BE0CCC"/>
    <w:rsid w:val="00BE30ED"/>
    <w:rsid w:val="00BE3F7D"/>
    <w:rsid w:val="00BF0028"/>
    <w:rsid w:val="00BF1E63"/>
    <w:rsid w:val="00BF2FF0"/>
    <w:rsid w:val="00C05886"/>
    <w:rsid w:val="00C10CF1"/>
    <w:rsid w:val="00C236AD"/>
    <w:rsid w:val="00C237B8"/>
    <w:rsid w:val="00C24A99"/>
    <w:rsid w:val="00C313B9"/>
    <w:rsid w:val="00C33146"/>
    <w:rsid w:val="00C3475A"/>
    <w:rsid w:val="00C35B19"/>
    <w:rsid w:val="00C404F8"/>
    <w:rsid w:val="00C40F7E"/>
    <w:rsid w:val="00C44510"/>
    <w:rsid w:val="00C453BC"/>
    <w:rsid w:val="00C45B2D"/>
    <w:rsid w:val="00C53DA9"/>
    <w:rsid w:val="00C57BE7"/>
    <w:rsid w:val="00C57D5E"/>
    <w:rsid w:val="00C57EB4"/>
    <w:rsid w:val="00C615CD"/>
    <w:rsid w:val="00C61DC1"/>
    <w:rsid w:val="00C76686"/>
    <w:rsid w:val="00C81368"/>
    <w:rsid w:val="00C81692"/>
    <w:rsid w:val="00C94AA5"/>
    <w:rsid w:val="00C95858"/>
    <w:rsid w:val="00CA52AF"/>
    <w:rsid w:val="00CB3207"/>
    <w:rsid w:val="00CB7BED"/>
    <w:rsid w:val="00CC04F6"/>
    <w:rsid w:val="00CC1907"/>
    <w:rsid w:val="00CC4CBE"/>
    <w:rsid w:val="00CC7039"/>
    <w:rsid w:val="00CC793D"/>
    <w:rsid w:val="00CD000B"/>
    <w:rsid w:val="00CD0F79"/>
    <w:rsid w:val="00CD1FE5"/>
    <w:rsid w:val="00CD352B"/>
    <w:rsid w:val="00CD4007"/>
    <w:rsid w:val="00CD6F8E"/>
    <w:rsid w:val="00CE012C"/>
    <w:rsid w:val="00CE77A6"/>
    <w:rsid w:val="00CF1367"/>
    <w:rsid w:val="00CF1824"/>
    <w:rsid w:val="00CF3DEE"/>
    <w:rsid w:val="00CF5E65"/>
    <w:rsid w:val="00CF7549"/>
    <w:rsid w:val="00D00712"/>
    <w:rsid w:val="00D05691"/>
    <w:rsid w:val="00D1327F"/>
    <w:rsid w:val="00D160C5"/>
    <w:rsid w:val="00D16B49"/>
    <w:rsid w:val="00D216C1"/>
    <w:rsid w:val="00D23E02"/>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5F12"/>
    <w:rsid w:val="00D810E5"/>
    <w:rsid w:val="00D81797"/>
    <w:rsid w:val="00D823EC"/>
    <w:rsid w:val="00D85F00"/>
    <w:rsid w:val="00D9351A"/>
    <w:rsid w:val="00D94839"/>
    <w:rsid w:val="00D9528F"/>
    <w:rsid w:val="00DA0071"/>
    <w:rsid w:val="00DA491B"/>
    <w:rsid w:val="00DA7106"/>
    <w:rsid w:val="00DA7743"/>
    <w:rsid w:val="00DB43C5"/>
    <w:rsid w:val="00DB4755"/>
    <w:rsid w:val="00DC2C8C"/>
    <w:rsid w:val="00DD6745"/>
    <w:rsid w:val="00DE1259"/>
    <w:rsid w:val="00DE1A04"/>
    <w:rsid w:val="00DE2184"/>
    <w:rsid w:val="00DE3F91"/>
    <w:rsid w:val="00DE422C"/>
    <w:rsid w:val="00DF1CE4"/>
    <w:rsid w:val="00DF3AA1"/>
    <w:rsid w:val="00E021C8"/>
    <w:rsid w:val="00E02483"/>
    <w:rsid w:val="00E02B58"/>
    <w:rsid w:val="00E032B2"/>
    <w:rsid w:val="00E03D94"/>
    <w:rsid w:val="00E06257"/>
    <w:rsid w:val="00E11BB9"/>
    <w:rsid w:val="00E14DD0"/>
    <w:rsid w:val="00E22C8A"/>
    <w:rsid w:val="00E2443C"/>
    <w:rsid w:val="00E31404"/>
    <w:rsid w:val="00E31513"/>
    <w:rsid w:val="00E36D40"/>
    <w:rsid w:val="00E42159"/>
    <w:rsid w:val="00E42522"/>
    <w:rsid w:val="00E463E2"/>
    <w:rsid w:val="00E50C1A"/>
    <w:rsid w:val="00E54729"/>
    <w:rsid w:val="00E55046"/>
    <w:rsid w:val="00E55A0A"/>
    <w:rsid w:val="00E620DB"/>
    <w:rsid w:val="00E6492F"/>
    <w:rsid w:val="00E655E7"/>
    <w:rsid w:val="00E664DF"/>
    <w:rsid w:val="00E67B96"/>
    <w:rsid w:val="00E74D37"/>
    <w:rsid w:val="00E804AE"/>
    <w:rsid w:val="00E8072F"/>
    <w:rsid w:val="00E853CC"/>
    <w:rsid w:val="00E87609"/>
    <w:rsid w:val="00E87EAA"/>
    <w:rsid w:val="00E925B4"/>
    <w:rsid w:val="00E94E87"/>
    <w:rsid w:val="00EA0022"/>
    <w:rsid w:val="00EA3455"/>
    <w:rsid w:val="00EA6B19"/>
    <w:rsid w:val="00EB1041"/>
    <w:rsid w:val="00EB2895"/>
    <w:rsid w:val="00EB3DCF"/>
    <w:rsid w:val="00EB7078"/>
    <w:rsid w:val="00EC3434"/>
    <w:rsid w:val="00ED0AE8"/>
    <w:rsid w:val="00EE0310"/>
    <w:rsid w:val="00EE0AC5"/>
    <w:rsid w:val="00EE2437"/>
    <w:rsid w:val="00EE26E9"/>
    <w:rsid w:val="00EE2CA2"/>
    <w:rsid w:val="00EE433D"/>
    <w:rsid w:val="00EE4F27"/>
    <w:rsid w:val="00EE4F4D"/>
    <w:rsid w:val="00EE6DAC"/>
    <w:rsid w:val="00EE6FC5"/>
    <w:rsid w:val="00EE7369"/>
    <w:rsid w:val="00EF04CF"/>
    <w:rsid w:val="00EF5EA0"/>
    <w:rsid w:val="00EF5FFB"/>
    <w:rsid w:val="00EF6D73"/>
    <w:rsid w:val="00EF6E89"/>
    <w:rsid w:val="00F00657"/>
    <w:rsid w:val="00F02B9F"/>
    <w:rsid w:val="00F042E5"/>
    <w:rsid w:val="00F046FF"/>
    <w:rsid w:val="00F06692"/>
    <w:rsid w:val="00F06840"/>
    <w:rsid w:val="00F06CDF"/>
    <w:rsid w:val="00F07409"/>
    <w:rsid w:val="00F10172"/>
    <w:rsid w:val="00F11291"/>
    <w:rsid w:val="00F13598"/>
    <w:rsid w:val="00F1640F"/>
    <w:rsid w:val="00F20BE8"/>
    <w:rsid w:val="00F21080"/>
    <w:rsid w:val="00F213A2"/>
    <w:rsid w:val="00F242CC"/>
    <w:rsid w:val="00F260A0"/>
    <w:rsid w:val="00F31626"/>
    <w:rsid w:val="00F349A0"/>
    <w:rsid w:val="00F36C93"/>
    <w:rsid w:val="00F424D8"/>
    <w:rsid w:val="00F42DAD"/>
    <w:rsid w:val="00F45E57"/>
    <w:rsid w:val="00F52200"/>
    <w:rsid w:val="00F56E45"/>
    <w:rsid w:val="00F60E27"/>
    <w:rsid w:val="00F61079"/>
    <w:rsid w:val="00F61132"/>
    <w:rsid w:val="00F61B2C"/>
    <w:rsid w:val="00F620F9"/>
    <w:rsid w:val="00F63C2E"/>
    <w:rsid w:val="00F70578"/>
    <w:rsid w:val="00F713B2"/>
    <w:rsid w:val="00F71CD1"/>
    <w:rsid w:val="00F74582"/>
    <w:rsid w:val="00F80F76"/>
    <w:rsid w:val="00F81B97"/>
    <w:rsid w:val="00F82FD3"/>
    <w:rsid w:val="00F83674"/>
    <w:rsid w:val="00F84CFC"/>
    <w:rsid w:val="00F8531E"/>
    <w:rsid w:val="00F8569D"/>
    <w:rsid w:val="00F90481"/>
    <w:rsid w:val="00F917A9"/>
    <w:rsid w:val="00F94728"/>
    <w:rsid w:val="00F9555C"/>
    <w:rsid w:val="00F9727D"/>
    <w:rsid w:val="00FA06F1"/>
    <w:rsid w:val="00FA1277"/>
    <w:rsid w:val="00FA1FB7"/>
    <w:rsid w:val="00FA2158"/>
    <w:rsid w:val="00FA7BF2"/>
    <w:rsid w:val="00FA7D5F"/>
    <w:rsid w:val="00FB396F"/>
    <w:rsid w:val="00FB3F9E"/>
    <w:rsid w:val="00FB5913"/>
    <w:rsid w:val="00FC0DE0"/>
    <w:rsid w:val="00FC1D0A"/>
    <w:rsid w:val="00FC3EAC"/>
    <w:rsid w:val="00FC3FE4"/>
    <w:rsid w:val="00FC49C6"/>
    <w:rsid w:val="00FD58AD"/>
    <w:rsid w:val="00FD61B6"/>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CC03AE"/>
  <w14:defaultImageDpi w14:val="330"/>
  <w15:docId w15:val="{A6B0EA6D-CCDD-4578-801C-E7EAED0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Calibri" w:hAnsi="Times New Roman" w:cs="Times New Roman"/>
      <w:lang w:eastAsia="en-US"/>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rPr>
      <w:rFonts w:ascii="Segoe UI" w:hAnsi="Segoe UI" w:cs="Segoe UI"/>
      <w:sz w:val="18"/>
      <w:szCs w:val="18"/>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paragraph" w:styleId="ab">
    <w:name w:val="Normal (Web)"/>
    <w:basedOn w:val="a"/>
    <w:uiPriority w:val="99"/>
    <w:semiHidden/>
    <w:unhideWhenUsed/>
    <w:rPr>
      <w:sz w:val="24"/>
      <w:szCs w:val="24"/>
    </w:rPr>
  </w:style>
  <w:style w:type="paragraph" w:styleId="ac">
    <w:name w:val="Title"/>
    <w:basedOn w:val="a"/>
    <w:next w:val="a"/>
    <w:link w:val="ad"/>
    <w:uiPriority w:val="10"/>
    <w:qFormat/>
    <w:pPr>
      <w:contextualSpacing/>
      <w:jc w:val="center"/>
    </w:pPr>
    <w:rPr>
      <w:rFonts w:eastAsiaTheme="majorEastAsia" w:cstheme="majorBidi"/>
      <w:b/>
      <w:spacing w:val="-10"/>
      <w:kern w:val="28"/>
      <w:sz w:val="28"/>
      <w:szCs w:val="56"/>
    </w:rPr>
  </w:style>
  <w:style w:type="paragraph" w:styleId="ae">
    <w:name w:val="annotation subject"/>
    <w:basedOn w:val="a3"/>
    <w:next w:val="a3"/>
    <w:link w:val="af"/>
    <w:uiPriority w:val="99"/>
    <w:semiHidden/>
    <w:unhideWhenUsed/>
    <w:rPr>
      <w:b/>
      <w:bCs/>
    </w:rPr>
  </w:style>
  <w:style w:type="character" w:styleId="af0">
    <w:name w:val="FollowedHyperlink"/>
    <w:basedOn w:val="a0"/>
    <w:uiPriority w:val="99"/>
    <w:semiHidden/>
    <w:unhideWhenUsed/>
    <w:rPr>
      <w:color w:val="954F72" w:themeColor="followedHyperlink"/>
      <w:u w:val="single"/>
    </w:rPr>
  </w:style>
  <w:style w:type="character" w:styleId="af1">
    <w:name w:val="Emphasis"/>
    <w:basedOn w:val="a0"/>
    <w:uiPriority w:val="20"/>
    <w:qFormat/>
    <w:rPr>
      <w:i/>
      <w:iCs/>
    </w:rPr>
  </w:style>
  <w:style w:type="character" w:styleId="af2">
    <w:name w:val="line number"/>
    <w:basedOn w:val="a0"/>
    <w:uiPriority w:val="99"/>
    <w:semiHidden/>
    <w:unhideWhenUsed/>
  </w:style>
  <w:style w:type="character" w:styleId="af3">
    <w:name w:val="Hyperlink"/>
    <w:rPr>
      <w:color w:val="0000FF"/>
      <w:u w:val="single"/>
    </w:rPr>
  </w:style>
  <w:style w:type="character" w:styleId="af4">
    <w:name w:val="annotation reference"/>
    <w:basedOn w:val="a0"/>
    <w:uiPriority w:val="99"/>
    <w:semiHidden/>
    <w:unhideWhenUsed/>
    <w:rPr>
      <w:sz w:val="16"/>
      <w:szCs w:val="16"/>
    </w:rPr>
  </w:style>
  <w:style w:type="paragraph" w:customStyle="1" w:styleId="Reference">
    <w:name w:val="Reference"/>
    <w:basedOn w:val="a"/>
    <w:pPr>
      <w:spacing w:before="120"/>
      <w:ind w:left="720" w:hanging="720"/>
    </w:pPr>
    <w:rPr>
      <w:rFonts w:eastAsia="Times New Roman"/>
      <w:sz w:val="24"/>
      <w:szCs w:val="24"/>
    </w:rPr>
  </w:style>
  <w:style w:type="paragraph" w:customStyle="1" w:styleId="Heading-Secondary">
    <w:name w:val="Heading-Secondary"/>
    <w:basedOn w:val="Heading-Main"/>
    <w:qFormat/>
    <w:pPr>
      <w:ind w:left="720"/>
    </w:pPr>
    <w:rPr>
      <w:b w:val="0"/>
    </w:rPr>
  </w:style>
  <w:style w:type="paragraph" w:customStyle="1" w:styleId="Heading-Main">
    <w:name w:val="Heading-Main"/>
    <w:basedOn w:val="a"/>
    <w:pPr>
      <w:keepNext/>
      <w:spacing w:before="240" w:after="120"/>
      <w:outlineLvl w:val="0"/>
    </w:pPr>
    <w:rPr>
      <w:rFonts w:eastAsia="Times New Roman"/>
      <w:b/>
      <w:bCs/>
      <w:kern w:val="28"/>
      <w:sz w:val="24"/>
      <w:szCs w:val="24"/>
    </w:rPr>
  </w:style>
  <w:style w:type="paragraph" w:customStyle="1" w:styleId="Authors">
    <w:name w:val="Authors"/>
    <w:basedOn w:val="a"/>
    <w:pPr>
      <w:spacing w:before="120" w:after="360"/>
    </w:pPr>
    <w:rPr>
      <w:rFonts w:eastAsia="Times New Roman"/>
      <w:b/>
      <w:sz w:val="24"/>
      <w:szCs w:val="24"/>
    </w:rPr>
  </w:style>
  <w:style w:type="paragraph" w:customStyle="1" w:styleId="Text">
    <w:name w:val="Text"/>
    <w:basedOn w:val="a"/>
    <w:qFormat/>
    <w:pPr>
      <w:spacing w:before="120"/>
      <w:ind w:firstLine="720"/>
    </w:pPr>
    <w:rPr>
      <w:rFonts w:eastAsia="Times New Roman"/>
      <w:sz w:val="24"/>
      <w:szCs w:val="24"/>
    </w:rPr>
  </w:style>
  <w:style w:type="paragraph" w:customStyle="1" w:styleId="FigureorTableCaption">
    <w:name w:val="Figure or Table Caption"/>
    <w:basedOn w:val="a"/>
    <w:pPr>
      <w:keepNext/>
      <w:spacing w:before="240"/>
      <w:outlineLvl w:val="0"/>
    </w:pPr>
    <w:rPr>
      <w:rFonts w:eastAsia="Times New Roman"/>
      <w:kern w:val="28"/>
      <w:sz w:val="24"/>
      <w:szCs w:val="24"/>
    </w:rPr>
  </w:style>
  <w:style w:type="character" w:customStyle="1" w:styleId="aa">
    <w:name w:val="页眉 字符"/>
    <w:basedOn w:val="a0"/>
    <w:link w:val="a9"/>
    <w:uiPriority w:val="99"/>
    <w:rPr>
      <w:rFonts w:ascii="Times New Roman" w:eastAsia="Calibri" w:hAnsi="Times New Roman" w:cs="Times New Roman"/>
      <w:sz w:val="20"/>
      <w:szCs w:val="20"/>
    </w:rPr>
  </w:style>
  <w:style w:type="paragraph" w:customStyle="1" w:styleId="Affiliation">
    <w:name w:val="Affiliation"/>
    <w:basedOn w:val="Text"/>
    <w:qFormat/>
    <w:pPr>
      <w:ind w:firstLine="0"/>
    </w:pPr>
  </w:style>
  <w:style w:type="paragraph" w:customStyle="1" w:styleId="KeyPoints">
    <w:name w:val="Key Points"/>
    <w:basedOn w:val="a"/>
    <w:pPr>
      <w:spacing w:before="120"/>
    </w:pPr>
    <w:rPr>
      <w:rFonts w:eastAsia="Times New Roman"/>
      <w:sz w:val="24"/>
      <w:szCs w:val="24"/>
    </w:rPr>
  </w:style>
  <w:style w:type="paragraph" w:customStyle="1" w:styleId="Abstract">
    <w:name w:val="Abstract"/>
    <w:basedOn w:val="a"/>
    <w:qFormat/>
    <w:pPr>
      <w:spacing w:before="120"/>
    </w:pPr>
    <w:rPr>
      <w:rFonts w:eastAsia="Times New Roman"/>
      <w:sz w:val="24"/>
      <w:szCs w:val="24"/>
    </w:rPr>
  </w:style>
  <w:style w:type="character" w:customStyle="1" w:styleId="ad">
    <w:name w:val="标题 字符"/>
    <w:basedOn w:val="a0"/>
    <w:link w:val="ac"/>
    <w:uiPriority w:val="10"/>
    <w:rPr>
      <w:rFonts w:ascii="Times New Roman" w:eastAsiaTheme="majorEastAsia" w:hAnsi="Times New Roman" w:cstheme="majorBidi"/>
      <w:b/>
      <w:spacing w:val="-10"/>
      <w:kern w:val="28"/>
      <w:sz w:val="28"/>
      <w:szCs w:val="56"/>
    </w:rPr>
  </w:style>
  <w:style w:type="paragraph" w:customStyle="1" w:styleId="Note">
    <w:name w:val="Note"/>
    <w:basedOn w:val="a"/>
    <w:qFormat/>
    <w:pPr>
      <w:spacing w:before="240" w:after="240"/>
    </w:pPr>
    <w:rPr>
      <w:color w:val="00B0F0"/>
    </w:rPr>
  </w:style>
  <w:style w:type="character" w:customStyle="1" w:styleId="a8">
    <w:name w:val="页脚 字符"/>
    <w:basedOn w:val="a0"/>
    <w:link w:val="a7"/>
    <w:uiPriority w:val="99"/>
    <w:rPr>
      <w:rFonts w:ascii="Times New Roman" w:eastAsia="Calibri" w:hAnsi="Times New Roman" w:cs="Times New Roman"/>
      <w:sz w:val="20"/>
      <w:szCs w:val="20"/>
    </w:rPr>
  </w:style>
  <w:style w:type="paragraph" w:styleId="af5">
    <w:name w:val="List Paragraph"/>
    <w:basedOn w:val="a"/>
    <w:uiPriority w:val="34"/>
    <w:qFormat/>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Pr>
      <w:color w:val="808080"/>
      <w:shd w:val="clear" w:color="auto" w:fill="E6E6E6"/>
    </w:rPr>
  </w:style>
  <w:style w:type="character" w:customStyle="1" w:styleId="a6">
    <w:name w:val="批注框文本 字符"/>
    <w:basedOn w:val="a0"/>
    <w:link w:val="a5"/>
    <w:uiPriority w:val="99"/>
    <w:semiHidden/>
    <w:rPr>
      <w:rFonts w:ascii="Segoe UI" w:eastAsia="Calibri" w:hAnsi="Segoe UI" w:cs="Segoe UI"/>
      <w:sz w:val="18"/>
      <w:szCs w:val="18"/>
    </w:rPr>
  </w:style>
  <w:style w:type="paragraph" w:customStyle="1" w:styleId="10">
    <w:name w:val="修订1"/>
    <w:hidden/>
    <w:uiPriority w:val="99"/>
    <w:semiHidden/>
    <w:rPr>
      <w:rFonts w:ascii="Times New Roman" w:eastAsia="Calibri" w:hAnsi="Times New Roman" w:cs="Times New Roman"/>
      <w:lang w:eastAsia="en-US"/>
    </w:rPr>
  </w:style>
  <w:style w:type="paragraph" w:customStyle="1" w:styleId="11">
    <w:name w:val="书目1"/>
    <w:basedOn w:val="a"/>
    <w:next w:val="a"/>
    <w:uiPriority w:val="37"/>
    <w:unhideWhenUsed/>
    <w:pPr>
      <w:spacing w:line="480" w:lineRule="auto"/>
      <w:ind w:left="720" w:hanging="720"/>
    </w:pPr>
  </w:style>
  <w:style w:type="character" w:customStyle="1" w:styleId="40">
    <w:name w:val="标题 4 字符"/>
    <w:basedOn w:val="a0"/>
    <w:link w:val="4"/>
    <w:uiPriority w:val="9"/>
    <w:rPr>
      <w:rFonts w:ascii="宋体" w:hAnsi="宋体" w:cs="宋体"/>
      <w:b/>
      <w:bCs/>
      <w:lang w:eastAsia="zh-CN"/>
    </w:rPr>
  </w:style>
  <w:style w:type="character" w:customStyle="1" w:styleId="ng-star-inserted">
    <w:name w:val="ng-star-inserted"/>
    <w:basedOn w:val="a0"/>
  </w:style>
  <w:style w:type="character" w:customStyle="1" w:styleId="30">
    <w:name w:val="标题 3 字符"/>
    <w:basedOn w:val="a0"/>
    <w:link w:val="3"/>
    <w:uiPriority w:val="9"/>
    <w:semiHidden/>
    <w:rPr>
      <w:rFonts w:ascii="Times New Roman" w:eastAsia="Calibri" w:hAnsi="Times New Roman" w:cs="Times New Roman"/>
      <w:b/>
      <w:bCs/>
      <w:sz w:val="32"/>
      <w:szCs w:val="32"/>
    </w:rPr>
  </w:style>
  <w:style w:type="character" w:customStyle="1" w:styleId="apple-converted-space">
    <w:name w:val="apple-converted-space"/>
    <w:basedOn w:val="a0"/>
  </w:style>
  <w:style w:type="character" w:customStyle="1" w:styleId="HTML0">
    <w:name w:val="HTML 预设格式 字符"/>
    <w:basedOn w:val="a0"/>
    <w:link w:val="HTML"/>
    <w:uiPriority w:val="99"/>
    <w:rPr>
      <w:rFonts w:ascii="宋体" w:hAnsi="宋体" w:cs="宋体"/>
      <w:lang w:eastAsia="zh-CN"/>
    </w:rPr>
  </w:style>
  <w:style w:type="character" w:customStyle="1" w:styleId="ng-star-inserted1">
    <w:name w:val="ng-star-inserted1"/>
    <w:basedOn w:val="a0"/>
  </w:style>
  <w:style w:type="character" w:customStyle="1" w:styleId="2">
    <w:name w:val="未处理的提及2"/>
    <w:basedOn w:val="a0"/>
    <w:uiPriority w:val="99"/>
    <w:semiHidden/>
    <w:unhideWhenUsed/>
    <w:rPr>
      <w:color w:val="605E5C"/>
      <w:shd w:val="clear" w:color="auto" w:fill="E1DFDD"/>
    </w:rPr>
  </w:style>
  <w:style w:type="character" w:customStyle="1" w:styleId="a4">
    <w:name w:val="批注文字 字符"/>
    <w:basedOn w:val="a0"/>
    <w:link w:val="a3"/>
    <w:uiPriority w:val="99"/>
    <w:rPr>
      <w:rFonts w:ascii="Times New Roman" w:eastAsia="Calibri" w:hAnsi="Times New Roman" w:cs="Times New Roman"/>
      <w:sz w:val="20"/>
      <w:szCs w:val="20"/>
    </w:rPr>
  </w:style>
  <w:style w:type="character" w:customStyle="1" w:styleId="af">
    <w:name w:val="批注主题 字符"/>
    <w:basedOn w:val="a4"/>
    <w:link w:val="ae"/>
    <w:uiPriority w:val="99"/>
    <w:semiHidden/>
    <w:rPr>
      <w:rFonts w:ascii="Times New Roman" w:eastAsia="Calibri" w:hAnsi="Times New Roman" w:cs="Times New Roman"/>
      <w:b/>
      <w:bCs/>
      <w:sz w:val="20"/>
      <w:szCs w:val="20"/>
    </w:rPr>
  </w:style>
  <w:style w:type="paragraph" w:styleId="af6">
    <w:name w:val="Revision"/>
    <w:hidden/>
    <w:uiPriority w:val="99"/>
    <w:semiHidden/>
    <w:rsid w:val="00FA06F1"/>
    <w:rPr>
      <w:rFonts w:ascii="Times New Roman" w:eastAsia="Calibri"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41536">
      <w:bodyDiv w:val="1"/>
      <w:marLeft w:val="0"/>
      <w:marRight w:val="0"/>
      <w:marTop w:val="0"/>
      <w:marBottom w:val="0"/>
      <w:divBdr>
        <w:top w:val="none" w:sz="0" w:space="0" w:color="auto"/>
        <w:left w:val="none" w:sz="0" w:space="0" w:color="auto"/>
        <w:bottom w:val="none" w:sz="0" w:space="0" w:color="auto"/>
        <w:right w:val="none" w:sz="0" w:space="0" w:color="auto"/>
      </w:divBdr>
    </w:div>
    <w:div w:id="908998024">
      <w:bodyDiv w:val="1"/>
      <w:marLeft w:val="0"/>
      <w:marRight w:val="0"/>
      <w:marTop w:val="0"/>
      <w:marBottom w:val="0"/>
      <w:divBdr>
        <w:top w:val="none" w:sz="0" w:space="0" w:color="auto"/>
        <w:left w:val="none" w:sz="0" w:space="0" w:color="auto"/>
        <w:bottom w:val="none" w:sz="0" w:space="0" w:color="auto"/>
        <w:right w:val="none" w:sz="0" w:space="0" w:color="auto"/>
      </w:divBdr>
    </w:div>
    <w:div w:id="106503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ecmwf.int/en/forecasts/datasets/set-i" TargetMode="External"/><Relationship Id="rId3" Type="http://schemas.openxmlformats.org/officeDocument/2006/relationships/styles" Target="styles.xml"/><Relationship Id="rId21" Type="http://schemas.openxmlformats.org/officeDocument/2006/relationships/hyperlink" Target="https://github.com/microsoft/LightGBM" TargetMode="External"/><Relationship Id="rId7" Type="http://schemas.openxmlformats.org/officeDocument/2006/relationships/endnotes" Target="endnotes.xml"/><Relationship Id="rId12" Type="http://schemas.openxmlformats.org/officeDocument/2006/relationships/hyperlink" Target="mailto:Yongluo@tsinghua.edu.cn" TargetMode="External"/><Relationship Id="rId17" Type="http://schemas.openxmlformats.org/officeDocument/2006/relationships/hyperlink" Target="https://github.com/Xiax24/ExtendedProfile-WindPower-Forecasting" TargetMode="External"/><Relationship Id="rId2" Type="http://schemas.openxmlformats.org/officeDocument/2006/relationships/numbering" Target="numbering.xml"/><Relationship Id="rId16" Type="http://schemas.openxmlformats.org/officeDocument/2006/relationships/hyperlink" Target="https://doi.org/10.5281/zenodo.18671960" TargetMode="External"/><Relationship Id="rId20" Type="http://schemas.openxmlformats.org/officeDocument/2006/relationships/hyperlink" Target="https://www2.mmm.ucar.edu/wrf/users/download/get_sourc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ax24@mails.tsinghua.edu.cn"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ncei.noaa.gov/products/weather-climate-models/global-foreca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AF384-D7A8-4A61-A8B0-9DCDB8DD9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18</Pages>
  <Words>19767</Words>
  <Characters>112673</Characters>
  <Application>Microsoft Office Word</Application>
  <DocSecurity>0</DocSecurity>
  <Lines>938</Lines>
  <Paragraphs>264</Paragraphs>
  <ScaleCrop>false</ScaleCrop>
  <Company/>
  <LinksUpToDate>false</LinksUpToDate>
  <CharactersWithSpaces>132176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Hanson</dc:creator>
  <cp:lastModifiedBy>xiaxin</cp:lastModifiedBy>
  <cp:revision>234</cp:revision>
  <dcterms:created xsi:type="dcterms:W3CDTF">2026-03-10T07:44:00Z</dcterms:created>
  <dcterms:modified xsi:type="dcterms:W3CDTF">2026-03-31T07:12:00Z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