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FA1D" w14:textId="5F8C4483" w:rsidR="00BD47BB" w:rsidRPr="00850691" w:rsidRDefault="00BD47BB" w:rsidP="00216625">
      <w:pPr>
        <w:pStyle w:val="a3"/>
        <w:rPr>
          <w:rFonts w:asciiTheme="minorHAnsi" w:hAnsiTheme="minorHAnsi" w:cstheme="minorHAnsi"/>
          <w:lang w:eastAsia="zh-CN"/>
        </w:rPr>
        <w:sectPr w:rsidR="00BD47BB" w:rsidRPr="00850691" w:rsidSect="00E31404">
          <w:headerReference w:type="default" r:id="rId7"/>
          <w:footerReference w:type="default" r:id="rId8"/>
          <w:headerReference w:type="first" r:id="rId9"/>
          <w:pgSz w:w="12240" w:h="15840"/>
          <w:pgMar w:top="1440" w:right="1440" w:bottom="1440" w:left="1440" w:header="432" w:footer="720" w:gutter="0"/>
          <w:cols w:space="720"/>
          <w:docGrid w:linePitch="360"/>
        </w:sectPr>
      </w:pPr>
    </w:p>
    <w:p w14:paraId="6875C344" w14:textId="0D92FDF0" w:rsidR="00C94AA5" w:rsidRPr="00850691" w:rsidRDefault="00713BE0" w:rsidP="00713BE0">
      <w:pPr>
        <w:pStyle w:val="a3"/>
        <w:rPr>
          <w:rFonts w:asciiTheme="minorHAnsi" w:hAnsiTheme="minorHAnsi" w:cstheme="minorHAnsi"/>
        </w:rPr>
      </w:pPr>
      <w:r w:rsidRPr="00CC793D">
        <w:rPr>
          <w:rFonts w:asciiTheme="minorHAnsi" w:hAnsiTheme="minorHAnsi" w:cstheme="minorHAnsi"/>
          <w:lang w:eastAsia="zh-CN"/>
        </w:rPr>
        <w:t xml:space="preserve">Extended Profiles </w:t>
      </w:r>
      <w:r w:rsidR="00F60E27" w:rsidRPr="00F60E27">
        <w:rPr>
          <w:rFonts w:asciiTheme="minorHAnsi" w:hAnsiTheme="minorHAnsi" w:cstheme="minorHAnsi"/>
          <w:lang w:eastAsia="zh-CN"/>
        </w:rPr>
        <w:t>Including</w:t>
      </w:r>
      <w:r w:rsidR="00F60E27">
        <w:rPr>
          <w:rFonts w:asciiTheme="minorHAnsi" w:hAnsiTheme="minorHAnsi" w:cstheme="minorHAnsi" w:hint="eastAsia"/>
          <w:lang w:eastAsia="zh-CN"/>
        </w:rPr>
        <w:t xml:space="preserve"> </w:t>
      </w:r>
      <w:r w:rsidRPr="00CC793D">
        <w:rPr>
          <w:rFonts w:asciiTheme="minorHAnsi" w:hAnsiTheme="minorHAnsi" w:cstheme="minorHAnsi"/>
          <w:lang w:eastAsia="zh-CN"/>
        </w:rPr>
        <w:t>Surface-Layer Wind Speed Improve Farm-Scale Wind Power Forecasting</w:t>
      </w:r>
      <w:r w:rsidR="004B537D">
        <w:rPr>
          <w:rFonts w:asciiTheme="minorHAnsi" w:hAnsiTheme="minorHAnsi" w:cstheme="minorHAnsi" w:hint="eastAsia"/>
          <w:lang w:eastAsia="zh-CN"/>
        </w:rPr>
        <w:t xml:space="preserve"> </w:t>
      </w:r>
    </w:p>
    <w:p w14:paraId="32E6B0CF" w14:textId="0BE51A2C" w:rsidR="00C94AA5" w:rsidRPr="0051453E" w:rsidRDefault="003A234C" w:rsidP="00EB7078">
      <w:pPr>
        <w:pStyle w:val="Authors"/>
        <w:rPr>
          <w:rFonts w:asciiTheme="minorHAnsi" w:hAnsiTheme="minorHAnsi" w:cstheme="minorHAnsi"/>
          <w:lang w:eastAsia="zh-CN"/>
        </w:rPr>
      </w:pPr>
      <w:r w:rsidRPr="0051453E">
        <w:rPr>
          <w:rFonts w:asciiTheme="minorHAnsi" w:hAnsiTheme="minorHAnsi" w:cstheme="minorHAnsi"/>
        </w:rPr>
        <w:t>Xin Xia</w:t>
      </w:r>
      <w:r w:rsidR="00545B6C" w:rsidRPr="0051453E">
        <w:rPr>
          <w:rFonts w:asciiTheme="minorHAnsi" w:hAnsiTheme="minorHAnsi" w:cstheme="minorHAnsi"/>
          <w:vertAlign w:val="superscript"/>
        </w:rPr>
        <w:t>1</w:t>
      </w:r>
      <w:r w:rsidR="00C94AA5" w:rsidRPr="0051453E">
        <w:rPr>
          <w:rFonts w:asciiTheme="minorHAnsi" w:hAnsiTheme="minorHAnsi" w:cstheme="minorHAnsi"/>
        </w:rPr>
        <w:t xml:space="preserve">, </w:t>
      </w:r>
      <w:r w:rsidRPr="0051453E">
        <w:rPr>
          <w:rFonts w:asciiTheme="minorHAnsi" w:hAnsiTheme="minorHAnsi" w:cstheme="minorHAnsi"/>
        </w:rPr>
        <w:t>Rong Zhu</w:t>
      </w:r>
      <w:r w:rsidR="007B2B60" w:rsidRPr="0051453E">
        <w:rPr>
          <w:rFonts w:asciiTheme="minorHAnsi" w:hAnsiTheme="minorHAnsi" w:cstheme="minorHAnsi"/>
          <w:vertAlign w:val="superscript"/>
        </w:rPr>
        <w:t>1,2</w:t>
      </w:r>
      <w:r w:rsidRPr="0051453E">
        <w:rPr>
          <w:rFonts w:asciiTheme="minorHAnsi" w:hAnsiTheme="minorHAnsi" w:cstheme="minorHAnsi"/>
        </w:rPr>
        <w:t>, Rui Chang</w:t>
      </w:r>
      <w:r w:rsidR="007B2B60" w:rsidRPr="0051453E">
        <w:rPr>
          <w:rFonts w:asciiTheme="minorHAnsi" w:hAnsiTheme="minorHAnsi" w:cstheme="minorHAnsi"/>
          <w:vertAlign w:val="superscript"/>
        </w:rPr>
        <w:t>2</w:t>
      </w:r>
      <w:r w:rsidR="00EB7078" w:rsidRPr="0051453E">
        <w:rPr>
          <w:rFonts w:asciiTheme="minorHAnsi" w:hAnsiTheme="minorHAnsi" w:cstheme="minorHAnsi"/>
        </w:rPr>
        <w:t>,</w:t>
      </w:r>
      <w:r w:rsidR="00C94AA5" w:rsidRPr="0051453E">
        <w:rPr>
          <w:rFonts w:asciiTheme="minorHAnsi" w:hAnsiTheme="minorHAnsi" w:cstheme="minorHAnsi"/>
        </w:rPr>
        <w:t xml:space="preserve"> </w:t>
      </w:r>
      <w:r w:rsidR="00750CD0" w:rsidRPr="0051453E">
        <w:rPr>
          <w:rFonts w:asciiTheme="minorHAnsi" w:hAnsiTheme="minorHAnsi" w:cstheme="minorHAnsi"/>
        </w:rPr>
        <w:t>Martin Dörenkämper</w:t>
      </w:r>
      <w:r w:rsidR="002629F2" w:rsidRPr="0051453E">
        <w:rPr>
          <w:rFonts w:asciiTheme="minorHAnsi" w:hAnsiTheme="minorHAnsi" w:cstheme="minorHAnsi"/>
          <w:vertAlign w:val="superscript"/>
        </w:rPr>
        <w:t>3</w:t>
      </w:r>
      <w:r w:rsidR="00EB7078" w:rsidRPr="0051453E">
        <w:rPr>
          <w:rFonts w:asciiTheme="minorHAnsi" w:hAnsiTheme="minorHAnsi" w:cstheme="minorHAnsi"/>
        </w:rPr>
        <w:t xml:space="preserve">, </w:t>
      </w:r>
      <w:proofErr w:type="spellStart"/>
      <w:r w:rsidR="00EB7078" w:rsidRPr="0051453E">
        <w:rPr>
          <w:rFonts w:asciiTheme="minorHAnsi" w:hAnsiTheme="minorHAnsi" w:cstheme="minorHAnsi"/>
        </w:rPr>
        <w:t>Peidu</w:t>
      </w:r>
      <w:proofErr w:type="spellEnd"/>
      <w:r w:rsidR="00EB7078" w:rsidRPr="0051453E">
        <w:rPr>
          <w:rFonts w:asciiTheme="minorHAnsi" w:hAnsiTheme="minorHAnsi" w:cstheme="minorHAnsi"/>
        </w:rPr>
        <w:t xml:space="preserve"> Li</w:t>
      </w:r>
      <w:r w:rsidR="002629F2" w:rsidRPr="0051453E">
        <w:rPr>
          <w:rFonts w:asciiTheme="minorHAnsi" w:hAnsiTheme="minorHAnsi" w:cstheme="minorHAnsi"/>
          <w:vertAlign w:val="superscript"/>
        </w:rPr>
        <w:t>4</w:t>
      </w:r>
      <w:r w:rsidR="00EB7078" w:rsidRPr="0051453E">
        <w:rPr>
          <w:rFonts w:asciiTheme="minorHAnsi" w:hAnsiTheme="minorHAnsi" w:cstheme="minorHAnsi"/>
        </w:rPr>
        <w:t>, and Yong Luo</w:t>
      </w:r>
      <w:proofErr w:type="gramStart"/>
      <w:r w:rsidR="00EB7078" w:rsidRPr="0051453E">
        <w:rPr>
          <w:rFonts w:asciiTheme="minorHAnsi" w:hAnsiTheme="minorHAnsi" w:cstheme="minorHAnsi"/>
          <w:vertAlign w:val="superscript"/>
        </w:rPr>
        <w:t>1</w:t>
      </w:r>
      <w:r w:rsidR="00687F24" w:rsidRPr="0051453E">
        <w:rPr>
          <w:rFonts w:asciiTheme="minorHAnsi" w:hAnsiTheme="minorHAnsi" w:cstheme="minorHAnsi"/>
          <w:vertAlign w:val="superscript"/>
          <w:lang w:eastAsia="zh-CN"/>
        </w:rPr>
        <w:t>,*</w:t>
      </w:r>
      <w:proofErr w:type="gramEnd"/>
    </w:p>
    <w:p w14:paraId="73070F61" w14:textId="21025C59" w:rsidR="004B7F40" w:rsidRPr="0051453E" w:rsidRDefault="008A6077" w:rsidP="00B719C8">
      <w:pPr>
        <w:pStyle w:val="Affiliation"/>
        <w:rPr>
          <w:rFonts w:asciiTheme="minorHAnsi" w:hAnsiTheme="minorHAnsi" w:cstheme="minorHAnsi"/>
          <w:vertAlign w:val="superscript"/>
        </w:rPr>
      </w:pPr>
      <w:r w:rsidRPr="0051453E">
        <w:rPr>
          <w:rFonts w:asciiTheme="minorHAnsi" w:hAnsiTheme="minorHAnsi" w:cstheme="minorHAnsi"/>
          <w:vertAlign w:val="superscript"/>
        </w:rPr>
        <w:t>1</w:t>
      </w:r>
      <w:r w:rsidR="004B7F40" w:rsidRPr="0051453E">
        <w:rPr>
          <w:rFonts w:asciiTheme="minorHAnsi" w:hAnsiTheme="minorHAnsi" w:cstheme="minorHAnsi"/>
        </w:rPr>
        <w:t>Ministry of Education Key Laboratory for Earth System Modeling, Department of Earth System Science, Tsinghua University, Beijing 100084, China</w:t>
      </w:r>
    </w:p>
    <w:p w14:paraId="76A132C7" w14:textId="201E21A8" w:rsidR="004B7F40" w:rsidRPr="0051453E" w:rsidRDefault="00545B6C" w:rsidP="004B7F40">
      <w:pPr>
        <w:pStyle w:val="Affiliation"/>
        <w:rPr>
          <w:rFonts w:asciiTheme="minorHAnsi" w:hAnsiTheme="minorHAnsi" w:cstheme="minorHAnsi"/>
        </w:rPr>
      </w:pPr>
      <w:r w:rsidRPr="0051453E">
        <w:rPr>
          <w:rFonts w:asciiTheme="minorHAnsi" w:hAnsiTheme="minorHAnsi" w:cstheme="minorHAnsi"/>
          <w:vertAlign w:val="superscript"/>
        </w:rPr>
        <w:t>2</w:t>
      </w:r>
      <w:r w:rsidR="004B7F40" w:rsidRPr="0051453E">
        <w:rPr>
          <w:rFonts w:asciiTheme="minorHAnsi" w:hAnsiTheme="minorHAnsi" w:cstheme="minorHAnsi"/>
        </w:rPr>
        <w:t>National Climate Center of China Meteorological Administration (CMA), Beijing 100081, China</w:t>
      </w:r>
      <w:r w:rsidR="004B7F40" w:rsidRPr="0051453E">
        <w:rPr>
          <w:rFonts w:asciiTheme="minorHAnsi" w:hAnsiTheme="minorHAnsi" w:cstheme="minorHAnsi"/>
          <w:vertAlign w:val="superscript"/>
        </w:rPr>
        <w:t xml:space="preserve"> </w:t>
      </w:r>
    </w:p>
    <w:p w14:paraId="59E35802" w14:textId="683462F0" w:rsidR="00FF70CB" w:rsidRPr="0051453E" w:rsidRDefault="00FF70CB" w:rsidP="00B719C8">
      <w:pPr>
        <w:pStyle w:val="Affiliation"/>
        <w:rPr>
          <w:rFonts w:asciiTheme="minorHAnsi" w:hAnsiTheme="minorHAnsi" w:cstheme="minorHAnsi"/>
        </w:rPr>
      </w:pPr>
      <w:r w:rsidRPr="0051453E">
        <w:rPr>
          <w:rFonts w:asciiTheme="minorHAnsi" w:hAnsiTheme="minorHAnsi" w:cstheme="minorHAnsi"/>
          <w:vertAlign w:val="superscript"/>
        </w:rPr>
        <w:t>3</w:t>
      </w:r>
      <w:r w:rsidRPr="0051453E">
        <w:rPr>
          <w:rFonts w:asciiTheme="minorHAnsi" w:hAnsiTheme="minorHAnsi" w:cstheme="minorHAnsi"/>
        </w:rPr>
        <w:t>Fraunhofer Institute for Wind Energy Systems, Bremerhaven, Germany</w:t>
      </w:r>
    </w:p>
    <w:p w14:paraId="2B6A347A" w14:textId="007256D8" w:rsidR="004B7F40" w:rsidRPr="0051453E" w:rsidRDefault="004B7F40" w:rsidP="004B7F40">
      <w:pPr>
        <w:pStyle w:val="Affiliation"/>
        <w:rPr>
          <w:rFonts w:asciiTheme="minorHAnsi" w:hAnsiTheme="minorHAnsi" w:cstheme="minorHAnsi"/>
        </w:rPr>
      </w:pPr>
      <w:r w:rsidRPr="0051453E">
        <w:rPr>
          <w:rFonts w:asciiTheme="minorHAnsi" w:hAnsiTheme="minorHAnsi" w:cstheme="minorHAnsi"/>
          <w:vertAlign w:val="superscript"/>
        </w:rPr>
        <w:t>4</w:t>
      </w:r>
      <w:r w:rsidRPr="0051453E">
        <w:rPr>
          <w:rFonts w:asciiTheme="minorHAnsi" w:hAnsiTheme="minorHAnsi" w:cstheme="minorHAnsi"/>
        </w:rPr>
        <w:t>Plateau Atmosphere and Environment Key Laboratory of Sichuan Province, School of At-</w:t>
      </w:r>
      <w:proofErr w:type="spellStart"/>
      <w:r w:rsidRPr="0051453E">
        <w:rPr>
          <w:rFonts w:asciiTheme="minorHAnsi" w:hAnsiTheme="minorHAnsi" w:cstheme="minorHAnsi"/>
        </w:rPr>
        <w:t>mospheric</w:t>
      </w:r>
      <w:proofErr w:type="spellEnd"/>
      <w:r w:rsidRPr="0051453E">
        <w:rPr>
          <w:rFonts w:asciiTheme="minorHAnsi" w:hAnsiTheme="minorHAnsi" w:cstheme="minorHAnsi"/>
        </w:rPr>
        <w:t xml:space="preserve"> Sciences, Chengdu University of Information Technology, Chengdu 610225, China</w:t>
      </w:r>
    </w:p>
    <w:p w14:paraId="5614852F" w14:textId="51EEBABF" w:rsidR="00DE3F91" w:rsidRPr="0051453E" w:rsidRDefault="00804559" w:rsidP="003137C3">
      <w:pPr>
        <w:pStyle w:val="Affiliation"/>
        <w:rPr>
          <w:rFonts w:asciiTheme="minorHAnsi" w:hAnsiTheme="minorHAnsi" w:cstheme="minorHAnsi"/>
          <w:lang w:eastAsia="zh-CN"/>
        </w:rPr>
      </w:pPr>
      <w:r w:rsidRPr="0051453E">
        <w:rPr>
          <w:rFonts w:asciiTheme="minorHAnsi" w:hAnsiTheme="minorHAnsi" w:cstheme="minorHAnsi"/>
        </w:rPr>
        <w:t>*</w:t>
      </w:r>
      <w:r w:rsidR="008A6077" w:rsidRPr="0051453E">
        <w:rPr>
          <w:rFonts w:asciiTheme="minorHAnsi" w:hAnsiTheme="minorHAnsi" w:cstheme="minorHAnsi"/>
        </w:rPr>
        <w:t>Correspond</w:t>
      </w:r>
      <w:r w:rsidR="00DE3F91" w:rsidRPr="0051453E">
        <w:rPr>
          <w:rFonts w:asciiTheme="minorHAnsi" w:hAnsiTheme="minorHAnsi" w:cstheme="minorHAnsi"/>
        </w:rPr>
        <w:t>ing</w:t>
      </w:r>
      <w:r w:rsidR="008A6077" w:rsidRPr="0051453E">
        <w:rPr>
          <w:rFonts w:asciiTheme="minorHAnsi" w:hAnsiTheme="minorHAnsi" w:cstheme="minorHAnsi"/>
        </w:rPr>
        <w:t xml:space="preserve"> </w:t>
      </w:r>
      <w:r w:rsidR="006F662E" w:rsidRPr="0051453E">
        <w:rPr>
          <w:rFonts w:asciiTheme="minorHAnsi" w:hAnsiTheme="minorHAnsi" w:cstheme="minorHAnsi"/>
        </w:rPr>
        <w:t>author:</w:t>
      </w:r>
      <w:r w:rsidR="008A6077" w:rsidRPr="0051453E">
        <w:rPr>
          <w:rFonts w:asciiTheme="minorHAnsi" w:hAnsiTheme="minorHAnsi" w:cstheme="minorHAnsi"/>
        </w:rPr>
        <w:t xml:space="preserve"> </w:t>
      </w:r>
      <w:r w:rsidR="001B1E3A" w:rsidRPr="0051453E">
        <w:rPr>
          <w:rFonts w:asciiTheme="minorHAnsi" w:hAnsiTheme="minorHAnsi" w:cstheme="minorHAnsi"/>
        </w:rPr>
        <w:t>Yong Luo</w:t>
      </w:r>
      <w:r w:rsidR="00DE3F91" w:rsidRPr="0051453E">
        <w:rPr>
          <w:rFonts w:asciiTheme="minorHAnsi" w:hAnsiTheme="minorHAnsi" w:cstheme="minorHAnsi"/>
        </w:rPr>
        <w:t xml:space="preserve"> </w:t>
      </w:r>
      <w:r w:rsidR="00C45B2D" w:rsidRPr="00C45B2D">
        <w:rPr>
          <w:rFonts w:asciiTheme="minorHAnsi" w:hAnsiTheme="minorHAnsi" w:cstheme="minorHAnsi"/>
        </w:rPr>
        <w:t>(</w:t>
      </w:r>
      <w:hyperlink r:id="rId10" w:history="1">
        <w:r w:rsidR="00C45B2D" w:rsidRPr="00550606">
          <w:rPr>
            <w:rStyle w:val="a7"/>
            <w:rFonts w:asciiTheme="minorHAnsi" w:hAnsiTheme="minorHAnsi" w:cstheme="minorHAnsi"/>
          </w:rPr>
          <w:t>Yongluo@tsinghua.edu.cn</w:t>
        </w:r>
      </w:hyperlink>
      <w:r w:rsidR="00C45B2D" w:rsidRPr="00C45B2D">
        <w:rPr>
          <w:rFonts w:asciiTheme="minorHAnsi" w:hAnsiTheme="minorHAnsi" w:cstheme="minorHAnsi"/>
        </w:rPr>
        <w:t>)</w:t>
      </w:r>
    </w:p>
    <w:p w14:paraId="52EAA876" w14:textId="0F4D9CB3" w:rsidR="00C94AA5" w:rsidRPr="0051453E" w:rsidRDefault="00C94AA5" w:rsidP="005358D5">
      <w:pPr>
        <w:pStyle w:val="Heading-Main"/>
        <w:rPr>
          <w:rFonts w:asciiTheme="minorHAnsi" w:hAnsiTheme="minorHAnsi" w:cstheme="minorHAnsi"/>
        </w:rPr>
      </w:pPr>
      <w:r w:rsidRPr="0051453E">
        <w:rPr>
          <w:rFonts w:asciiTheme="minorHAnsi" w:hAnsiTheme="minorHAnsi" w:cstheme="minorHAnsi"/>
        </w:rPr>
        <w:t>Key Points:</w:t>
      </w:r>
    </w:p>
    <w:p w14:paraId="7B123B73" w14:textId="039E6E1F" w:rsidR="00F52200" w:rsidRPr="0051453E" w:rsidRDefault="00F52200" w:rsidP="00C81368">
      <w:pPr>
        <w:pStyle w:val="KeyPoints"/>
        <w:numPr>
          <w:ilvl w:val="0"/>
          <w:numId w:val="9"/>
        </w:numPr>
        <w:rPr>
          <w:rFonts w:asciiTheme="minorHAnsi" w:hAnsiTheme="minorHAnsi" w:cstheme="minorHAnsi"/>
        </w:rPr>
      </w:pPr>
      <w:bookmarkStart w:id="0" w:name="OLE_LINK4"/>
      <w:r w:rsidRPr="0051453E">
        <w:rPr>
          <w:rFonts w:asciiTheme="minorHAnsi" w:hAnsiTheme="minorHAnsi" w:cstheme="minorHAnsi"/>
        </w:rPr>
        <w:t>Farm-scale wind power is better represented by vertical wind profiles extending below the rotor-swept layer.</w:t>
      </w:r>
    </w:p>
    <w:bookmarkEnd w:id="0"/>
    <w:p w14:paraId="5C295B6D" w14:textId="17A03CE8" w:rsidR="006E36FF" w:rsidRPr="0051453E" w:rsidRDefault="006E36FF" w:rsidP="00C81368">
      <w:pPr>
        <w:pStyle w:val="KeyPoints"/>
        <w:numPr>
          <w:ilvl w:val="0"/>
          <w:numId w:val="9"/>
        </w:numPr>
        <w:rPr>
          <w:rFonts w:asciiTheme="minorHAnsi" w:hAnsiTheme="minorHAnsi" w:cstheme="minorHAnsi"/>
        </w:rPr>
      </w:pPr>
      <w:r w:rsidRPr="0051453E">
        <w:rPr>
          <w:rFonts w:asciiTheme="minorHAnsi" w:hAnsiTheme="minorHAnsi" w:cstheme="minorHAnsi"/>
        </w:rPr>
        <w:t>Under free-stream flow, full vertical profile matters, whereas under wake-influenced flow surface wind indicates profile intensity.</w:t>
      </w:r>
    </w:p>
    <w:p w14:paraId="2D806D7B" w14:textId="09675663" w:rsidR="00EB3DCF" w:rsidRPr="0051453E" w:rsidRDefault="00EB3DCF" w:rsidP="00C81368">
      <w:pPr>
        <w:pStyle w:val="KeyPoints"/>
        <w:numPr>
          <w:ilvl w:val="0"/>
          <w:numId w:val="9"/>
        </w:numPr>
        <w:rPr>
          <w:rFonts w:asciiTheme="minorHAnsi" w:hAnsiTheme="minorHAnsi" w:cstheme="minorHAnsi"/>
        </w:rPr>
      </w:pPr>
      <w:r w:rsidRPr="0051453E">
        <w:rPr>
          <w:rFonts w:asciiTheme="minorHAnsi" w:hAnsiTheme="minorHAnsi" w:cstheme="minorHAnsi"/>
        </w:rPr>
        <w:t>Extended profiles improve observational power reconstruction, and a wind-direction-aware strategy enhances day-ahead forecasting.</w:t>
      </w:r>
    </w:p>
    <w:p w14:paraId="06AFBE45" w14:textId="5B782C8F" w:rsidR="003F0D1D" w:rsidRDefault="003F0D1D" w:rsidP="003F0D1D">
      <w:pPr>
        <w:rPr>
          <w:rFonts w:asciiTheme="minorHAnsi" w:eastAsia="Times New Roman" w:hAnsiTheme="minorHAnsi" w:cstheme="minorHAnsi"/>
          <w:sz w:val="24"/>
          <w:szCs w:val="24"/>
          <w:lang w:eastAsia="zh-CN"/>
        </w:rPr>
      </w:pPr>
    </w:p>
    <w:p w14:paraId="2F86A517" w14:textId="420A7BE1" w:rsidR="003F0D1D" w:rsidRDefault="003F0D1D" w:rsidP="003F0D1D">
      <w:pPr>
        <w:rPr>
          <w:rFonts w:asciiTheme="minorHAnsi" w:eastAsia="Times New Roman" w:hAnsiTheme="minorHAnsi" w:cstheme="minorHAnsi" w:hint="eastAsia"/>
          <w:sz w:val="24"/>
          <w:szCs w:val="24"/>
          <w:lang w:eastAsia="zh-CN"/>
        </w:rPr>
      </w:pPr>
      <w:r>
        <w:rPr>
          <w:rFonts w:asciiTheme="minorHAnsi" w:eastAsia="Times New Roman" w:hAnsiTheme="minorHAnsi" w:cstheme="minorHAnsi"/>
          <w:sz w:val="24"/>
          <w:szCs w:val="24"/>
          <w:lang w:eastAsia="zh-CN"/>
        </w:rPr>
        <w:br w:type="page"/>
      </w:r>
    </w:p>
    <w:p w14:paraId="59EB4F23" w14:textId="77777777" w:rsidR="003F0D1D" w:rsidRDefault="003F0D1D">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lastRenderedPageBreak/>
        <w:br w:type="page"/>
      </w:r>
    </w:p>
    <w:p w14:paraId="7B5DF08F" w14:textId="77777777" w:rsidR="005D00E2" w:rsidRPr="003F0D1D" w:rsidRDefault="005D00E2" w:rsidP="003F0D1D">
      <w:pPr>
        <w:rPr>
          <w:rFonts w:asciiTheme="minorHAnsi" w:eastAsia="Times New Roman" w:hAnsiTheme="minorHAnsi" w:cstheme="minorHAnsi" w:hint="eastAsia"/>
          <w:sz w:val="24"/>
          <w:szCs w:val="24"/>
          <w:lang w:eastAsia="zh-CN"/>
        </w:rPr>
        <w:sectPr w:rsidR="005D00E2" w:rsidRPr="003F0D1D" w:rsidSect="005D00E2">
          <w:headerReference w:type="default" r:id="rId11"/>
          <w:footerReference w:type="default" r:id="rId12"/>
          <w:headerReference w:type="first" r:id="rId13"/>
          <w:type w:val="continuous"/>
          <w:pgSz w:w="12240" w:h="15840"/>
          <w:pgMar w:top="1440" w:right="1440" w:bottom="1440" w:left="1440" w:header="432" w:footer="720" w:gutter="0"/>
          <w:cols w:space="720"/>
          <w:docGrid w:linePitch="360"/>
        </w:sectPr>
      </w:pPr>
    </w:p>
    <w:p w14:paraId="2659CCE1" w14:textId="63FC4FA3" w:rsidR="002F3B11" w:rsidRPr="00195891" w:rsidRDefault="008A6077" w:rsidP="00C81368">
      <w:pPr>
        <w:pStyle w:val="Heading-Main"/>
        <w:rPr>
          <w:rFonts w:asciiTheme="minorHAnsi" w:hAnsiTheme="minorHAnsi" w:cstheme="minorHAnsi"/>
        </w:rPr>
      </w:pPr>
      <w:r w:rsidRPr="00195891">
        <w:rPr>
          <w:rFonts w:asciiTheme="minorHAnsi" w:hAnsiTheme="minorHAnsi" w:cstheme="minorHAnsi"/>
        </w:rPr>
        <w:t>Abstract</w:t>
      </w:r>
    </w:p>
    <w:p w14:paraId="475DC170" w14:textId="786D6E59" w:rsidR="006350D9" w:rsidRPr="00FB3F9E" w:rsidRDefault="006350D9" w:rsidP="00DE3F91">
      <w:pPr>
        <w:pStyle w:val="Abstract"/>
        <w:rPr>
          <w:rFonts w:asciiTheme="minorHAnsi" w:hAnsiTheme="minorHAnsi" w:cstheme="minorHAnsi"/>
          <w:lang w:eastAsia="zh-CN"/>
        </w:rPr>
      </w:pPr>
      <w:r w:rsidRPr="006350D9">
        <w:rPr>
          <w:rFonts w:asciiTheme="minorHAnsi" w:hAnsiTheme="minorHAnsi" w:cstheme="minorHAnsi"/>
          <w:lang w:eastAsia="zh-CN"/>
        </w:rPr>
        <w:t xml:space="preserve">Wind farm power production reflects atmospheric variability integrated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enabling 10-m wind to characterize overall profile intensity across regimes. An </w:t>
      </w:r>
      <w:r w:rsidR="00C40F7E">
        <w:rPr>
          <w:rFonts w:asciiTheme="minorHAnsi" w:hAnsiTheme="minorHAnsi" w:cstheme="minorHAnsi" w:hint="eastAsia"/>
          <w:lang w:eastAsia="zh-CN"/>
        </w:rPr>
        <w:t>e</w:t>
      </w:r>
      <w:r w:rsidRPr="006350D9">
        <w:rPr>
          <w:rFonts w:asciiTheme="minorHAnsi" w:hAnsiTheme="minorHAnsi" w:cstheme="minorHAnsi"/>
          <w:lang w:eastAsia="zh-CN"/>
        </w:rPr>
        <w:t xml:space="preserve">xtended </w:t>
      </w:r>
      <w:r w:rsidR="00C40F7E">
        <w:rPr>
          <w:rFonts w:asciiTheme="minorHAnsi" w:hAnsiTheme="minorHAnsi" w:cstheme="minorHAnsi"/>
          <w:lang w:eastAsia="zh-CN"/>
        </w:rPr>
        <w:t>p</w:t>
      </w:r>
      <w:r w:rsidRPr="006350D9">
        <w:rPr>
          <w:rFonts w:asciiTheme="minorHAnsi" w:hAnsiTheme="minorHAnsi" w:cstheme="minorHAnsi"/>
          <w:lang w:eastAsia="zh-CN"/>
        </w:rPr>
        <w:t>rofile representation demonstrates consistent gains in observational power reconstruction (R² = 0.72 versus 0.61) and NWP-driven day-ahead forecasting, confirming its physical relevance. These results clarify how vertical wind structure governs farm-scale power variability and inform wind-to-power representation in operational forecasting.</w:t>
      </w:r>
    </w:p>
    <w:p w14:paraId="69A5DBFD" w14:textId="5331CD54" w:rsidR="00FC3EAC" w:rsidRPr="000A2813" w:rsidRDefault="00FC3EAC" w:rsidP="00DE3F91">
      <w:pPr>
        <w:pStyle w:val="Abstract"/>
        <w:rPr>
          <w:rFonts w:asciiTheme="minorHAnsi" w:hAnsiTheme="minorHAnsi" w:cstheme="minorHAnsi"/>
          <w:b/>
          <w:lang w:eastAsia="zh-CN"/>
        </w:rPr>
      </w:pPr>
      <w:r w:rsidRPr="000A2813">
        <w:rPr>
          <w:rFonts w:asciiTheme="minorHAnsi" w:hAnsiTheme="minorHAnsi" w:cstheme="minorHAnsi"/>
          <w:b/>
        </w:rPr>
        <w:t>Plain Language Summary</w:t>
      </w:r>
    </w:p>
    <w:p w14:paraId="3E1F40A2" w14:textId="5E8DE55D" w:rsidR="00FC3EAC" w:rsidRPr="00AB59A9" w:rsidRDefault="0043355E" w:rsidP="000D49B0">
      <w:pPr>
        <w:pStyle w:val="Abstract"/>
        <w:rPr>
          <w:rFonts w:asciiTheme="minorHAnsi" w:hAnsiTheme="minorHAnsi" w:cstheme="minorHAnsi"/>
          <w:lang w:eastAsia="zh-CN"/>
        </w:rPr>
      </w:pPr>
      <w:r w:rsidRPr="0043355E">
        <w:rPr>
          <w:rFonts w:asciiTheme="minorHAnsi" w:hAnsiTheme="minorHAnsi" w:cstheme="minorHAnsi"/>
          <w:lang w:eastAsia="zh-CN"/>
        </w:rPr>
        <w:t>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Using observations from a wind farm on flat terrain, we found that wind measured close to the ground, at just 10 meters, can be surprisingly informative in some situations.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sidRPr="0043355E">
        <w:rPr>
          <w:rFonts w:asciiTheme="minorHAnsi" w:hAnsiTheme="minorHAnsi" w:cstheme="minorHAnsi"/>
          <w:lang w:eastAsia="zh-CN"/>
        </w:rPr>
        <w:t>days time</w:t>
      </w:r>
      <w:proofErr w:type="spellEnd"/>
      <w:r w:rsidRPr="0043355E">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w:t>
      </w:r>
      <w:r w:rsidR="000D49B0" w:rsidRPr="000D49B0">
        <w:rPr>
          <w:rFonts w:asciiTheme="minorHAnsi" w:hAnsiTheme="minorHAnsi" w:cstheme="minorHAnsi"/>
          <w:lang w:eastAsia="zh-CN"/>
        </w:rPr>
        <w:t>These findings suggest that existing weather towers and surface observations near wind farms can be used more effectively, and may also help inform how observational networks are designed and used for wind energy applications.</w:t>
      </w:r>
      <w:r w:rsidR="00AB59A9">
        <w:rPr>
          <w:rFonts w:asciiTheme="minorHAnsi" w:hAnsiTheme="minorHAnsi" w:cstheme="minorHAnsi"/>
        </w:rPr>
        <w:br w:type="page"/>
      </w:r>
    </w:p>
    <w:p w14:paraId="16752E20" w14:textId="77777777" w:rsidR="002F3B11" w:rsidRPr="00850691" w:rsidRDefault="002F3B11" w:rsidP="00C81368">
      <w:pPr>
        <w:pStyle w:val="Heading-Main"/>
        <w:rPr>
          <w:rFonts w:asciiTheme="minorHAnsi" w:hAnsiTheme="minorHAnsi" w:cstheme="minorHAnsi"/>
        </w:rPr>
      </w:pPr>
      <w:bookmarkStart w:id="1" w:name="_Hlk221745210"/>
      <w:r w:rsidRPr="00850691">
        <w:rPr>
          <w:rFonts w:asciiTheme="minorHAnsi" w:hAnsiTheme="minorHAnsi" w:cstheme="minorHAnsi"/>
        </w:rPr>
        <w:lastRenderedPageBreak/>
        <w:t>1 Introduction</w:t>
      </w:r>
    </w:p>
    <w:p w14:paraId="62A89A53" w14:textId="1E10A03E" w:rsidR="002F3B11" w:rsidRDefault="007D1384" w:rsidP="002F3B11">
      <w:pPr>
        <w:pStyle w:val="Text"/>
        <w:rPr>
          <w:rFonts w:ascii="宋体" w:eastAsia="宋体" w:hAnsi="宋体" w:cstheme="minorHAnsi"/>
          <w:lang w:eastAsia="zh-CN"/>
        </w:rPr>
      </w:pPr>
      <w:bookmarkStart w:id="2" w:name="OLE_LINK1"/>
      <w:bookmarkStart w:id="3" w:name="OLE_LINK6"/>
      <w:r w:rsidRPr="007D1384">
        <w:rPr>
          <w:rFonts w:asciiTheme="minorHAnsi" w:hAnsiTheme="minorHAnsi" w:cstheme="minorHAnsi"/>
        </w:rPr>
        <w:t>Accurate day-ahead wind power forecasting is essential for power-system operation, electricity marke</w:t>
      </w:r>
      <w:bookmarkEnd w:id="2"/>
      <w:r w:rsidRPr="007D1384">
        <w:rPr>
          <w:rFonts w:asciiTheme="minorHAnsi" w:hAnsiTheme="minorHAnsi" w:cstheme="minorHAnsi"/>
        </w:rPr>
        <w:t xml:space="preserve">t, and the large-scale integration of variable renewable energy </w:t>
      </w:r>
      <w:r w:rsidR="00F620F9">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9C20B8">
        <w:rPr>
          <w:rFonts w:asciiTheme="minorHAnsi" w:hAnsiTheme="minorHAnsi" w:cstheme="minorHAnsi" w:hint="eastAsia"/>
        </w:rPr>
        <w:instrText>ﬁ</w:instrText>
      </w:r>
      <w:r w:rsidR="009C20B8">
        <w:rPr>
          <w:rFonts w:asciiTheme="minorHAnsi" w:hAnsiTheme="minorHAnsi" w:cstheme="minorHAnsi"/>
        </w:rPr>
        <w:instrText xml:space="preserve">ts of a more </w:instrText>
      </w:r>
      <w:r w:rsidR="009C20B8">
        <w:rPr>
          <w:rFonts w:asciiTheme="minorHAnsi" w:hAnsiTheme="minorHAnsi" w:cstheme="minorHAnsi" w:hint="eastAsia"/>
        </w:rPr>
        <w:instrText>ﬂ</w:instrText>
      </w:r>
      <w:r w:rsidR="009C20B8">
        <w:rPr>
          <w:rFonts w:asciiTheme="minorHAnsi" w:hAnsiTheme="minorHAnsi" w:cstheme="minorHAnsi"/>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9C20B8">
        <w:rPr>
          <w:rFonts w:asciiTheme="minorHAnsi" w:hAnsiTheme="minorHAnsi" w:cstheme="minorHAnsi" w:hint="eastAsia"/>
        </w:rPr>
        <w:instrText>ﬁ</w:instrText>
      </w:r>
      <w:r w:rsidR="009C20B8">
        <w:rPr>
          <w:rFonts w:asciiTheme="minorHAnsi" w:hAnsiTheme="minorHAnsi" w:cstheme="minorHAnsi"/>
        </w:rPr>
        <w:instrText>cit production could be traded 2 h before delivery could bene</w:instrText>
      </w:r>
      <w:r w:rsidR="009C20B8">
        <w:rPr>
          <w:rFonts w:asciiTheme="minorHAnsi" w:hAnsiTheme="minorHAnsi" w:cstheme="minorHAnsi" w:hint="eastAsia"/>
        </w:rPr>
        <w:instrText>ﬁ</w:instrText>
      </w:r>
      <w:r w:rsidR="009C20B8">
        <w:rPr>
          <w:rFonts w:asciiTheme="minorHAnsi" w:hAnsiTheme="minorHAnsi" w:cstheme="minorHAnsi"/>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F620F9">
        <w:rPr>
          <w:rFonts w:asciiTheme="minorHAnsi" w:hAnsiTheme="minorHAnsi" w:cstheme="minorHAnsi"/>
        </w:rPr>
        <w:fldChar w:fldCharType="separate"/>
      </w:r>
      <w:r w:rsidR="00F620F9" w:rsidRPr="00F620F9">
        <w:rPr>
          <w:rFonts w:ascii="Calibri" w:hAnsi="Calibri" w:cs="Calibri"/>
        </w:rPr>
        <w:t>(Holttinen, 2005; Mahoney et al., 2012)</w:t>
      </w:r>
      <w:r w:rsidR="00F620F9">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Forecasting performance has been substantially advanced in recent years, including through the development of deep learning models</w:t>
      </w:r>
      <w:r w:rsidRPr="007D1384">
        <w:rPr>
          <w:rFonts w:asciiTheme="minorHAnsi" w:hAnsiTheme="minorHAnsi" w:cstheme="minorHAnsi"/>
        </w:rPr>
        <w:t xml:space="preserve"> </w:t>
      </w:r>
      <w:r w:rsidR="00D81797">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{"citationID":"LyguxqQn","properties":{"formattedCitation":"(Liu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(Liu &amp; Zhang, 2024)</w:t>
      </w:r>
      <w:r w:rsidR="00D81797">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and depends not only on model capability but fundamentally on the physical relevance of meteorological inputs</w:t>
      </w:r>
      <w:r w:rsidRPr="007D1384">
        <w:rPr>
          <w:rFonts w:asciiTheme="minorHAnsi" w:hAnsiTheme="minorHAnsi" w:cstheme="minorHAnsi"/>
        </w:rPr>
        <w:t xml:space="preserve"> </w:t>
      </w:r>
      <w:r w:rsidR="00D81797">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{"citationID":"FWtGnh6f","properties":{"formattedCitation":"(Optis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(Optis &amp; Perr-Sauer, 2019)</w:t>
      </w:r>
      <w:r w:rsidR="00D81797">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 xml:space="preserve">Previous research has largely focused on model development, including architecture innovation </w:t>
      </w:r>
      <w:r w:rsidR="00D81797">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{"citationID":"ZfOgO1EM","properties":{"formattedCitation":"(Bentsen et al., 2023)","plainCitation":"(Bentsen et al., 2023)","noteIndex":0},"citationItems":[{"id":615,"uris":["http://zotero.org/users/14274501/items/VEWYXDBV"],"itemData":{"id":615,"type":"article-journal","container-title":"Applied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(Bentsen et al., 2023)</w:t>
      </w:r>
      <w:r w:rsidR="00D81797">
        <w:rPr>
          <w:rFonts w:asciiTheme="minorHAnsi" w:hAnsiTheme="minorHAnsi" w:cstheme="minorHAnsi"/>
        </w:rPr>
        <w:fldChar w:fldCharType="end"/>
      </w:r>
      <w:r w:rsidRPr="007D1384">
        <w:rPr>
          <w:rFonts w:asciiTheme="minorHAnsi" w:hAnsiTheme="minorHAnsi" w:cstheme="minorHAnsi"/>
        </w:rPr>
        <w:t>, hyperparameter optimization</w:t>
      </w:r>
      <w:r w:rsidR="004B6870">
        <w:rPr>
          <w:rFonts w:asciiTheme="minorHAnsi" w:hAnsiTheme="minorHAnsi" w:cstheme="minorHAnsi" w:hint="eastAsia"/>
          <w:lang w:eastAsia="zh-CN"/>
        </w:rPr>
        <w:t xml:space="preserve"> </w:t>
      </w:r>
      <w:r w:rsidR="00D81797">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{"citationID":"OXzNNS3P","properties":{"formattedCitation":"(Hanifi et al., 2024)","plainCitation":"(Hanifi et al., 2024)","noteIndex":0},"citationItems":[{"id":1667,"uris":["http://zotero.org/users/14274501/items/WDL6N3XL"],"itemData":{"id":1667,"type":"article-journal","container-title":"Renewable Energy","DOI":"10.1016/j.renene.2023.119700","ISSN":"0960-1481","journalAbbreviation":"Renewable Energy","language":"en","page":"119700","publisher":"Elsevier","title":"Advanced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(Hanifi et al., 2024)</w:t>
      </w:r>
      <w:r w:rsidR="00D81797">
        <w:rPr>
          <w:rFonts w:asciiTheme="minorHAnsi" w:hAnsiTheme="minorHAnsi" w:cstheme="minorHAnsi"/>
        </w:rPr>
        <w:fldChar w:fldCharType="end"/>
      </w:r>
      <w:r w:rsidRPr="007D1384">
        <w:rPr>
          <w:rFonts w:asciiTheme="minorHAnsi" w:hAnsiTheme="minorHAnsi" w:cstheme="minorHAnsi"/>
        </w:rPr>
        <w:t>, and po</w:t>
      </w:r>
      <w:r w:rsidR="00D81797">
        <w:rPr>
          <w:rFonts w:asciiTheme="minorHAnsi" w:hAnsiTheme="minorHAnsi" w:cstheme="minorHAnsi"/>
        </w:rPr>
        <w:t xml:space="preserve">st-processing </w:t>
      </w:r>
      <w:r w:rsidR="00BC0D80">
        <w:rPr>
          <w:rFonts w:asciiTheme="minorHAnsi" w:hAnsiTheme="minorHAnsi" w:cstheme="minorHAnsi"/>
        </w:rPr>
        <w:fldChar w:fldCharType="begin"/>
      </w:r>
      <w:r w:rsidR="00BC0D80">
        <w:rPr>
          <w:rFonts w:asciiTheme="minorHAnsi" w:hAnsiTheme="minorHAnsi" w:cstheme="minorHAnsi"/>
        </w:rPr>
        <w:instrText xml:space="preserve"> ADDIN ZOTERO_ITEM CSL_CITATION {"citationID":"G6ffxFFX","properties":{"formattedCitation":"(Xia, Luo, Li, Chang, et al., 2026)","plainCitation":"(Xia, Luo, Li, Chang, et al., 2026)","noteIndex":0},"citationItems":[{"id":1810,"uris":["http://zotero.org/users/14274501/items/ZCWVXAUW"],"itemData":{"id":1810,"type":"article-journal","abstract":"Accurate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sidR="00BC0D80">
        <w:rPr>
          <w:rFonts w:asciiTheme="minorHAnsi" w:hAnsiTheme="minorHAnsi" w:cstheme="minorHAnsi"/>
        </w:rPr>
        <w:fldChar w:fldCharType="separate"/>
      </w:r>
      <w:r w:rsidR="00BC0D80">
        <w:rPr>
          <w:rFonts w:asciiTheme="minorHAnsi" w:hAnsiTheme="minorHAnsi" w:cstheme="minorHAnsi"/>
          <w:noProof/>
        </w:rPr>
        <w:t>(Xia, Luo, Li, Chang, et al., 2026)</w:t>
      </w:r>
      <w:r w:rsidR="00BC0D80">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 xml:space="preserve">In comparison, input feature selection has received less mechanistic consideration. </w:t>
      </w:r>
      <w:r w:rsidR="00B94BEA" w:rsidRPr="00B94BEA">
        <w:rPr>
          <w:rFonts w:asciiTheme="minorHAnsi" w:hAnsiTheme="minorHAnsi" w:cstheme="minorHAnsi"/>
        </w:rPr>
        <w:t>Consequently, although the atmospheric physics governing farm-scale power production is increasingly understood, this knowledge, particularly regarding vertical wind structure as reflected in commonly available multi-height observations, has not been effectively translated into feature selection for forecasting.</w:t>
      </w:r>
    </w:p>
    <w:p w14:paraId="3E6464BB" w14:textId="6EF41480" w:rsidR="007D1384" w:rsidRDefault="009F684F" w:rsidP="002F3B11">
      <w:pPr>
        <w:pStyle w:val="Text"/>
        <w:rPr>
          <w:rFonts w:ascii="Calibri" w:eastAsia="宋体" w:hAnsi="Calibri" w:cs="Calibri"/>
          <w:color w:val="000000"/>
          <w:lang w:eastAsia="zh-CN"/>
        </w:rPr>
      </w:pPr>
      <w:bookmarkStart w:id="4" w:name="_Hlk221716200"/>
      <w:bookmarkEnd w:id="3"/>
      <w:r w:rsidRPr="009F684F">
        <w:rPr>
          <w:rFonts w:ascii="Calibri" w:eastAsia="宋体" w:hAnsi="Calibri" w:cs="Calibri"/>
          <w:color w:val="000000"/>
        </w:rPr>
        <w:t>Traditionally, wind speed at hub height has been the primary input for wind power forecasting</w:t>
      </w:r>
      <w:r w:rsidR="007D1384" w:rsidRPr="00EC629C">
        <w:rPr>
          <w:rFonts w:ascii="Calibri" w:eastAsia="宋体" w:hAnsi="Calibri" w:cs="Calibri"/>
          <w:color w:val="000000"/>
        </w:rPr>
        <w:t xml:space="preserve"> </w:t>
      </w:r>
      <w:r w:rsidR="007D1384" w:rsidRPr="00FD3B7A">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9C20B8">
        <w:rPr>
          <w:rFonts w:eastAsia="宋体"/>
          <w:color w:val="000000"/>
        </w:rPr>
        <w:instrText>ﬁ</w:instrText>
      </w:r>
      <w:r w:rsidR="009C20B8">
        <w:rPr>
          <w:rFonts w:ascii="Calibri" w:eastAsia="宋体" w:hAnsi="Calibri" w:cs="Calibri"/>
          <w:color w:val="000000"/>
        </w:rPr>
        <w:instrText xml:space="preserve">c spatial location and the layout of its neighboring correlated wind turbines. Then, spatial correlation matrix of wind speed is derived by discretizing differential equation at each wind turbine using a </w:instrText>
      </w:r>
      <w:r w:rsidR="009C20B8">
        <w:rPr>
          <w:rFonts w:eastAsia="宋体"/>
          <w:color w:val="000000"/>
        </w:rPr>
        <w:instrText>ﬁ</w:instrText>
      </w:r>
      <w:r w:rsidR="009C20B8">
        <w:rPr>
          <w:rFonts w:ascii="Calibri" w:eastAsia="宋体" w:hAnsi="Calibri" w:cs="Calibri"/>
          <w:color w:val="000000"/>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1666,"uris":["http://zotero.org/users/14274501/items/2BE8NPN6"],"itemData":{"id":1666,"type":"article-journal","container-title":"Applied Energy","DOI":"10.1016/j.apenergy.2023.121554","ISSN":"0306-2619","journalAbbreviation":"Appl. Energy","language":"en","page":"121554","publisher":"Elsevier","title":"Wind farm layout and hub height optimization with a novel wake model","volume":"348","author":[{"family":"Sun","given":"Haiying"},{"family":"Yang","given":"Hongxing"}],"issued":{"date-parts":[["2023"]]}}}],"schema":"https://github.com/citation-style-language/schema/raw/master/csl-citation.json"} </w:instrText>
      </w:r>
      <w:r w:rsidR="007D1384" w:rsidRPr="00FD3B7A">
        <w:rPr>
          <w:rFonts w:ascii="Calibri" w:eastAsia="宋体" w:hAnsi="Calibri" w:cs="Calibri"/>
          <w:color w:val="000000"/>
        </w:rPr>
        <w:fldChar w:fldCharType="separate"/>
      </w:r>
      <w:r w:rsidR="007D1384" w:rsidRPr="007F3284">
        <w:rPr>
          <w:rFonts w:ascii="Calibri" w:hAnsi="Calibri" w:cs="Calibri"/>
        </w:rPr>
        <w:t>(Mahoney et al., 2012; Ye et al., 2017; Che et al., 2022; Sun &amp; Yang, 2023)</w:t>
      </w:r>
      <w:r w:rsidR="007D1384" w:rsidRPr="00FD3B7A">
        <w:rPr>
          <w:rFonts w:ascii="Calibri" w:eastAsia="宋体" w:hAnsi="Calibri" w:cs="Calibri"/>
          <w:color w:val="000000"/>
        </w:rPr>
        <w:fldChar w:fldCharType="end"/>
      </w:r>
      <w:r w:rsidR="00043EB4" w:rsidRPr="00043EB4">
        <w:rPr>
          <w:rFonts w:ascii="Calibri" w:eastAsia="宋体" w:hAnsi="Calibri" w:cs="Calibri"/>
          <w:color w:val="000000"/>
          <w:lang w:eastAsia="zh-CN"/>
        </w:rPr>
        <w:t>,</w:t>
      </w:r>
      <w:r w:rsidR="00E22C8A">
        <w:rPr>
          <w:rFonts w:ascii="Calibri" w:eastAsia="宋体" w:hAnsi="Calibri" w:cs="Calibri" w:hint="eastAsia"/>
          <w:color w:val="000000"/>
          <w:lang w:eastAsia="zh-CN"/>
        </w:rPr>
        <w:t xml:space="preserve"> </w:t>
      </w:r>
      <w:r w:rsidR="00043EB4" w:rsidRPr="00043EB4">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sidR="007D1384">
        <w:rPr>
          <w:rFonts w:ascii="Calibri" w:eastAsia="宋体" w:hAnsi="Calibri" w:cs="Calibri" w:hint="eastAsia"/>
          <w:color w:val="000000"/>
        </w:rPr>
        <w:t xml:space="preserve"> </w:t>
      </w:r>
      <w:r w:rsidR="007D1384">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{"citationID":"QuzhfntJ","properties":{"formattedCitation":"(Turbines\\uc0\\u8212{}Part, 2005)","plainCitation":"(Turbines—Part, 2005)","noteIndex":0},"citationItems":[{"id":1509,"uris":["http://zotero.org/users/14274501/items/3X2LALHE","http://zotero.org/users/14274501/items/G3XY39BG"],"itemData":{"id":1509,"type":"article-journal","container-title":"British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7D1384">
        <w:rPr>
          <w:rFonts w:ascii="Calibri" w:eastAsia="宋体" w:hAnsi="Calibri" w:cs="Calibri"/>
          <w:color w:val="000000"/>
        </w:rPr>
        <w:fldChar w:fldCharType="separate"/>
      </w:r>
      <w:r w:rsidR="007D1384" w:rsidRPr="00401647">
        <w:rPr>
          <w:rFonts w:ascii="Calibri" w:hAnsi="Calibri" w:cs="Calibri"/>
          <w:color w:val="000000"/>
        </w:rPr>
        <w:t>(Turbines—Part, 2005)</w:t>
      </w:r>
      <w:r w:rsidR="007D1384">
        <w:rPr>
          <w:rFonts w:ascii="Calibri" w:eastAsia="宋体" w:hAnsi="Calibri" w:cs="Calibri"/>
          <w:color w:val="000000"/>
        </w:rPr>
        <w:fldChar w:fldCharType="end"/>
      </w:r>
      <w:r w:rsidR="00043EB4">
        <w:rPr>
          <w:rFonts w:ascii="Calibri" w:eastAsia="宋体" w:hAnsi="Calibri" w:cs="Calibri"/>
          <w:color w:val="000000"/>
        </w:rPr>
        <w:t>.</w:t>
      </w:r>
      <w:r w:rsidR="007D1384">
        <w:rPr>
          <w:rFonts w:ascii="Calibri" w:eastAsia="宋体" w:hAnsi="Calibri" w:cs="Calibri" w:hint="eastAsia"/>
          <w:color w:val="000000"/>
        </w:rPr>
        <w:t xml:space="preserve"> </w:t>
      </w:r>
      <w:r w:rsidR="0060601C" w:rsidRPr="0060601C">
        <w:rPr>
          <w:rFonts w:ascii="Calibri" w:eastAsia="宋体" w:hAnsi="Calibri" w:cs="Calibri"/>
          <w:color w:val="000000"/>
        </w:rPr>
        <w:t>This practice is further supported by the strong correlation between hub-height wind speed and single-turbine power</w:t>
      </w:r>
      <w:r w:rsidR="007D1384">
        <w:rPr>
          <w:rFonts w:ascii="Calibri" w:eastAsia="宋体" w:hAnsi="Calibri" w:cs="Calibri" w:hint="eastAsia"/>
          <w:color w:val="000000"/>
        </w:rPr>
        <w:t xml:space="preserve"> </w:t>
      </w:r>
      <w:r w:rsidR="007D1384">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{"citationID":"xda80eVG","properties":{"formattedCitation":"(Clifton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9C20B8">
        <w:rPr>
          <w:rFonts w:eastAsia="宋体"/>
          <w:color w:val="000000"/>
        </w:rPr>
        <w:instrText>ﬂ</w:instrText>
      </w:r>
      <w:r w:rsidR="009C20B8">
        <w:rPr>
          <w:rFonts w:ascii="Calibri" w:eastAsia="宋体" w:hAnsi="Calibri" w:cs="Calibri"/>
          <w:color w:val="000000"/>
        </w:rPr>
        <w:instrText>uences on power output. Most signi</w:instrText>
      </w:r>
      <w:r w:rsidR="009C20B8">
        <w:rPr>
          <w:rFonts w:eastAsia="宋体"/>
          <w:color w:val="000000"/>
        </w:rPr>
        <w:instrText>ﬁ</w:instrText>
      </w:r>
      <w:r w:rsidR="009C20B8">
        <w:rPr>
          <w:rFonts w:ascii="Calibri" w:eastAsia="宋体" w:hAnsi="Calibri" w:cs="Calibri"/>
          <w:color w:val="000000"/>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9C20B8">
        <w:rPr>
          <w:rFonts w:eastAsia="宋体"/>
          <w:color w:val="000000"/>
        </w:rPr>
        <w:instrText>ﬁ</w:instrText>
      </w:r>
      <w:r w:rsidR="009C20B8">
        <w:rPr>
          <w:rFonts w:ascii="Calibri" w:eastAsia="宋体" w:hAnsi="Calibri" w:cs="Calibri"/>
          <w:color w:val="000000"/>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7D1384">
        <w:rPr>
          <w:rFonts w:ascii="Calibri" w:eastAsia="宋体" w:hAnsi="Calibri" w:cs="Calibri"/>
          <w:color w:val="000000"/>
        </w:rPr>
        <w:fldChar w:fldCharType="separate"/>
      </w:r>
      <w:r w:rsidR="007D1384">
        <w:rPr>
          <w:rFonts w:ascii="Calibri" w:eastAsia="宋体" w:hAnsi="Calibri" w:cs="Calibri"/>
          <w:noProof/>
          <w:color w:val="000000"/>
        </w:rPr>
        <w:t>(Clifton et al., 2013)</w:t>
      </w:r>
      <w:r w:rsidR="007D1384">
        <w:rPr>
          <w:rFonts w:ascii="Calibri" w:eastAsia="宋体" w:hAnsi="Calibri" w:cs="Calibri"/>
          <w:color w:val="000000"/>
        </w:rPr>
        <w:fldChar w:fldCharType="end"/>
      </w:r>
      <w:r w:rsidR="007D1384" w:rsidRPr="00EC629C">
        <w:rPr>
          <w:rFonts w:ascii="Calibri" w:eastAsia="宋体" w:hAnsi="Calibri" w:cs="Calibri"/>
          <w:color w:val="000000"/>
        </w:rPr>
        <w:t xml:space="preserve">. </w:t>
      </w:r>
      <w:bookmarkStart w:id="5" w:name="OLE_LINK5"/>
      <w:r w:rsidR="000070C6" w:rsidRPr="000070C6">
        <w:rPr>
          <w:rFonts w:ascii="Calibri" w:eastAsia="宋体" w:hAnsi="Calibri" w:cs="Calibri"/>
          <w:color w:val="000000"/>
        </w:rPr>
        <w:t xml:space="preserve">At the wind farm scale, however, this simplification becomes </w:t>
      </w:r>
      <w:r w:rsidR="00793D97" w:rsidRPr="00793D97">
        <w:rPr>
          <w:rFonts w:ascii="Calibri" w:eastAsia="宋体" w:hAnsi="Calibri" w:cs="Calibri"/>
          <w:color w:val="000000"/>
        </w:rPr>
        <w:t>insufficient</w:t>
      </w:r>
      <w:r w:rsidR="000070C6" w:rsidRPr="000070C6">
        <w:rPr>
          <w:rFonts w:ascii="Calibri" w:eastAsia="宋体" w:hAnsi="Calibri" w:cs="Calibri"/>
          <w:color w:val="000000"/>
        </w:rPr>
        <w:t>.</w:t>
      </w:r>
      <w:r w:rsidR="007D1384" w:rsidRPr="00EC629C">
        <w:rPr>
          <w:rFonts w:ascii="Calibri" w:eastAsia="宋体" w:hAnsi="Calibri" w:cs="Calibri"/>
          <w:color w:val="000000"/>
        </w:rPr>
        <w:t xml:space="preserve"> </w:t>
      </w:r>
      <w:r w:rsidR="0060601C" w:rsidRPr="0060601C">
        <w:rPr>
          <w:rFonts w:ascii="Calibri" w:eastAsia="宋体" w:hAnsi="Calibri" w:cs="Calibri"/>
          <w:color w:val="000000"/>
        </w:rPr>
        <w:t>Because wind farms operate within a boundary layer characterized by pronounced spatial heterogeneity, forecasting based solely on hub-height wind speed often provides an incomplete representation of farm-scale inflow variability</w:t>
      </w:r>
      <w:r w:rsidR="0060601C">
        <w:rPr>
          <w:rFonts w:ascii="Calibri" w:eastAsia="宋体" w:hAnsi="Calibri" w:cs="Calibri"/>
          <w:color w:val="000000"/>
        </w:rPr>
        <w:t xml:space="preserve"> </w:t>
      </w:r>
      <w:r w:rsidR="0060601C">
        <w:rPr>
          <w:rFonts w:ascii="Calibri" w:eastAsia="宋体" w:hAnsi="Calibri" w:cs="Calibri"/>
          <w:color w:val="000000"/>
        </w:rPr>
        <w:fldChar w:fldCharType="begin"/>
      </w:r>
      <w:r w:rsidR="0060601C">
        <w:rPr>
          <w:rFonts w:ascii="Calibri" w:eastAsia="宋体" w:hAnsi="Calibri" w:cs="Calibri"/>
          <w:color w:val="000000"/>
        </w:rPr>
        <w:instrText xml:space="preserve"> ADDIN ZOTERO_ITEM CSL_CITATION {"citationID":"d0hmDyvN","properties":{"formattedCitation":"(Buhan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60601C">
        <w:rPr>
          <w:rFonts w:eastAsia="宋体"/>
          <w:color w:val="000000"/>
        </w:rPr>
        <w:instrText>ﬁ</w:instrText>
      </w:r>
      <w:r w:rsidR="0060601C">
        <w:rPr>
          <w:rFonts w:ascii="Calibri" w:eastAsia="宋体" w:hAnsi="Calibri" w:cs="Calibri"/>
          <w:color w:val="000000"/>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60601C">
        <w:rPr>
          <w:rFonts w:eastAsia="宋体"/>
          <w:color w:val="000000"/>
        </w:rPr>
        <w:instrText>ﬁ</w:instrText>
      </w:r>
      <w:r w:rsidR="0060601C">
        <w:rPr>
          <w:rFonts w:ascii="Calibri" w:eastAsia="宋体" w:hAnsi="Calibri" w:cs="Calibri"/>
          <w:color w:val="000000"/>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60601C">
        <w:rPr>
          <w:rFonts w:eastAsia="宋体"/>
          <w:color w:val="000000"/>
        </w:rPr>
        <w:instrText>ﬁ</w:instrText>
      </w:r>
      <w:r w:rsidR="0060601C">
        <w:rPr>
          <w:rFonts w:ascii="Calibri" w:eastAsia="宋体" w:hAnsi="Calibri" w:cs="Calibri"/>
          <w:color w:val="000000"/>
        </w:rPr>
        <w:instrText xml:space="preserve">nal 48-h-ahead wind-electric power forecasts. The proposed model has been successfully applied to seven WPPs with installed capacities in the range from 10 to </w:instrText>
      </w:r>
      <w:r w:rsidR="0060601C">
        <w:rPr>
          <w:rFonts w:ascii="Cambria Math" w:eastAsia="宋体" w:hAnsi="Cambria Math" w:cs="Cambria Math"/>
          <w:color w:val="000000"/>
        </w:rPr>
        <w:instrText>∼</w:instrText>
      </w:r>
      <w:r w:rsidR="0060601C">
        <w:rPr>
          <w:rFonts w:ascii="Calibri" w:eastAsia="宋体" w:hAnsi="Calibri" w:cs="Calibri"/>
          <w:color w:val="000000"/>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60601C">
        <w:rPr>
          <w:rFonts w:ascii="Calibri" w:eastAsia="宋体" w:hAnsi="Calibri" w:cs="Calibri"/>
          <w:color w:val="000000"/>
        </w:rPr>
        <w:fldChar w:fldCharType="separate"/>
      </w:r>
      <w:r w:rsidR="0060601C">
        <w:rPr>
          <w:rFonts w:ascii="Calibri" w:eastAsia="宋体" w:hAnsi="Calibri" w:cs="Calibri"/>
          <w:noProof/>
          <w:color w:val="000000"/>
        </w:rPr>
        <w:t>(Buhan et al., 2016)</w:t>
      </w:r>
      <w:r w:rsidR="0060601C">
        <w:rPr>
          <w:rFonts w:ascii="Calibri" w:eastAsia="宋体" w:hAnsi="Calibri" w:cs="Calibri"/>
          <w:color w:val="000000"/>
        </w:rPr>
        <w:fldChar w:fldCharType="end"/>
      </w:r>
      <w:bookmarkEnd w:id="5"/>
      <w:r w:rsidR="0060601C">
        <w:rPr>
          <w:rFonts w:ascii="Calibri" w:eastAsia="宋体" w:hAnsi="Calibri" w:cs="Calibri"/>
          <w:color w:val="000000"/>
        </w:rPr>
        <w:t xml:space="preserve">. </w:t>
      </w:r>
      <w:r w:rsidR="007D1384" w:rsidRPr="003B2E39">
        <w:rPr>
          <w:rFonts w:ascii="Calibri" w:eastAsia="宋体" w:hAnsi="Calibri" w:cs="Calibri"/>
          <w:color w:val="000000"/>
        </w:rPr>
        <w:t xml:space="preserve">Physical studies have demonstrated that rotor-equivalent wind speed (REWS) </w:t>
      </w:r>
      <w:r w:rsidR="007D1384" w:rsidRPr="003B2E39">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{"citationID":"cMMzP9Nc","properties":{"formattedCitation":"(Wagner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9C20B8">
        <w:rPr>
          <w:rFonts w:ascii="Calibri" w:eastAsia="宋体" w:hAnsi="Calibri" w:cs="Calibri" w:hint="eastAsia"/>
          <w:color w:val="000000"/>
        </w:rPr>
        <w:instrText>‐</w:instrText>
      </w:r>
      <w:r w:rsidR="009C20B8">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sidR="009C20B8">
        <w:rPr>
          <w:rFonts w:ascii="Calibri" w:eastAsia="宋体" w:hAnsi="Calibri" w:cs="Calibri" w:hint="eastAsia"/>
          <w:color w:val="000000"/>
        </w:rPr>
        <w:instrText>‐</w:instrText>
      </w:r>
      <w:r w:rsidR="009C20B8">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9C20B8">
        <w:rPr>
          <w:rFonts w:ascii="Calibri" w:eastAsia="宋体" w:hAnsi="Calibri" w:cs="Calibri" w:hint="eastAsia"/>
          <w:color w:val="000000"/>
        </w:rPr>
        <w:instrText>ount. Electrical power is found to correlate significantly better to the equivalent wind speed than to the single point hub</w:instrText>
      </w:r>
      <w:r w:rsidR="009C20B8">
        <w:rPr>
          <w:rFonts w:ascii="Calibri" w:eastAsia="宋体" w:hAnsi="Calibri" w:cs="Calibri" w:hint="eastAsia"/>
          <w:color w:val="000000"/>
        </w:rPr>
        <w:instrText>‐</w:instrText>
      </w:r>
      <w:r w:rsidR="009C20B8">
        <w:rPr>
          <w:rFonts w:ascii="Calibri" w:eastAsia="宋体" w:hAnsi="Calibri" w:cs="Calibri" w:hint="eastAsia"/>
          <w:color w:val="000000"/>
        </w:rPr>
        <w:instrText>height wind speed. Copyright © 2008 John Wiley &amp; Sons, Ltd.","container-title":"Wind Energy","DOI":"10.1002/we.297","ISSN":"1095-42</w:instrText>
      </w:r>
      <w:r w:rsidR="009C20B8">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7D1384" w:rsidRPr="003B2E39">
        <w:rPr>
          <w:rFonts w:ascii="Calibri" w:eastAsia="宋体" w:hAnsi="Calibri" w:cs="Calibri"/>
          <w:color w:val="000000"/>
        </w:rPr>
        <w:fldChar w:fldCharType="separate"/>
      </w:r>
      <w:r w:rsidR="007D1384" w:rsidRPr="003B2E39">
        <w:rPr>
          <w:rFonts w:ascii="Calibri" w:hAnsi="Calibri" w:cs="Calibri"/>
        </w:rPr>
        <w:t>(Wagner et al., 2009)</w:t>
      </w:r>
      <w:r w:rsidR="007D1384" w:rsidRPr="003B2E39">
        <w:rPr>
          <w:rFonts w:ascii="Calibri" w:eastAsia="宋体" w:hAnsi="Calibri" w:cs="Calibri"/>
          <w:color w:val="000000"/>
        </w:rPr>
        <w:fldChar w:fldCharType="end"/>
      </w:r>
      <w:r w:rsidR="007D1384" w:rsidRPr="003B2E39">
        <w:rPr>
          <w:rFonts w:ascii="Calibri" w:eastAsia="宋体" w:hAnsi="Calibri" w:cs="Calibri" w:hint="eastAsia"/>
          <w:color w:val="000000"/>
        </w:rPr>
        <w:t xml:space="preserve">, which </w:t>
      </w:r>
      <w:r w:rsidR="003E013E" w:rsidRPr="003E013E">
        <w:rPr>
          <w:rFonts w:ascii="Calibri" w:eastAsia="宋体" w:hAnsi="Calibri" w:cs="Calibri"/>
          <w:color w:val="000000"/>
        </w:rPr>
        <w:t>integrates wind speeds across the rotor-swept layer</w:t>
      </w:r>
      <w:r w:rsidR="003E013E">
        <w:rPr>
          <w:rFonts w:ascii="Calibri" w:eastAsia="宋体" w:hAnsi="Calibri" w:cs="Calibri"/>
          <w:color w:val="000000"/>
          <w:lang w:eastAsia="zh-CN"/>
        </w:rPr>
        <w:t>,</w:t>
      </w:r>
      <w:r w:rsidR="007D1384" w:rsidRPr="003B2E39">
        <w:rPr>
          <w:rFonts w:ascii="Calibri" w:eastAsia="宋体" w:hAnsi="Calibri" w:cs="Calibri" w:hint="eastAsia"/>
          <w:color w:val="000000"/>
        </w:rPr>
        <w:t xml:space="preserve"> </w:t>
      </w:r>
      <w:r w:rsidR="007D1384" w:rsidRPr="003B2E39">
        <w:rPr>
          <w:rFonts w:ascii="Calibri" w:eastAsia="宋体" w:hAnsi="Calibri" w:cs="Calibri"/>
          <w:color w:val="000000"/>
        </w:rPr>
        <w:t>outperforms single-</w:t>
      </w:r>
      <w:r w:rsidR="007D1384" w:rsidRPr="003B2E39">
        <w:rPr>
          <w:rFonts w:ascii="Calibri" w:eastAsia="宋体" w:hAnsi="Calibri" w:cs="Calibri" w:hint="eastAsia"/>
          <w:color w:val="000000"/>
        </w:rPr>
        <w:t>height</w:t>
      </w:r>
      <w:r w:rsidR="007D1384" w:rsidRPr="003B2E39">
        <w:rPr>
          <w:rFonts w:ascii="Calibri" w:eastAsia="宋体" w:hAnsi="Calibri" w:cs="Calibri"/>
          <w:color w:val="000000"/>
        </w:rPr>
        <w:t xml:space="preserve"> measurements</w:t>
      </w:r>
      <w:r w:rsidR="007D1384" w:rsidRPr="003B2E39">
        <w:rPr>
          <w:rFonts w:ascii="Calibri" w:eastAsia="宋体" w:hAnsi="Calibri" w:cs="Calibri" w:hint="eastAsia"/>
          <w:color w:val="000000"/>
        </w:rPr>
        <w:t xml:space="preserve"> in forecasting farm-scale power</w:t>
      </w:r>
      <w:r w:rsidR="007D1384" w:rsidRPr="003B2E39">
        <w:rPr>
          <w:rFonts w:ascii="Calibri" w:eastAsia="宋体" w:hAnsi="Calibri" w:cs="Calibri"/>
          <w:color w:val="000000"/>
        </w:rPr>
        <w:t xml:space="preserve"> </w:t>
      </w:r>
      <w:r w:rsidR="007D1384" w:rsidRPr="003B2E39">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{"citationID":"ZCg05g8F","properties":{"formattedCitation":"(2022)","plainCitation":"(2022)","dontUpdate":true,"noteIndex":0},"citationItems":[{"id":1650,"uris":["http://zotero.org/users/14274501/items/45YLP2JC"],"itemData":{"id":1650,"type":"article-journal","abstract":"To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9C20B8">
        <w:rPr>
          <w:rFonts w:eastAsia="宋体"/>
          <w:color w:val="000000"/>
        </w:rPr>
        <w:instrText>ﬁ</w:instrText>
      </w:r>
      <w:r w:rsidR="009C20B8">
        <w:rPr>
          <w:rFonts w:ascii="Calibri" w:eastAsia="宋体" w:hAnsi="Calibri" w:cs="Calibri"/>
          <w:color w:val="000000"/>
        </w:rPr>
        <w:instrText>les and meteorological characteristics to be able to predict power responses according to physical patterns. The decision tree model was trained for four vertical wind pro</w:instrText>
      </w:r>
      <w:r w:rsidR="009C20B8">
        <w:rPr>
          <w:rFonts w:eastAsia="宋体"/>
          <w:color w:val="000000"/>
        </w:rPr>
        <w:instrText>ﬁ</w:instrText>
      </w:r>
      <w:r w:rsidR="009C20B8">
        <w:rPr>
          <w:rFonts w:ascii="Calibri" w:eastAsia="宋体" w:hAnsi="Calibri" w:cs="Calibri"/>
          <w:color w:val="000000"/>
        </w:rPr>
        <w:instrText>le classi</w:instrText>
      </w:r>
      <w:r w:rsidR="009C20B8">
        <w:rPr>
          <w:rFonts w:eastAsia="宋体"/>
          <w:color w:val="000000"/>
        </w:rPr>
        <w:instrText>ﬁ</w:instrText>
      </w:r>
      <w:r w:rsidR="009C20B8">
        <w:rPr>
          <w:rFonts w:ascii="Calibri" w:eastAsia="宋体" w:hAnsi="Calibri" w:cs="Calibri"/>
          <w:color w:val="000000"/>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9C20B8">
        <w:rPr>
          <w:rFonts w:eastAsia="宋体"/>
          <w:color w:val="000000"/>
        </w:rPr>
        <w:instrText>ﬁ</w:instrText>
      </w:r>
      <w:r w:rsidR="009C20B8">
        <w:rPr>
          <w:rFonts w:ascii="Calibri" w:eastAsia="宋体" w:hAnsi="Calibri" w:cs="Calibri"/>
          <w:color w:val="000000"/>
        </w:rPr>
        <w:instrText>ed vertical wind pro</w:instrText>
      </w:r>
      <w:r w:rsidR="009C20B8">
        <w:rPr>
          <w:rFonts w:eastAsia="宋体"/>
          <w:color w:val="000000"/>
        </w:rPr>
        <w:instrText>ﬁ</w:instrText>
      </w:r>
      <w:r w:rsidR="009C20B8">
        <w:rPr>
          <w:rFonts w:ascii="Calibri" w:eastAsia="宋体" w:hAnsi="Calibri" w:cs="Calibri"/>
          <w:color w:val="000000"/>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7D1384" w:rsidRPr="003B2E39">
        <w:rPr>
          <w:rFonts w:ascii="Calibri" w:eastAsia="宋体" w:hAnsi="Calibri" w:cs="Calibri"/>
          <w:color w:val="000000"/>
        </w:rPr>
        <w:fldChar w:fldCharType="separate"/>
      </w:r>
      <w:r w:rsidR="007D1384" w:rsidRPr="003B2E39">
        <w:rPr>
          <w:rFonts w:ascii="Calibri" w:eastAsia="宋体" w:hAnsi="Calibri" w:cs="Calibri"/>
          <w:noProof/>
          <w:color w:val="000000"/>
        </w:rPr>
        <w:t>(Sasser et al., 2022)</w:t>
      </w:r>
      <w:r w:rsidR="007D1384" w:rsidRPr="003B2E39">
        <w:rPr>
          <w:rFonts w:ascii="Calibri" w:eastAsia="宋体" w:hAnsi="Calibri" w:cs="Calibri"/>
          <w:color w:val="000000"/>
        </w:rPr>
        <w:fldChar w:fldCharType="end"/>
      </w:r>
      <w:r w:rsidR="007D1384" w:rsidRPr="003B2E39">
        <w:rPr>
          <w:rFonts w:ascii="Calibri" w:eastAsia="宋体" w:hAnsi="Calibri" w:cs="Calibri"/>
          <w:color w:val="000000"/>
        </w:rPr>
        <w:t>.</w:t>
      </w:r>
      <w:r w:rsidR="007D1384" w:rsidRPr="00EC629C">
        <w:rPr>
          <w:rFonts w:ascii="Calibri" w:eastAsia="宋体" w:hAnsi="Calibri" w:cs="Calibri"/>
          <w:color w:val="000000"/>
        </w:rPr>
        <w:t xml:space="preserve"> </w:t>
      </w:r>
      <w:r w:rsidR="0060601C" w:rsidRPr="0060601C">
        <w:rPr>
          <w:rFonts w:ascii="Calibri" w:eastAsia="宋体" w:hAnsi="Calibri" w:cs="Calibri"/>
          <w:color w:val="000000"/>
        </w:rPr>
        <w:t xml:space="preserve">Even with this </w:t>
      </w:r>
      <w:r w:rsidR="00B94BEA" w:rsidRPr="00B94BEA">
        <w:rPr>
          <w:rFonts w:ascii="Calibri" w:eastAsia="宋体" w:hAnsi="Calibri" w:cs="Calibri"/>
          <w:color w:val="000000"/>
        </w:rPr>
        <w:t>advance</w:t>
      </w:r>
      <w:r w:rsidR="0060601C" w:rsidRPr="0060601C">
        <w:rPr>
          <w:rFonts w:ascii="Calibri" w:eastAsia="宋体" w:hAnsi="Calibri" w:cs="Calibri"/>
          <w:color w:val="000000"/>
        </w:rPr>
        <w:t xml:space="preserve">, atmospheric stability can induce 15–20% power variations at the same nominal wind speed, and turbulent kinetic energy has been identified as a dominant modulation factor </w:t>
      </w:r>
      <w:r w:rsidR="0060601C">
        <w:rPr>
          <w:rFonts w:ascii="Calibri" w:eastAsia="宋体" w:hAnsi="Calibri" w:cs="Calibri"/>
          <w:color w:val="000000"/>
        </w:rPr>
        <w:fldChar w:fldCharType="begin"/>
      </w:r>
      <w:r w:rsidR="0060601C">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60601C">
        <w:rPr>
          <w:rFonts w:eastAsia="宋体"/>
          <w:color w:val="000000"/>
        </w:rPr>
        <w:instrText>ﬁ</w:instrText>
      </w:r>
      <w:r w:rsidR="0060601C">
        <w:rPr>
          <w:rFonts w:ascii="Calibri" w:eastAsia="宋体" w:hAnsi="Calibri" w:cs="Calibri"/>
          <w:color w:val="000000"/>
        </w:rPr>
        <w:instrText>le, a turbine will produce different amounts of power. This variability may be induced by atmospheric stability, which affects pro</w:instrText>
      </w:r>
      <w:r w:rsidR="0060601C">
        <w:rPr>
          <w:rFonts w:eastAsia="宋体"/>
          <w:color w:val="000000"/>
        </w:rPr>
        <w:instrText>ﬁ</w:instrText>
      </w:r>
      <w:r w:rsidR="0060601C">
        <w:rPr>
          <w:rFonts w:ascii="Calibri" w:eastAsia="宋体" w:hAnsi="Calibri" w:cs="Calibri"/>
          <w:color w:val="000000"/>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60601C">
        <w:rPr>
          <w:rFonts w:eastAsia="宋体"/>
          <w:color w:val="000000"/>
        </w:rPr>
        <w:instrText>ﬁ</w:instrText>
      </w:r>
      <w:r w:rsidR="0060601C">
        <w:rPr>
          <w:rFonts w:ascii="Calibri" w:eastAsia="宋体" w:hAnsi="Calibri" w:cs="Calibri"/>
          <w:color w:val="000000"/>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60601C">
        <w:rPr>
          <w:rFonts w:ascii="Calibri" w:eastAsia="宋体" w:hAnsi="Calibri" w:cs="Calibri"/>
          <w:color w:val="000000"/>
        </w:rPr>
        <w:fldChar w:fldCharType="separate"/>
      </w:r>
      <w:r w:rsidR="0060601C">
        <w:rPr>
          <w:rFonts w:ascii="Calibri" w:eastAsia="宋体" w:hAnsi="Calibri" w:cs="Calibri"/>
          <w:noProof/>
          <w:color w:val="000000"/>
        </w:rPr>
        <w:t>(Wharton &amp; Lundquist, 2012)</w:t>
      </w:r>
      <w:r w:rsidR="0060601C">
        <w:rPr>
          <w:rFonts w:ascii="Calibri" w:eastAsia="宋体" w:hAnsi="Calibri" w:cs="Calibri"/>
          <w:color w:val="000000"/>
        </w:rPr>
        <w:fldChar w:fldCharType="end"/>
      </w:r>
      <w:r w:rsidR="0060601C" w:rsidRPr="0060601C">
        <w:rPr>
          <w:rFonts w:ascii="Calibri" w:eastAsia="宋体" w:hAnsi="Calibri" w:cs="Calibri"/>
          <w:color w:val="000000"/>
        </w:rPr>
        <w:t xml:space="preserve">. </w:t>
      </w:r>
      <w:r w:rsidR="000070C6" w:rsidRPr="000070C6">
        <w:rPr>
          <w:rFonts w:ascii="Calibri" w:eastAsia="宋体" w:hAnsi="Calibri" w:cs="Calibri"/>
          <w:color w:val="000000"/>
        </w:rPr>
        <w:t>Confining vertical integration to the rotor-swept layer may therefore not fully capture how vertical structure and its governing scales influence farm-scale power variability.</w:t>
      </w:r>
    </w:p>
    <w:p w14:paraId="626597CF" w14:textId="513B618C" w:rsidR="007D1384" w:rsidRDefault="00A22A1B" w:rsidP="00485781">
      <w:pPr>
        <w:pStyle w:val="Text"/>
        <w:rPr>
          <w:rFonts w:ascii="Calibri" w:eastAsia="宋体" w:hAnsi="Calibri" w:cs="Calibri"/>
          <w:color w:val="000000"/>
          <w:lang w:eastAsia="zh-CN"/>
        </w:rPr>
      </w:pPr>
      <w:bookmarkStart w:id="6" w:name="OLE_LINK7"/>
      <w:bookmarkEnd w:id="4"/>
      <w:r w:rsidRPr="00A22A1B">
        <w:rPr>
          <w:rFonts w:ascii="Calibri" w:eastAsia="宋体" w:hAnsi="Calibri" w:cs="Calibri"/>
          <w:color w:val="000000"/>
        </w:rPr>
        <w:t>Flow-regime variability adds another dimension to farm-scale power representation.</w:t>
      </w:r>
      <w:r w:rsidR="007D1384" w:rsidRPr="00EC629C">
        <w:rPr>
          <w:rFonts w:ascii="Calibri" w:eastAsia="宋体" w:hAnsi="Calibri" w:cs="Calibri"/>
          <w:color w:val="000000"/>
        </w:rPr>
        <w:t xml:space="preserve"> </w:t>
      </w:r>
      <w:r w:rsidR="00485781" w:rsidRPr="00485781">
        <w:rPr>
          <w:rFonts w:ascii="Calibri" w:eastAsia="宋体" w:hAnsi="Calibri" w:cs="Calibri"/>
          <w:color w:val="000000"/>
        </w:rPr>
        <w:t xml:space="preserve">Wind farms operate in environments that encompass both free-stream inflow and </w:t>
      </w:r>
      <w:r w:rsidR="000435E3" w:rsidRPr="000435E3">
        <w:rPr>
          <w:rFonts w:ascii="Calibri" w:eastAsia="宋体" w:hAnsi="Calibri" w:cs="Calibri"/>
          <w:color w:val="000000"/>
        </w:rPr>
        <w:t>wake-influenced flow</w:t>
      </w:r>
      <w:r w:rsidR="00485781" w:rsidRPr="00485781">
        <w:rPr>
          <w:rFonts w:ascii="Calibri" w:eastAsia="宋体" w:hAnsi="Calibri" w:cs="Calibri"/>
          <w:color w:val="000000"/>
        </w:rPr>
        <w:t xml:space="preserve">, within which the dominant drivers of power production differ. Wake interactions can cause 10–20% power losses and elevate turbulence intensity </w:t>
      </w:r>
      <w:r w:rsidR="00485781" w:rsidRPr="00FD3B7A">
        <w:rPr>
          <w:rFonts w:ascii="Calibri" w:eastAsia="宋体" w:hAnsi="Calibri" w:cs="Calibri"/>
          <w:color w:val="000000"/>
        </w:rPr>
        <w:fldChar w:fldCharType="begin"/>
      </w:r>
      <w:r w:rsidR="00485781">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485781">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sidR="00485781">
        <w:rPr>
          <w:rFonts w:ascii="Calibri" w:eastAsia="宋体" w:hAnsi="Calibri" w:cs="Calibri" w:hint="eastAsia"/>
          <w:color w:val="000000"/>
        </w:rPr>
        <w:instrText>‐</w:instrText>
      </w:r>
      <w:r w:rsidR="00485781">
        <w:rPr>
          <w:rFonts w:ascii="Calibri" w:eastAsia="宋体" w:hAnsi="Calibri" w:cs="Calibri" w:hint="eastAsia"/>
          <w:color w:val="000000"/>
        </w:rPr>
        <w:instrText>of</w:instrText>
      </w:r>
      <w:r w:rsidR="00485781">
        <w:rPr>
          <w:rFonts w:ascii="Calibri" w:eastAsia="宋体" w:hAnsi="Calibri" w:cs="Calibri" w:hint="eastAsia"/>
          <w:color w:val="000000"/>
        </w:rPr>
        <w:instrText>‐</w:instrText>
      </w:r>
      <w:r w:rsidR="00485781">
        <w:rPr>
          <w:rFonts w:ascii="Calibri" w:eastAsia="宋体" w:hAnsi="Calibri" w:cs="Calibri" w:hint="eastAsia"/>
          <w:color w:val="000000"/>
        </w:rPr>
        <w:instrText>the</w:instrText>
      </w:r>
      <w:r w:rsidR="00485781">
        <w:rPr>
          <w:rFonts w:ascii="Calibri" w:eastAsia="宋体" w:hAnsi="Calibri" w:cs="Calibri" w:hint="eastAsia"/>
          <w:color w:val="000000"/>
        </w:rPr>
        <w:instrText>‐</w:instrText>
      </w:r>
      <w:r w:rsidR="00485781">
        <w:rPr>
          <w:rFonts w:ascii="Calibri" w:eastAsia="宋体" w:hAnsi="Calibri" w:cs="Calibri" w:hint="eastAsia"/>
          <w:color w:val="000000"/>
        </w:rPr>
        <w:instrText>art models. Observed power losses due solely to wakes are approximately 10% on average. Thes</w:instrText>
      </w:r>
      <w:r w:rsidR="00485781">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485781">
        <w:rPr>
          <w:rFonts w:ascii="Calibri" w:eastAsia="宋体" w:hAnsi="Calibri" w:cs="Calibri" w:hint="eastAsia"/>
          <w:color w:val="000000"/>
        </w:rPr>
        <w:instrText>:"M. N."},{"family":"Pryor","given":"S. C."},{"family":"Rethore","given":"P.</w:instrText>
      </w:r>
      <w:r w:rsidR="00485781">
        <w:rPr>
          <w:rFonts w:ascii="Calibri" w:eastAsia="宋体" w:hAnsi="Calibri" w:cs="Calibri" w:hint="eastAsia"/>
          <w:color w:val="000000"/>
        </w:rPr>
        <w:instrText>‐</w:instrText>
      </w:r>
      <w:r w:rsidR="00485781">
        <w:rPr>
          <w:rFonts w:ascii="Calibri" w:eastAsia="宋体" w:hAnsi="Calibri" w:cs="Calibri" w:hint="eastAsia"/>
          <w:color w:val="000000"/>
        </w:rPr>
        <w:instrText>E."},{"family":"Jørgensen","given":"H. E."}],"issued":{"date-parts":[["2007",11]]}}},{"id":1661,"uris":["http://zotero.org/users/14274501/items/IK6DQM6L"],"itemData":{"id":1661,"</w:instrText>
      </w:r>
      <w:r w:rsidR="00485781">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485781" w:rsidRPr="00FD3B7A">
        <w:rPr>
          <w:rFonts w:ascii="Calibri" w:eastAsia="宋体" w:hAnsi="Calibri" w:cs="Calibri"/>
          <w:color w:val="000000"/>
        </w:rPr>
        <w:fldChar w:fldCharType="separate"/>
      </w:r>
      <w:r w:rsidR="00485781" w:rsidRPr="00FD3B7A">
        <w:rPr>
          <w:rFonts w:ascii="Calibri" w:eastAsia="宋体" w:hAnsi="Calibri" w:cs="Calibri"/>
          <w:noProof/>
          <w:color w:val="000000"/>
        </w:rPr>
        <w:t>(Barthelmie et al., 2007; Feroz et al., 2020)</w:t>
      </w:r>
      <w:r w:rsidR="00485781" w:rsidRPr="00FD3B7A">
        <w:rPr>
          <w:rFonts w:ascii="Calibri" w:eastAsia="宋体" w:hAnsi="Calibri" w:cs="Calibri"/>
          <w:color w:val="000000"/>
        </w:rPr>
        <w:fldChar w:fldCharType="end"/>
      </w:r>
      <w:r w:rsidR="00485781" w:rsidRPr="00485781">
        <w:rPr>
          <w:rFonts w:ascii="Calibri" w:eastAsia="宋体" w:hAnsi="Calibri" w:cs="Calibri"/>
          <w:color w:val="000000"/>
        </w:rPr>
        <w:t>, implying that the physical controls on power output vary dynamically with flow regime and atmospheric stability.</w:t>
      </w:r>
      <w:r w:rsidR="00485781" w:rsidRPr="00485781">
        <w:t xml:space="preserve"> </w:t>
      </w:r>
      <w:r w:rsidR="00485781" w:rsidRPr="00485781">
        <w:rPr>
          <w:rFonts w:ascii="Calibri" w:eastAsia="宋体" w:hAnsi="Calibri" w:cs="Calibri"/>
          <w:color w:val="000000"/>
        </w:rPr>
        <w:t>Recent explainable-AI analyses also rank turbulence-related variables, including turbulent kinetic energy and turbulence intensity, among the most informative predictors of farm-scale power, second only to wind speed</w:t>
      </w:r>
      <w:r w:rsidR="00485781" w:rsidRPr="00EC629C">
        <w:rPr>
          <w:rFonts w:ascii="Calibri" w:eastAsia="宋体" w:hAnsi="Calibri" w:cs="Calibri"/>
          <w:color w:val="000000"/>
        </w:rPr>
        <w:t xml:space="preserve"> </w:t>
      </w:r>
      <w:r w:rsidR="00485781">
        <w:rPr>
          <w:rFonts w:ascii="Calibri" w:eastAsia="宋体" w:hAnsi="Calibri" w:cs="Calibri"/>
          <w:color w:val="000000"/>
        </w:rPr>
        <w:fldChar w:fldCharType="begin"/>
      </w:r>
      <w:r w:rsidR="00485781">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485781">
        <w:rPr>
          <w:rFonts w:ascii="Calibri" w:eastAsia="宋体" w:hAnsi="Calibri" w:cs="Calibri"/>
          <w:color w:val="000000"/>
        </w:rPr>
        <w:fldChar w:fldCharType="separate"/>
      </w:r>
      <w:r w:rsidR="00485781">
        <w:rPr>
          <w:rFonts w:ascii="Calibri" w:eastAsia="宋体" w:hAnsi="Calibri" w:cs="Calibri"/>
          <w:noProof/>
          <w:color w:val="000000"/>
        </w:rPr>
        <w:t>(Optis &amp; Perr-Sauer, 2019; Kim &amp; Kim, 2023)</w:t>
      </w:r>
      <w:r w:rsidR="00485781">
        <w:rPr>
          <w:rFonts w:ascii="Calibri" w:eastAsia="宋体" w:hAnsi="Calibri" w:cs="Calibri"/>
          <w:color w:val="000000"/>
        </w:rPr>
        <w:fldChar w:fldCharType="end"/>
      </w:r>
      <w:r w:rsidR="00485781" w:rsidRPr="00485781">
        <w:rPr>
          <w:rFonts w:ascii="Calibri" w:eastAsia="宋体" w:hAnsi="Calibri" w:cs="Calibri"/>
          <w:color w:val="000000"/>
        </w:rPr>
        <w:t>, further suggesting regime-dependent modulation of inflow–power relationships.</w:t>
      </w:r>
      <w:r w:rsidR="00485781">
        <w:rPr>
          <w:rFonts w:ascii="Calibri" w:eastAsia="宋体" w:hAnsi="Calibri" w:cs="Calibri" w:hint="eastAsia"/>
          <w:color w:val="000000"/>
          <w:lang w:eastAsia="zh-CN"/>
        </w:rPr>
        <w:t xml:space="preserve"> </w:t>
      </w:r>
      <w:r w:rsidR="00EC3434" w:rsidRPr="00EC3434">
        <w:rPr>
          <w:rFonts w:ascii="Calibri" w:eastAsia="宋体" w:hAnsi="Calibri" w:cs="Calibri"/>
          <w:color w:val="000000"/>
          <w:lang w:eastAsia="zh-CN"/>
        </w:rPr>
        <w:t>Yet data-driven forecasting models commonly incorporate multi-height meteorological inputs as homogeneous predictors</w:t>
      </w:r>
      <w:r w:rsidR="00485781" w:rsidRPr="00485781">
        <w:rPr>
          <w:rFonts w:ascii="Calibri" w:eastAsia="宋体" w:hAnsi="Calibri" w:cs="Calibri"/>
          <w:color w:val="000000"/>
          <w:lang w:eastAsia="zh-CN"/>
        </w:rPr>
        <w:t>, without explicitly accounting for flow-regime-dependent mechanisms.</w:t>
      </w:r>
      <w:r w:rsidR="00485781">
        <w:rPr>
          <w:rFonts w:ascii="Calibri" w:eastAsia="宋体" w:hAnsi="Calibri" w:cs="Calibri" w:hint="eastAsia"/>
          <w:color w:val="000000"/>
          <w:lang w:eastAsia="zh-CN"/>
        </w:rPr>
        <w:t xml:space="preserve"> </w:t>
      </w:r>
      <w:r w:rsidR="00485781" w:rsidRPr="00485781">
        <w:rPr>
          <w:rFonts w:ascii="Calibri" w:eastAsia="宋体" w:hAnsi="Calibri" w:cs="Calibri"/>
          <w:color w:val="000000"/>
          <w:lang w:eastAsia="zh-CN"/>
        </w:rPr>
        <w:t xml:space="preserve">When distinct flow regimes are aggregated, underlying </w:t>
      </w:r>
      <w:r w:rsidR="00485781" w:rsidRPr="00485781">
        <w:rPr>
          <w:rFonts w:ascii="Calibri" w:eastAsia="宋体" w:hAnsi="Calibri" w:cs="Calibri"/>
          <w:color w:val="000000"/>
          <w:lang w:eastAsia="zh-CN"/>
        </w:rPr>
        <w:lastRenderedPageBreak/>
        <w:t>physical differences can manifest as persistent empirical correlations that lack clear physical interpretation.</w:t>
      </w:r>
      <w:r w:rsidR="00485781">
        <w:rPr>
          <w:rFonts w:ascii="Calibri" w:eastAsia="宋体" w:hAnsi="Calibri" w:cs="Calibri" w:hint="eastAsia"/>
          <w:color w:val="000000"/>
          <w:lang w:eastAsia="zh-CN"/>
        </w:rPr>
        <w:t xml:space="preserve"> </w:t>
      </w:r>
      <w:r w:rsidR="00485781" w:rsidRPr="00485781">
        <w:rPr>
          <w:rFonts w:ascii="Calibri" w:eastAsia="宋体" w:hAnsi="Calibri" w:cs="Calibri"/>
          <w:color w:val="000000"/>
          <w:lang w:eastAsia="zh-CN"/>
        </w:rPr>
        <w:t>One such example is the consistently reported high correlation between near-surface wind speeds (e.g., 10-m wind) and total wind-farm power output</w:t>
      </w:r>
      <w:r w:rsidR="00485781">
        <w:rPr>
          <w:rFonts w:ascii="Calibri" w:eastAsia="宋体" w:hAnsi="Calibri" w:cs="Calibri" w:hint="eastAsia"/>
          <w:color w:val="000000"/>
          <w:lang w:eastAsia="zh-CN"/>
        </w:rPr>
        <w:t xml:space="preserve"> </w:t>
      </w:r>
      <w:r w:rsidR="00485781" w:rsidRPr="00FD3B7A">
        <w:rPr>
          <w:rFonts w:ascii="Calibri" w:eastAsia="宋体" w:hAnsi="Calibri" w:cs="Calibri"/>
          <w:color w:val="000000"/>
        </w:rPr>
        <w:fldChar w:fldCharType="begin"/>
      </w:r>
      <w:r w:rsidR="00485781">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485781" w:rsidRPr="00FD3B7A">
        <w:rPr>
          <w:rFonts w:ascii="Calibri" w:eastAsia="宋体" w:hAnsi="Calibri" w:cs="Calibri"/>
          <w:color w:val="000000"/>
        </w:rPr>
        <w:fldChar w:fldCharType="separate"/>
      </w:r>
      <w:r w:rsidR="00485781" w:rsidRPr="00FD3B7A">
        <w:rPr>
          <w:rFonts w:ascii="Calibri" w:eastAsia="宋体" w:hAnsi="Calibri" w:cs="Calibri"/>
          <w:noProof/>
          <w:color w:val="000000"/>
        </w:rPr>
        <w:t>(Rubanenko et al., 2020; Chen &amp; Xu, 2022)</w:t>
      </w:r>
      <w:r w:rsidR="00485781" w:rsidRPr="00FD3B7A">
        <w:rPr>
          <w:rFonts w:ascii="Calibri" w:eastAsia="宋体" w:hAnsi="Calibri" w:cs="Calibri"/>
          <w:color w:val="000000"/>
        </w:rPr>
        <w:fldChar w:fldCharType="end"/>
      </w:r>
      <w:r w:rsidR="00485781" w:rsidRPr="00485781">
        <w:rPr>
          <w:rFonts w:ascii="Calibri" w:eastAsia="宋体" w:hAnsi="Calibri" w:cs="Calibri"/>
          <w:color w:val="000000"/>
          <w:lang w:eastAsia="zh-CN"/>
        </w:rPr>
        <w:t>, whose physical basis remains unclear.</w:t>
      </w:r>
    </w:p>
    <w:bookmarkEnd w:id="6"/>
    <w:p w14:paraId="3F4C890E" w14:textId="1225C81E" w:rsidR="007D1384" w:rsidRPr="00850691" w:rsidRDefault="00024E8E" w:rsidP="002F3B11">
      <w:pPr>
        <w:pStyle w:val="Text"/>
        <w:rPr>
          <w:rFonts w:asciiTheme="minorHAnsi" w:hAnsiTheme="minorHAnsi" w:cstheme="minorHAnsi"/>
          <w:lang w:eastAsia="zh-CN"/>
        </w:rPr>
      </w:pPr>
      <w:r w:rsidRPr="00024E8E">
        <w:rPr>
          <w:rFonts w:ascii="Calibri" w:eastAsia="宋体" w:hAnsi="Calibri" w:cs="Calibri"/>
          <w:color w:val="000000"/>
        </w:rPr>
        <w:t xml:space="preserve">In this study, we link atmospheric flow physics to farm-scale power forecasting by explicitly partitioning inflow regimes and examining the regime-dependent roles of multi-height wind observations (10, 30, 50, and 70 m). Using multi-height observations from a representative flat-terrain wind farm, we quantify how vertical wind structure governs power variability under free-stream and wake-influenced conditions, thereby clarifying the physical origin of the persistent high correlation between near-surface winds and total farm power. </w:t>
      </w:r>
      <w:r w:rsidR="00FF687A" w:rsidRPr="00FF687A">
        <w:rPr>
          <w:rFonts w:ascii="Calibri" w:eastAsia="宋体" w:hAnsi="Calibri" w:cs="Calibri"/>
          <w:color w:val="000000"/>
        </w:rPr>
        <w:t>We show that incorporating regime-dependent profile information outperforms both single hub-height input and undifferentiated multi-height predictors in observational power reconstruction and</w:t>
      </w:r>
      <w:r w:rsidRPr="00024E8E">
        <w:rPr>
          <w:rFonts w:ascii="Calibri" w:eastAsia="宋体" w:hAnsi="Calibri" w:cs="Calibri"/>
          <w:color w:val="000000"/>
        </w:rPr>
        <w:t xml:space="preserve"> Numerical Weather Prediction (NWP)-driven day-ahead forecasting. </w:t>
      </w:r>
      <w:r w:rsidR="00B94BEA" w:rsidRPr="00B94BEA">
        <w:rPr>
          <w:rFonts w:ascii="Calibri" w:eastAsia="宋体" w:hAnsi="Calibri" w:cs="Calibri"/>
          <w:color w:val="000000"/>
        </w:rPr>
        <w:t>By revealing that governing atmospheric time scales and vertical coherence underpin the relevance of non-hub-height winds to farm-scale power, the results provide a mechanistic basis for improving wind-to-power representation in operational forecasting.</w:t>
      </w:r>
    </w:p>
    <w:bookmarkEnd w:id="1"/>
    <w:p w14:paraId="7A8760A4" w14:textId="6719CD5D" w:rsidR="002F3B11" w:rsidRPr="00850691" w:rsidRDefault="002F3B11" w:rsidP="00F36C93">
      <w:pPr>
        <w:pStyle w:val="Heading-Main"/>
        <w:rPr>
          <w:rFonts w:asciiTheme="minorHAnsi" w:hAnsiTheme="minorHAnsi" w:cstheme="minorHAnsi"/>
          <w:lang w:eastAsia="zh-CN"/>
        </w:rPr>
      </w:pPr>
      <w:r w:rsidRPr="00296DC1">
        <w:rPr>
          <w:rFonts w:asciiTheme="minorHAnsi" w:hAnsiTheme="minorHAnsi" w:cstheme="minorHAnsi"/>
        </w:rPr>
        <w:t>2 Materials and Methods</w:t>
      </w:r>
    </w:p>
    <w:p w14:paraId="5A16F0D8" w14:textId="2BD954FF" w:rsidR="002F3B11" w:rsidRDefault="002F3B11" w:rsidP="00C81368">
      <w:pPr>
        <w:pStyle w:val="Heading-Secondary"/>
        <w:rPr>
          <w:rFonts w:asciiTheme="minorHAnsi" w:hAnsiTheme="minorHAnsi" w:cstheme="minorHAnsi"/>
          <w:lang w:eastAsia="zh-CN"/>
        </w:rPr>
      </w:pPr>
      <w:bookmarkStart w:id="7" w:name="OLE_LINK8"/>
      <w:r w:rsidRPr="00850691">
        <w:rPr>
          <w:rFonts w:asciiTheme="minorHAnsi" w:hAnsiTheme="minorHAnsi" w:cstheme="minorHAnsi"/>
        </w:rPr>
        <w:t xml:space="preserve">2.1 </w:t>
      </w:r>
      <w:r w:rsidR="000D6606" w:rsidRPr="000D6606">
        <w:rPr>
          <w:rFonts w:asciiTheme="minorHAnsi" w:hAnsiTheme="minorHAnsi" w:cstheme="minorHAnsi"/>
        </w:rPr>
        <w:t>Flow Regime Classification</w:t>
      </w:r>
    </w:p>
    <w:p w14:paraId="4A5EE9BD" w14:textId="0070839E" w:rsidR="00107A81" w:rsidRDefault="00E620DB" w:rsidP="00F84CFC">
      <w:pPr>
        <w:pStyle w:val="Text"/>
        <w:rPr>
          <w:rFonts w:asciiTheme="minorHAnsi" w:hAnsiTheme="minorHAnsi" w:cstheme="minorHAnsi"/>
          <w:lang w:eastAsia="zh-CN"/>
        </w:rPr>
      </w:pPr>
      <w:r w:rsidRPr="00E620DB">
        <w:rPr>
          <w:rFonts w:asciiTheme="minorHAnsi" w:hAnsiTheme="minorHAnsi" w:cstheme="minorHAnsi"/>
        </w:rPr>
        <w:t>The mast is located 586 m west of the first turbine row, enabling geometric partitioning of observations into distinct flow regimes based on wind direction relative to turbine array geometry (Figure S1).</w:t>
      </w:r>
      <w:r>
        <w:rPr>
          <w:rFonts w:asciiTheme="minorHAnsi" w:hAnsiTheme="minorHAnsi" w:cstheme="minorHAnsi" w:hint="eastAsia"/>
          <w:lang w:eastAsia="zh-CN"/>
        </w:rPr>
        <w:t xml:space="preserve"> </w:t>
      </w:r>
      <w:r w:rsidR="00E021C8" w:rsidRPr="00E021C8">
        <w:rPr>
          <w:rFonts w:asciiTheme="minorHAnsi" w:hAnsiTheme="minorHAnsi" w:cstheme="minorHAnsi"/>
          <w:lang w:eastAsia="zh-CN"/>
        </w:rPr>
        <w:t>Westerly winds (225°–315°) are classified as free-stream conditions, under which measurements represent background atmospheric flow upstream of the turbine array.</w:t>
      </w:r>
      <w:r w:rsidR="00F84CFC" w:rsidRPr="00F84CFC">
        <w:rPr>
          <w:rFonts w:asciiTheme="minorHAnsi" w:hAnsiTheme="minorHAnsi" w:cstheme="minorHAnsi"/>
        </w:rPr>
        <w:t xml:space="preserve"> </w:t>
      </w:r>
      <w:r w:rsidR="008E775F" w:rsidRPr="008E775F">
        <w:rPr>
          <w:rFonts w:asciiTheme="minorHAnsi" w:hAnsiTheme="minorHAnsi" w:cstheme="minorHAnsi"/>
        </w:rPr>
        <w:t>In contrast, easterly winds (45°–135°) traverse the turbine array before reaching the mast and are therefore classified as wake-influenced conditions, where wind profiles are affected by turbine-induced momentum deficits and enhanced turbulence</w:t>
      </w:r>
      <w:r w:rsidR="00F84CFC" w:rsidRPr="00F84CFC">
        <w:rPr>
          <w:rFonts w:asciiTheme="minorHAnsi" w:hAnsiTheme="minorHAnsi" w:cstheme="minorHAnsi"/>
        </w:rPr>
        <w:t xml:space="preserve"> </w:t>
      </w:r>
      <w:r w:rsidR="00F8569D">
        <w:rPr>
          <w:rFonts w:asciiTheme="minorHAnsi" w:hAnsiTheme="minorHAnsi" w:cstheme="minorHAnsi"/>
        </w:rPr>
        <w:fldChar w:fldCharType="begin"/>
      </w:r>
      <w:r w:rsidR="00F8569D">
        <w:rPr>
          <w:rFonts w:asciiTheme="minorHAnsi" w:hAnsiTheme="minorHAnsi" w:cstheme="minorHAnsi"/>
        </w:rPr>
        <w:instrText xml:space="preserve"> ADDIN ZOTERO_ITEM CSL_CITATION {"citationID":"19pO9kRa","properties":{"formattedCitation":"(Port\\uc0\\u233{}-Agel et al., 2020)","plainCitation":"(Porté-Agel et al., 2020)","noteIndex":0},"citationItems":[{"id":1799,"uris":["http://zotero.org/users/14274501/items/QQDP2J4Q"],"itemData":{"id":1799,"type":"article-journal","abstract":"Wind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uid mechanical perspective, these interactions are complicated by the high Reynolds number of the ABL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ow, its inherent unsteadiness due to the diurnal cycle and synoptic-forcing variability, the ubiquitous nature of thermal effects, and the heterogeneity of the terrain. Particularly important is the effect of ABL turbulence on wind-turbine wake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ows and their superposition, as they are responsible for considerable turbine power losses and fatigue loads in wind farms. These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ow interactions affect, in turn, the structure of the ABL and the turbulent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uxes of momentum and scalars. This review summarizes recent experimental, computational, and theoretical research efforts that have contributed to improving our understanding and ability to predict the interactions of ABL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sidR="00F8569D">
        <w:rPr>
          <w:rFonts w:asciiTheme="minorHAnsi" w:hAnsiTheme="minorHAnsi" w:cstheme="minorHAnsi"/>
        </w:rPr>
        <w:fldChar w:fldCharType="separate"/>
      </w:r>
      <w:r w:rsidR="00F8569D" w:rsidRPr="00F8569D">
        <w:rPr>
          <w:rFonts w:ascii="Calibri" w:eastAsia="宋体" w:hAnsiTheme="minorHAnsi" w:cs="Calibri"/>
        </w:rPr>
        <w:t>(Porté-Agel et al., 2020)</w:t>
      </w:r>
      <w:r w:rsidR="00F8569D">
        <w:rPr>
          <w:rFonts w:asciiTheme="minorHAnsi" w:hAnsiTheme="minorHAnsi" w:cstheme="minorHAnsi"/>
        </w:rPr>
        <w:fldChar w:fldCharType="end"/>
      </w:r>
      <w:r w:rsidR="00F84CFC" w:rsidRPr="00F84CFC">
        <w:rPr>
          <w:rFonts w:asciiTheme="minorHAnsi" w:hAnsiTheme="minorHAnsi" w:cstheme="minorHAnsi"/>
        </w:rPr>
        <w:t>.</w:t>
      </w:r>
      <w:bookmarkStart w:id="8" w:name="OLE_LINK9"/>
      <w:r w:rsidR="00F84CFC" w:rsidRPr="00F84CFC">
        <w:rPr>
          <w:rFonts w:asciiTheme="minorHAnsi" w:hAnsiTheme="minorHAnsi" w:cstheme="minorHAnsi"/>
        </w:rPr>
        <w:t xml:space="preserve"> </w:t>
      </w:r>
      <w:bookmarkEnd w:id="8"/>
      <w:r w:rsidR="00D9351A" w:rsidRPr="00D9351A">
        <w:rPr>
          <w:rFonts w:asciiTheme="minorHAnsi" w:hAnsiTheme="minorHAnsi" w:cstheme="minorHAnsi"/>
        </w:rPr>
        <w:t>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This stringent filtering reduces the number of retained samples but enhances the physical interpretability of regime-dependent analysis. Over the study period, the resulting dataset comprises 1,951 free-stream samples (3.7%) and 8,693 wake-influenced samples (16.6%), with the remaining observations excluded from regime-specific evaluation</w:t>
      </w:r>
      <w:r w:rsidR="00F84CFC" w:rsidRPr="00F84CFC">
        <w:rPr>
          <w:rFonts w:asciiTheme="minorHAnsi" w:hAnsiTheme="minorHAnsi" w:cstheme="minorHAnsi"/>
        </w:rPr>
        <w:t>.</w:t>
      </w:r>
    </w:p>
    <w:p w14:paraId="08365FAB" w14:textId="1206405D" w:rsidR="000D6606" w:rsidRDefault="000D6606" w:rsidP="00C81368">
      <w:pPr>
        <w:pStyle w:val="Heading-Secondary"/>
        <w:rPr>
          <w:rFonts w:asciiTheme="minorHAnsi" w:hAnsiTheme="minorHAnsi" w:cstheme="minorHAnsi"/>
          <w:lang w:eastAsia="zh-CN"/>
        </w:rPr>
      </w:pPr>
      <w:bookmarkStart w:id="9" w:name="_Hlk220792935"/>
      <w:bookmarkEnd w:id="7"/>
      <w:r>
        <w:rPr>
          <w:rFonts w:asciiTheme="minorHAnsi" w:hAnsiTheme="minorHAnsi" w:cstheme="minorHAnsi" w:hint="eastAsia"/>
          <w:lang w:eastAsia="zh-CN"/>
        </w:rPr>
        <w:t xml:space="preserve">2.2 </w:t>
      </w:r>
      <w:r w:rsidR="002D3D45" w:rsidRPr="002D3D45">
        <w:rPr>
          <w:rFonts w:asciiTheme="minorHAnsi" w:hAnsiTheme="minorHAnsi" w:cstheme="minorHAnsi"/>
          <w:lang w:eastAsia="zh-CN"/>
        </w:rPr>
        <w:t>Data Analysis Methods</w:t>
      </w:r>
    </w:p>
    <w:p w14:paraId="3FF61CB9" w14:textId="468275F6" w:rsidR="005F551D" w:rsidRPr="0093366F" w:rsidRDefault="008C5028" w:rsidP="0093366F">
      <w:pPr>
        <w:pStyle w:val="Text"/>
        <w:rPr>
          <w:rFonts w:asciiTheme="minorHAnsi" w:hAnsiTheme="minorHAnsi" w:cstheme="minorHAnsi"/>
          <w:lang w:eastAsia="zh-CN"/>
        </w:rPr>
      </w:pPr>
      <w:r w:rsidRPr="008C5028">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{"citationID":"1VJxZ6VY","properties":{"formattedCitation":"(Torres et al., 2011)","plainCitation":"(Torres et al., 2011)","noteIndex":0},"citationItems":[{"id":1669,"uris":["http://zotero.org/users/14274501/items/WJRY4WH6"],"itemData":{"id":1669,"type":"paper-conference","abstract":"In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noProof/>
          <w:lang w:eastAsia="zh-CN"/>
        </w:rPr>
        <w:t>Torres et al., 2011)</w:t>
      </w:r>
      <w:r>
        <w:rPr>
          <w:rFonts w:asciiTheme="minorHAnsi" w:hAnsiTheme="minorHAnsi" w:cstheme="minorHAnsi"/>
          <w:lang w:eastAsia="zh-CN"/>
        </w:rPr>
        <w:fldChar w:fldCharType="end"/>
      </w:r>
      <w:r w:rsidRPr="008C5028">
        <w:rPr>
          <w:rFonts w:asciiTheme="minorHAnsi" w:hAnsiTheme="minorHAnsi" w:cstheme="minorHAnsi"/>
          <w:lang w:eastAsia="zh-CN"/>
        </w:rPr>
        <w:t>, an improved variant of EEMD</w:t>
      </w:r>
      <w:r w:rsidR="006E5466">
        <w:rPr>
          <w:rFonts w:asciiTheme="minorHAnsi" w:hAnsiTheme="minorHAnsi" w:cstheme="minorHAnsi" w:hint="eastAsia"/>
          <w:lang w:eastAsia="zh-CN"/>
        </w:rPr>
        <w:t xml:space="preserve"> </w:t>
      </w:r>
      <w:r w:rsidR="00505774">
        <w:rPr>
          <w:rFonts w:asciiTheme="minorHAnsi" w:hAnsiTheme="minorHAnsi" w:cstheme="minorHAnsi"/>
          <w:lang w:eastAsia="zh-CN"/>
        </w:rPr>
        <w:fldChar w:fldCharType="begin"/>
      </w:r>
      <w:r w:rsidR="00505774">
        <w:rPr>
          <w:rFonts w:asciiTheme="minorHAnsi" w:hAnsiTheme="minorHAnsi" w:cstheme="minorHAnsi"/>
          <w:lang w:eastAsia="zh-CN"/>
        </w:rPr>
        <w:instrText xml:space="preserve"> ADDIN ZOTERO_ITEM CSL_CITATION {"citationID":"POCJU4Sq","properties":{"formattedCitation":"(Wu &amp; Huang, 2009)","plainCitation":"(Wu &amp; Huang, 2009)","noteIndex":0},"citationItems":[{"id":1668,"uris":["http://zotero.org/users/14274501/items/92ZQTH82"],"itemData":{"id":1668,"type":"article-journal","container-title":"Advances in adaptive data analysis","DOI":"10.1142/S1793536909000047","ISSN":"1793-5369","issue":"1","journalAbbreviation":"Adv. adapt. data anal.","language":"en","page":"1-41","publisher":"World Scientific","title":"Ensemble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sidR="00505774">
        <w:rPr>
          <w:rFonts w:asciiTheme="minorHAnsi" w:hAnsiTheme="minorHAnsi" w:cstheme="minorHAnsi"/>
          <w:lang w:eastAsia="zh-CN"/>
        </w:rPr>
        <w:fldChar w:fldCharType="separate"/>
      </w:r>
      <w:r w:rsidR="00505774">
        <w:rPr>
          <w:rFonts w:asciiTheme="minorHAnsi" w:hAnsiTheme="minorHAnsi" w:cstheme="minorHAnsi"/>
          <w:noProof/>
          <w:lang w:eastAsia="zh-CN"/>
        </w:rPr>
        <w:t>(Wu &amp; Huang, 2009)</w:t>
      </w:r>
      <w:r w:rsidR="00505774">
        <w:rPr>
          <w:rFonts w:asciiTheme="minorHAnsi" w:hAnsiTheme="minorHAnsi" w:cstheme="minorHAnsi"/>
          <w:lang w:eastAsia="zh-CN"/>
        </w:rPr>
        <w:fldChar w:fldCharType="end"/>
      </w:r>
      <w:r w:rsidRPr="008C5028">
        <w:t xml:space="preserve"> </w:t>
      </w:r>
      <w:r w:rsidRPr="008C5028">
        <w:rPr>
          <w:rFonts w:asciiTheme="minorHAnsi" w:hAnsiTheme="minorHAnsi" w:cstheme="minorHAnsi"/>
          <w:lang w:eastAsia="zh-CN"/>
        </w:rPr>
        <w:t>was applied to the continuous wind speed (at different heights) and total farm power time series to obtain intrinsic mode functions across temporal scales</w:t>
      </w:r>
      <w:r w:rsidR="00505774" w:rsidRPr="00505774">
        <w:rPr>
          <w:rFonts w:asciiTheme="minorHAnsi" w:hAnsiTheme="minorHAnsi" w:cstheme="minorHAnsi"/>
          <w:lang w:eastAsia="zh-CN"/>
        </w:rPr>
        <w:t xml:space="preserve">. </w:t>
      </w:r>
      <w:r w:rsidR="00573BC8" w:rsidRPr="00573BC8">
        <w:rPr>
          <w:rFonts w:asciiTheme="minorHAnsi" w:hAnsiTheme="minorHAnsi" w:cstheme="minorHAnsi"/>
          <w:lang w:eastAsia="zh-CN"/>
        </w:rPr>
        <w:t>Regime-dependent wind–power coupling was quantified by computing cross-scale correlations within subsets of timestamps classified into free-stream and wake-influenced conditions based on wind dir</w:t>
      </w:r>
      <w:r w:rsidR="00573BC8" w:rsidRPr="0093366F">
        <w:rPr>
          <w:rFonts w:asciiTheme="minorHAnsi" w:hAnsiTheme="minorHAnsi" w:cstheme="minorHAnsi"/>
          <w:lang w:eastAsia="zh-CN"/>
        </w:rPr>
        <w:t>ection</w:t>
      </w:r>
      <w:r w:rsidR="0093366F" w:rsidRPr="0093366F">
        <w:rPr>
          <w:rFonts w:asciiTheme="minorHAnsi" w:hAnsiTheme="minorHAnsi" w:cstheme="minorHAnsi" w:hint="eastAsia"/>
          <w:lang w:eastAsia="zh-CN"/>
        </w:rPr>
        <w:t xml:space="preserve"> </w:t>
      </w:r>
      <w:r w:rsidR="0093366F" w:rsidRPr="0093366F">
        <w:rPr>
          <w:rFonts w:asciiTheme="minorHAnsi" w:hAnsiTheme="minorHAnsi" w:cstheme="minorHAnsi"/>
          <w:lang w:eastAsia="zh-CN"/>
        </w:rPr>
        <w:t>(Text S1)</w:t>
      </w:r>
      <w:r w:rsidR="00573BC8" w:rsidRPr="0093366F">
        <w:rPr>
          <w:rFonts w:asciiTheme="minorHAnsi" w:hAnsiTheme="minorHAnsi" w:cstheme="minorHAnsi"/>
          <w:lang w:eastAsia="zh-CN"/>
        </w:rPr>
        <w:t>.</w:t>
      </w:r>
      <w:r w:rsidR="00A21A94" w:rsidRPr="0093366F">
        <w:rPr>
          <w:rFonts w:asciiTheme="minorHAnsi" w:hAnsiTheme="minorHAnsi" w:cstheme="minorHAnsi" w:hint="eastAsia"/>
          <w:lang w:eastAsia="zh-CN"/>
        </w:rPr>
        <w:t xml:space="preserve"> </w:t>
      </w:r>
      <w:r w:rsidR="00573BC8" w:rsidRPr="0093366F">
        <w:rPr>
          <w:rFonts w:asciiTheme="minorHAnsi" w:hAnsiTheme="minorHAnsi" w:cstheme="minorHAnsi"/>
          <w:lang w:eastAsia="zh-CN"/>
        </w:rPr>
        <w:t xml:space="preserve">Empirical </w:t>
      </w:r>
      <w:r w:rsidR="00573BC8" w:rsidRPr="0093366F">
        <w:rPr>
          <w:rFonts w:asciiTheme="minorHAnsi" w:hAnsiTheme="minorHAnsi" w:cstheme="minorHAnsi"/>
          <w:lang w:eastAsia="zh-CN"/>
        </w:rPr>
        <w:lastRenderedPageBreak/>
        <w:t xml:space="preserve">Orthogonal Function (EOF) analysis was performed on wind profiles to identify dominant </w:t>
      </w:r>
      <w:r w:rsidR="00573BC8" w:rsidRPr="00573BC8">
        <w:rPr>
          <w:rFonts w:asciiTheme="minorHAnsi" w:hAnsiTheme="minorHAnsi" w:cstheme="minorHAnsi"/>
          <w:lang w:eastAsia="zh-CN"/>
        </w:rPr>
        <w:t>modes of vertical structure variability</w:t>
      </w:r>
      <w:r w:rsidR="00044F21">
        <w:rPr>
          <w:rFonts w:asciiTheme="minorHAnsi" w:hAnsiTheme="minorHAnsi" w:cstheme="minorHAnsi" w:hint="eastAsia"/>
          <w:lang w:eastAsia="zh-CN"/>
        </w:rPr>
        <w:t xml:space="preserve"> </w:t>
      </w:r>
      <w:r w:rsidR="000C7272">
        <w:rPr>
          <w:rFonts w:asciiTheme="minorHAnsi" w:hAnsiTheme="minorHAnsi" w:cstheme="minorHAnsi"/>
          <w:lang w:eastAsia="zh-CN"/>
        </w:rPr>
        <w:fldChar w:fldCharType="begin"/>
      </w:r>
      <w:r w:rsidR="000C7272">
        <w:rPr>
          <w:rFonts w:asciiTheme="minorHAnsi" w:hAnsiTheme="minorHAnsi" w:cstheme="minorHAnsi"/>
          <w:lang w:eastAsia="zh-CN"/>
        </w:rPr>
        <w:instrText xml:space="preserve"> ADDIN ZOTERO_ITEM CSL_CITATION {"citationID":"5Zxk0tj6","properties":{"formattedCitation":"(Wilson, 1996)","plainCitation":"(Wilson, 1996)","noteIndex":0},"citationItems":[{"id":1804,"uris":["http://zotero.org/users/14274501/items/J9DEMZR9"],"itemData":{"id":1804,"type":"article-journal","container-title":"Journal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sidR="000C7272">
        <w:rPr>
          <w:rFonts w:asciiTheme="minorHAnsi" w:hAnsiTheme="minorHAnsi" w:cstheme="minorHAnsi"/>
          <w:lang w:eastAsia="zh-CN"/>
        </w:rPr>
        <w:fldChar w:fldCharType="separate"/>
      </w:r>
      <w:r w:rsidR="000C7272">
        <w:rPr>
          <w:rFonts w:asciiTheme="minorHAnsi" w:hAnsiTheme="minorHAnsi" w:cstheme="minorHAnsi"/>
          <w:noProof/>
          <w:lang w:eastAsia="zh-CN"/>
        </w:rPr>
        <w:t>(Wilson, 1996)</w:t>
      </w:r>
      <w:r w:rsidR="000C7272">
        <w:rPr>
          <w:rFonts w:asciiTheme="minorHAnsi" w:hAnsiTheme="minorHAnsi" w:cstheme="minorHAnsi"/>
          <w:lang w:eastAsia="zh-CN"/>
        </w:rPr>
        <w:fldChar w:fldCharType="end"/>
      </w:r>
      <w:r w:rsidR="005F551D" w:rsidRPr="005F551D">
        <w:rPr>
          <w:rFonts w:asciiTheme="minorHAnsi" w:hAnsiTheme="minorHAnsi" w:cstheme="minorHAnsi"/>
          <w:lang w:eastAsia="zh-CN"/>
        </w:rPr>
        <w:t xml:space="preserve">. </w:t>
      </w:r>
      <w:r w:rsidR="00D52E0B" w:rsidRPr="00D52E0B">
        <w:rPr>
          <w:rFonts w:asciiTheme="minorHAnsi" w:hAnsiTheme="minorHAnsi" w:cstheme="minorHAnsi"/>
          <w:lang w:eastAsia="zh-CN"/>
        </w:rPr>
        <w:t>The first EOF mode (EOF1) represents the leading spatial pattern, and its principal component time series (PC1) quantifies temporal amplitude</w:t>
      </w:r>
      <w:r w:rsidR="000C7272" w:rsidRPr="005F551D">
        <w:rPr>
          <w:rFonts w:asciiTheme="minorHAnsi" w:hAnsiTheme="minorHAnsi" w:cstheme="minorHAnsi"/>
          <w:lang w:eastAsia="zh-CN"/>
        </w:rPr>
        <w:t xml:space="preserve"> </w:t>
      </w:r>
      <w:r w:rsidR="000C7272">
        <w:rPr>
          <w:rFonts w:asciiTheme="minorHAnsi" w:hAnsiTheme="minorHAnsi" w:cstheme="minorHAnsi"/>
          <w:lang w:eastAsia="zh-CN"/>
        </w:rPr>
        <w:fldChar w:fldCharType="begin"/>
      </w:r>
      <w:r w:rsidR="000C7272">
        <w:rPr>
          <w:rFonts w:asciiTheme="minorHAnsi" w:hAnsiTheme="minorHAnsi" w:cstheme="minorHAnsi"/>
          <w:lang w:eastAsia="zh-CN"/>
        </w:rPr>
        <w:instrText xml:space="preserve"> ADDIN ZOTERO_ITEM CSL_CITATION {"citationID":"kFqnCTcX","properties":{"formattedCitation":"(Wilks, 2011)","plainCitation":"(Wilks, 2011)","noteIndex":0},"citationItems":[{"id":1674,"uris":["http://zotero.org/users/14274501/items/HX9Y5UX2"],"itemData":{"id":1674,"type":"book","ISBN":"0-12-385023-1","language":"en","publisher":"Academic press","title":"Statistical methods in the atmospheric sciences","volume":"100","author":[{"family":"Wilks","given":"Daniel S"}],"issued":{"date-parts":[["2011"]]}}}],"schema":"https://github.com/citation-style-language/schema/raw/master/csl-citation.json"} </w:instrText>
      </w:r>
      <w:r w:rsidR="000C7272">
        <w:rPr>
          <w:rFonts w:asciiTheme="minorHAnsi" w:hAnsiTheme="minorHAnsi" w:cstheme="minorHAnsi"/>
          <w:lang w:eastAsia="zh-CN"/>
        </w:rPr>
        <w:fldChar w:fldCharType="separate"/>
      </w:r>
      <w:r w:rsidR="000C7272">
        <w:rPr>
          <w:rFonts w:asciiTheme="minorHAnsi" w:hAnsiTheme="minorHAnsi" w:cstheme="minorHAnsi"/>
          <w:noProof/>
          <w:lang w:eastAsia="zh-CN"/>
        </w:rPr>
        <w:t>(Wilks, 2011)</w:t>
      </w:r>
      <w:r w:rsidR="000C7272">
        <w:rPr>
          <w:rFonts w:asciiTheme="minorHAnsi" w:hAnsiTheme="minorHAnsi" w:cstheme="minorHAnsi"/>
          <w:lang w:eastAsia="zh-CN"/>
        </w:rPr>
        <w:fldChar w:fldCharType="end"/>
      </w:r>
      <w:r w:rsidR="005F551D" w:rsidRPr="005F551D">
        <w:rPr>
          <w:rFonts w:asciiTheme="minorHAnsi" w:hAnsiTheme="minorHAnsi" w:cstheme="minorHAnsi"/>
          <w:lang w:eastAsia="zh-CN"/>
        </w:rPr>
        <w:t>. Least-squares linear regression between PC1 and wind speeds at 10 m or 70 m quantifies h</w:t>
      </w:r>
      <w:r w:rsidR="005F551D" w:rsidRPr="0093366F">
        <w:rPr>
          <w:rFonts w:asciiTheme="minorHAnsi" w:hAnsiTheme="minorHAnsi" w:cstheme="minorHAnsi"/>
          <w:lang w:eastAsia="zh-CN"/>
        </w:rPr>
        <w:t xml:space="preserve">ow effectively surface-layer or hub-height observations capture vertical profile variability. </w:t>
      </w:r>
      <w:r w:rsidR="0093366F" w:rsidRPr="0093366F">
        <w:rPr>
          <w:rFonts w:asciiTheme="minorHAnsi" w:hAnsiTheme="minorHAnsi" w:cstheme="minorHAnsi"/>
          <w:lang w:eastAsia="zh-CN"/>
        </w:rPr>
        <w:t>Further details on the decomposition and EOF methodologies are provided in Texts S1 and S2.</w:t>
      </w:r>
    </w:p>
    <w:bookmarkEnd w:id="9"/>
    <w:p w14:paraId="13725A2D" w14:textId="5E963099" w:rsidR="000D6606" w:rsidRDefault="000D6606" w:rsidP="00C81368">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2.3 </w:t>
      </w:r>
      <w:r w:rsidR="004E2969" w:rsidRPr="004E2969">
        <w:rPr>
          <w:rFonts w:asciiTheme="minorHAnsi" w:hAnsiTheme="minorHAnsi" w:cstheme="minorHAnsi"/>
          <w:lang w:eastAsia="zh-CN"/>
        </w:rPr>
        <w:t>Power Reconstruction Experiment</w:t>
      </w:r>
    </w:p>
    <w:p w14:paraId="42877C0C" w14:textId="5F2119A8" w:rsidR="00746229" w:rsidRDefault="00746229" w:rsidP="00332D53">
      <w:pPr>
        <w:pStyle w:val="Text"/>
        <w:rPr>
          <w:rFonts w:asciiTheme="minorHAnsi" w:hAnsiTheme="minorHAnsi" w:cstheme="minorHAnsi"/>
          <w:lang w:eastAsia="zh-CN"/>
        </w:rPr>
      </w:pPr>
      <w:bookmarkStart w:id="10" w:name="OLE_LINK10"/>
      <w:r w:rsidRPr="00746229">
        <w:rPr>
          <w:rFonts w:asciiTheme="minorHAnsi" w:hAnsiTheme="minorHAnsi" w:cstheme="minorHAnsi"/>
          <w:lang w:eastAsia="zh-CN"/>
        </w:rPr>
        <w:t xml:space="preserve">To evaluate whether the </w:t>
      </w:r>
      <w:r w:rsidR="00C40F7E">
        <w:rPr>
          <w:rFonts w:asciiTheme="minorHAnsi" w:hAnsiTheme="minorHAnsi" w:cstheme="minorHAnsi"/>
          <w:lang w:eastAsia="zh-CN"/>
        </w:rPr>
        <w:t>e</w:t>
      </w:r>
      <w:r w:rsidRPr="00746229">
        <w:rPr>
          <w:rFonts w:asciiTheme="minorHAnsi" w:hAnsiTheme="minorHAnsi" w:cstheme="minorHAnsi"/>
          <w:lang w:eastAsia="zh-CN"/>
        </w:rPr>
        <w:t xml:space="preserve">xtended </w:t>
      </w:r>
      <w:r w:rsidR="00C40F7E">
        <w:rPr>
          <w:rFonts w:asciiTheme="minorHAnsi" w:hAnsiTheme="minorHAnsi" w:cstheme="minorHAnsi"/>
          <w:lang w:eastAsia="zh-CN"/>
        </w:rPr>
        <w:t>p</w:t>
      </w:r>
      <w:r w:rsidRPr="00746229">
        <w:rPr>
          <w:rFonts w:asciiTheme="minorHAnsi" w:hAnsiTheme="minorHAnsi" w:cstheme="minorHAnsi"/>
          <w:lang w:eastAsia="zh-CN"/>
        </w:rPr>
        <w:t xml:space="preserve">rofile representation improves wind farm power prediction, a reconstruction experiment was conducted using observed meteorological variables and observed farm-scale power output. A </w:t>
      </w:r>
      <w:proofErr w:type="spellStart"/>
      <w:r w:rsidRPr="00746229">
        <w:rPr>
          <w:rFonts w:asciiTheme="minorHAnsi" w:hAnsiTheme="minorHAnsi" w:cstheme="minorHAnsi"/>
          <w:lang w:eastAsia="zh-CN"/>
        </w:rPr>
        <w:t>LightGBM</w:t>
      </w:r>
      <w:proofErr w:type="spellEnd"/>
      <w:r w:rsidRPr="00746229">
        <w:rPr>
          <w:rFonts w:asciiTheme="minorHAnsi" w:hAnsiTheme="minorHAnsi" w:cstheme="minorHAnsi"/>
          <w:lang w:eastAsia="zh-CN"/>
        </w:rPr>
        <w:t xml:space="preserve"> regression model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{"citationID":"W5NotuTd","properties":{"formattedCitation":"(Ke et al., 2017)","plainCitation":"(Ke et al., 2017)","noteIndex":0},"citationItems":[{"id":1671,"uris":["http://zotero.org/users/14274501/items/LEVXPNXT"],"itemData":{"id":1671,"type":"article-journal","container-title":"Advances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(Ke et al., 2017)</w:t>
      </w:r>
      <w:r>
        <w:rPr>
          <w:rFonts w:asciiTheme="minorHAnsi" w:hAnsiTheme="minorHAnsi" w:cstheme="minorHAnsi"/>
          <w:lang w:eastAsia="zh-CN"/>
        </w:rPr>
        <w:fldChar w:fldCharType="end"/>
      </w:r>
      <w:r>
        <w:rPr>
          <w:rFonts w:asciiTheme="minorHAnsi" w:hAnsiTheme="minorHAnsi" w:cstheme="minorHAnsi" w:hint="eastAsia"/>
          <w:lang w:eastAsia="zh-CN"/>
        </w:rPr>
        <w:t xml:space="preserve"> </w:t>
      </w:r>
      <w:r w:rsidRPr="00746229">
        <w:rPr>
          <w:rFonts w:asciiTheme="minorHAnsi" w:hAnsiTheme="minorHAnsi" w:cstheme="minorHAnsi"/>
          <w:lang w:eastAsia="zh-CN"/>
        </w:rPr>
        <w:t xml:space="preserve">was trained to learn the relationship between wind measurements and total power production. Three input configurations were tested: hub-height wind speed only (HH, 70 m), Standard REWS integrating wind speeds within the rotor-swept layer (SR, 30–70 m), and Extended REWS incorporating surface-layer wind speed (ER, 10–70 m). </w:t>
      </w:r>
      <w:r w:rsidR="00332D53" w:rsidRPr="00332D53">
        <w:rPr>
          <w:rFonts w:asciiTheme="minorHAnsi" w:hAnsiTheme="minorHAnsi" w:cstheme="minorHAnsi"/>
          <w:lang w:eastAsia="zh-CN"/>
        </w:rPr>
        <w:t xml:space="preserve">Models were trained on a subset of the </w:t>
      </w:r>
      <w:r w:rsidR="00332D53" w:rsidRPr="002E49B3">
        <w:rPr>
          <w:rFonts w:asciiTheme="minorHAnsi" w:hAnsiTheme="minorHAnsi" w:cstheme="minorHAnsi"/>
          <w:lang w:eastAsia="zh-CN"/>
        </w:rPr>
        <w:t>observational dataset and evaluated on withheld test samples. Performance was assessed for the full dataset and separately under free-stream conditions and wake-influenced conditions.</w:t>
      </w:r>
      <w:r w:rsidR="00332D53" w:rsidRPr="002E49B3">
        <w:rPr>
          <w:rFonts w:asciiTheme="minorHAnsi" w:hAnsiTheme="minorHAnsi" w:cstheme="minorHAnsi" w:hint="eastAsia"/>
          <w:lang w:eastAsia="zh-CN"/>
        </w:rPr>
        <w:t xml:space="preserve"> </w:t>
      </w:r>
      <w:r w:rsidR="002E49B3" w:rsidRPr="002E49B3">
        <w:rPr>
          <w:rFonts w:asciiTheme="minorHAnsi" w:hAnsiTheme="minorHAnsi" w:cstheme="minorHAnsi"/>
          <w:lang w:eastAsia="zh-CN"/>
        </w:rPr>
        <w:t>Full implementation details, including model hyperparameters, data filtering, and train–test splitting procedures, are documented in Text S3.</w:t>
      </w:r>
      <w:r w:rsidR="002E49B3" w:rsidRPr="002E49B3">
        <w:rPr>
          <w:rFonts w:asciiTheme="minorHAnsi" w:hAnsiTheme="minorHAnsi" w:cstheme="minorHAnsi" w:hint="eastAsia"/>
          <w:lang w:eastAsia="zh-CN"/>
        </w:rPr>
        <w:t xml:space="preserve"> </w:t>
      </w:r>
      <w:r w:rsidR="00332D53" w:rsidRPr="002E49B3">
        <w:rPr>
          <w:rFonts w:asciiTheme="minorHAnsi" w:hAnsiTheme="minorHAnsi" w:cstheme="minorHAnsi"/>
          <w:lang w:eastAsia="zh-CN"/>
        </w:rPr>
        <w:t>To exami</w:t>
      </w:r>
      <w:r w:rsidR="00332D53" w:rsidRPr="00332D53">
        <w:rPr>
          <w:rFonts w:asciiTheme="minorHAnsi" w:hAnsiTheme="minorHAnsi" w:cstheme="minorHAnsi"/>
          <w:lang w:eastAsia="zh-CN"/>
        </w:rPr>
        <w:t xml:space="preserve">ne whether the regression model exploits physically meaningful information rather than statistical artifacts, </w:t>
      </w:r>
      <w:proofErr w:type="spellStart"/>
      <w:r w:rsidR="00332D53" w:rsidRPr="00332D53">
        <w:rPr>
          <w:rFonts w:asciiTheme="minorHAnsi" w:hAnsiTheme="minorHAnsi" w:cstheme="minorHAnsi"/>
          <w:lang w:eastAsia="zh-CN"/>
        </w:rPr>
        <w:t>SHapley</w:t>
      </w:r>
      <w:proofErr w:type="spellEnd"/>
      <w:r w:rsidR="00332D53" w:rsidRPr="00332D53">
        <w:rPr>
          <w:rFonts w:asciiTheme="minorHAnsi" w:hAnsiTheme="minorHAnsi" w:cstheme="minorHAnsi"/>
          <w:lang w:eastAsia="zh-CN"/>
        </w:rPr>
        <w:t xml:space="preserve"> Additive </w:t>
      </w:r>
      <w:proofErr w:type="spellStart"/>
      <w:r w:rsidR="00332D53" w:rsidRPr="00332D53">
        <w:rPr>
          <w:rFonts w:asciiTheme="minorHAnsi" w:hAnsiTheme="minorHAnsi" w:cstheme="minorHAnsi"/>
          <w:lang w:eastAsia="zh-CN"/>
        </w:rPr>
        <w:t>exPlanations</w:t>
      </w:r>
      <w:proofErr w:type="spellEnd"/>
      <w:r w:rsidR="00332D53" w:rsidRPr="00332D53">
        <w:rPr>
          <w:rFonts w:asciiTheme="minorHAnsi" w:hAnsiTheme="minorHAnsi" w:cstheme="minorHAnsi"/>
          <w:lang w:eastAsia="zh-CN"/>
        </w:rPr>
        <w:t xml:space="preserve"> (SHAP) were applied to quantify the contribution of each input variable</w:t>
      </w:r>
      <w:r w:rsidR="00332D53">
        <w:rPr>
          <w:rFonts w:asciiTheme="minorHAnsi" w:hAnsiTheme="minorHAnsi" w:cstheme="minorHAnsi" w:hint="eastAsia"/>
          <w:lang w:eastAsia="zh-CN"/>
        </w:rPr>
        <w:t xml:space="preserve"> </w:t>
      </w:r>
      <w:r w:rsidR="00332D53">
        <w:rPr>
          <w:rFonts w:asciiTheme="minorHAnsi" w:hAnsiTheme="minorHAnsi" w:cstheme="minorHAnsi"/>
          <w:lang w:eastAsia="zh-CN"/>
        </w:rPr>
        <w:fldChar w:fldCharType="begin"/>
      </w:r>
      <w:r w:rsidR="00332D53">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2017)","noteIndex":0},"citationItems":[{"id":1670,"uris":["http://zotero.org/users/14274501/items/6ESH4HYK"],"itemData":{"id":1670,"type":"article-journal","container-title":"Advances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332D53">
        <w:rPr>
          <w:rFonts w:asciiTheme="minorHAnsi" w:hAnsiTheme="minorHAnsi" w:cstheme="minorHAnsi"/>
          <w:lang w:eastAsia="zh-CN"/>
        </w:rPr>
        <w:fldChar w:fldCharType="separate"/>
      </w:r>
      <w:r w:rsidR="00332D53">
        <w:rPr>
          <w:rFonts w:asciiTheme="minorHAnsi" w:hAnsiTheme="minorHAnsi" w:cstheme="minorHAnsi"/>
          <w:noProof/>
          <w:lang w:eastAsia="zh-CN"/>
        </w:rPr>
        <w:t>(Lundberg &amp; Lee, 2017)</w:t>
      </w:r>
      <w:r w:rsidR="00332D53">
        <w:rPr>
          <w:rFonts w:asciiTheme="minorHAnsi" w:hAnsiTheme="minorHAnsi" w:cstheme="minorHAnsi"/>
          <w:lang w:eastAsia="zh-CN"/>
        </w:rPr>
        <w:fldChar w:fldCharType="end"/>
      </w:r>
      <w:r w:rsidR="00332D53" w:rsidRPr="00332D53">
        <w:rPr>
          <w:rFonts w:asciiTheme="minorHAnsi" w:hAnsiTheme="minorHAnsi" w:cstheme="minorHAnsi"/>
          <w:lang w:eastAsia="zh-CN"/>
        </w:rPr>
        <w:t>. SHAP analysis was conducted separately for free-stream and wake-influenced conditions to assess whether variable importance aligns with the regime-dependent vertical structure identified in Section 4.1.</w:t>
      </w:r>
    </w:p>
    <w:bookmarkEnd w:id="10"/>
    <w:p w14:paraId="2C759F06" w14:textId="6695DBAA" w:rsidR="00DE1A04" w:rsidRPr="00DE1A04" w:rsidRDefault="000D6606" w:rsidP="00DE1A04">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2.4 </w:t>
      </w:r>
      <w:r w:rsidR="008B3B80" w:rsidRPr="008B3B80">
        <w:rPr>
          <w:rFonts w:asciiTheme="minorHAnsi" w:hAnsiTheme="minorHAnsi" w:cstheme="minorHAnsi"/>
          <w:lang w:eastAsia="zh-CN"/>
        </w:rPr>
        <w:t>Day-Ahead Forecast Experiment</w:t>
      </w:r>
    </w:p>
    <w:p w14:paraId="193EE8DF" w14:textId="46FF917D" w:rsidR="00222796" w:rsidRDefault="00222796" w:rsidP="0062533D">
      <w:pPr>
        <w:pStyle w:val="Text"/>
        <w:rPr>
          <w:rFonts w:asciiTheme="minorHAnsi" w:hAnsiTheme="minorHAnsi" w:cstheme="minorHAnsi"/>
          <w:lang w:eastAsia="zh-CN"/>
        </w:rPr>
      </w:pPr>
      <w:r w:rsidRPr="00222796">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sidR="00E463E2">
        <w:rPr>
          <w:rFonts w:asciiTheme="minorHAnsi" w:hAnsiTheme="minorHAnsi" w:cstheme="minorHAnsi"/>
          <w:lang w:eastAsia="zh-CN"/>
        </w:rPr>
        <w:fldChar w:fldCharType="begin"/>
      </w:r>
      <w:r w:rsidR="00E463E2">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2012)","noteIndex":0},"citationItems":[{"id":1806,"uris":["http://zotero.org/users/14274501/items/ILLUG3IK"],"itemData":{"id":1806,"type":"article-journal","abstract":"Despite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ltering technique, which combines recursively observations and model forecasts to minimise the corresponding biases. In meteorology, Kalman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lters are widely used to improve the prediction of variables characterised by well-de</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ned cyclicities, whereas the evolution of wind speed is usually too irregular. In the present paper, the Kalman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lter is analysed in order to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nd the best con</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lter, this methodology is capable to provide signi</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cant forecast improvement with respect to the wind speed model direct output, especially when used for very short-term forecast. In this con</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guration, Kalman-</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sidR="00E463E2">
        <w:rPr>
          <w:rFonts w:asciiTheme="minorHAnsi" w:hAnsiTheme="minorHAnsi" w:cstheme="minorHAnsi"/>
          <w:lang w:eastAsia="zh-CN"/>
        </w:rPr>
        <w:fldChar w:fldCharType="separate"/>
      </w:r>
      <w:r w:rsidR="00E463E2">
        <w:rPr>
          <w:rFonts w:asciiTheme="minorHAnsi" w:hAnsiTheme="minorHAnsi" w:cstheme="minorHAnsi"/>
          <w:noProof/>
          <w:lang w:eastAsia="zh-CN"/>
        </w:rPr>
        <w:t>(Cassola &amp; Burlando, 2012)</w:t>
      </w:r>
      <w:r w:rsidR="00E463E2">
        <w:rPr>
          <w:rFonts w:asciiTheme="minorHAnsi" w:hAnsiTheme="minorHAnsi" w:cstheme="minorHAnsi"/>
          <w:lang w:eastAsia="zh-CN"/>
        </w:rPr>
        <w:fldChar w:fldCharType="end"/>
      </w:r>
      <w:r w:rsidRPr="00222796">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t>
      </w:r>
      <w:r w:rsidRPr="002E49B3">
        <w:rPr>
          <w:rFonts w:asciiTheme="minorHAnsi" w:hAnsiTheme="minorHAnsi" w:cstheme="minorHAnsi"/>
          <w:lang w:eastAsia="zh-CN"/>
        </w:rPr>
        <w:t>were applied to the bias-corrected WRF outputs. Temperature was included as a predictor in all configurations</w:t>
      </w:r>
      <w:r w:rsidR="002E49B3" w:rsidRPr="002E49B3">
        <w:rPr>
          <w:rFonts w:asciiTheme="minorHAnsi" w:hAnsiTheme="minorHAnsi" w:cstheme="minorHAnsi" w:hint="eastAsia"/>
          <w:lang w:eastAsia="zh-CN"/>
        </w:rPr>
        <w:t xml:space="preserve"> </w:t>
      </w:r>
      <w:r w:rsidR="002E49B3" w:rsidRPr="002E49B3">
        <w:rPr>
          <w:rFonts w:asciiTheme="minorHAnsi" w:hAnsiTheme="minorHAnsi" w:cstheme="minorHAnsi"/>
          <w:lang w:eastAsia="zh-CN"/>
        </w:rPr>
        <w:t>(Text S4).</w:t>
      </w:r>
    </w:p>
    <w:p w14:paraId="42BC9FA1" w14:textId="6EC21547" w:rsidR="00222796" w:rsidRDefault="00222796" w:rsidP="00AF4406">
      <w:pPr>
        <w:pStyle w:val="Text"/>
        <w:rPr>
          <w:rFonts w:asciiTheme="minorHAnsi" w:hAnsiTheme="minorHAnsi" w:cstheme="minorHAnsi"/>
          <w:highlight w:val="yellow"/>
          <w:lang w:eastAsia="zh-CN"/>
        </w:rPr>
      </w:pPr>
      <w:r w:rsidRPr="00222796">
        <w:rPr>
          <w:rFonts w:asciiTheme="minorHAnsi" w:hAnsiTheme="minorHAnsi" w:cstheme="minorHAnsi"/>
          <w:lang w:eastAsia="zh-CN"/>
        </w:rPr>
        <w:t xml:space="preserve">In addition to these baseline configurations, a sector-based forecasting experiment was implemented to reflect regime-dependent behavior. Forecasts were partitioned into free-stream conditions (225°–315°), wake-influenced conditions (45°–135°), and transitional directions (remaining sectors) based on 70 m wind direction predicted by WRF. Separate regression models were trained within each sector following the same procedure described in Section 2.3. During forecasting, the sector was determined from the predicted wind direction, and the corresponding sector-specific model was applied. This sector-based forecasting experiment is referred to as the wind-direction-aware (WDA) approach in the following </w:t>
      </w:r>
      <w:r w:rsidRPr="00AF4406">
        <w:rPr>
          <w:rFonts w:asciiTheme="minorHAnsi" w:hAnsiTheme="minorHAnsi" w:cstheme="minorHAnsi"/>
          <w:lang w:eastAsia="zh-CN"/>
        </w:rPr>
        <w:lastRenderedPageBreak/>
        <w:t>sections.</w:t>
      </w:r>
      <w:r w:rsidR="00AF4406" w:rsidRPr="00AF4406">
        <w:rPr>
          <w:rFonts w:asciiTheme="minorHAnsi" w:hAnsiTheme="minorHAnsi" w:cstheme="minorHAnsi"/>
          <w:lang w:eastAsia="zh-CN"/>
        </w:rPr>
        <w:t xml:space="preserve"> Full implementation details, including the two-stage bias-correction framework, strategy configurations, and model hyperparameters, are documented in Text S4.</w:t>
      </w:r>
    </w:p>
    <w:p w14:paraId="68077EA4" w14:textId="4A87A130" w:rsidR="000D6606" w:rsidRDefault="000D6606" w:rsidP="00C81368">
      <w:pPr>
        <w:pStyle w:val="Heading-Secondary"/>
        <w:rPr>
          <w:rFonts w:asciiTheme="minorHAnsi" w:hAnsiTheme="minorHAnsi" w:cstheme="minorHAnsi"/>
          <w:lang w:eastAsia="zh-CN"/>
        </w:rPr>
      </w:pPr>
      <w:r w:rsidRPr="000D6606">
        <w:rPr>
          <w:rFonts w:asciiTheme="minorHAnsi" w:hAnsiTheme="minorHAnsi" w:cstheme="minorHAnsi"/>
          <w:lang w:eastAsia="zh-CN"/>
        </w:rPr>
        <w:t>2.5 Statistical Testing</w:t>
      </w:r>
    </w:p>
    <w:p w14:paraId="20FCF04D" w14:textId="632F821C" w:rsidR="00107A81" w:rsidRPr="00F042E5" w:rsidRDefault="00DE1A04" w:rsidP="00107A81">
      <w:pPr>
        <w:pStyle w:val="Text"/>
        <w:rPr>
          <w:rFonts w:asciiTheme="minorHAnsi" w:hAnsiTheme="minorHAnsi" w:cstheme="minorHAnsi"/>
          <w:lang w:eastAsia="zh-CN"/>
        </w:rPr>
      </w:pPr>
      <w:r w:rsidRPr="00DE1A04">
        <w:rPr>
          <w:rFonts w:asciiTheme="minorHAnsi" w:hAnsiTheme="minorHAnsi" w:cstheme="minorHAnsi"/>
          <w:lang w:eastAsia="zh-CN"/>
        </w:rPr>
        <w:t xml:space="preserve">Model performance was evaluated using coefficient of determination (R²), root mean square error (RMSE), and </w:t>
      </w:r>
      <w:r w:rsidR="00BA08BE" w:rsidRPr="00BA08BE">
        <w:rPr>
          <w:rFonts w:asciiTheme="minorHAnsi" w:hAnsiTheme="minorHAnsi" w:cstheme="minorHAnsi"/>
          <w:lang w:eastAsia="zh-CN"/>
        </w:rPr>
        <w:t>Spearman</w:t>
      </w:r>
      <w:r w:rsidRPr="00DE1A04">
        <w:rPr>
          <w:rFonts w:asciiTheme="minorHAnsi" w:hAnsiTheme="minorHAnsi" w:cstheme="minorHAnsi"/>
          <w:lang w:eastAsia="zh-CN"/>
        </w:rPr>
        <w:t xml:space="preserve"> correlation coefficient computed against observed farm-scale power output. Statistical significance of performance differences between modeling strategies was assessed using the Diebold-Mariano test </w:t>
      </w:r>
      <w:r w:rsidR="008323E7">
        <w:rPr>
          <w:rFonts w:asciiTheme="minorHAnsi" w:hAnsiTheme="minorHAnsi" w:cstheme="minorHAnsi"/>
          <w:lang w:eastAsia="zh-CN"/>
        </w:rPr>
        <w:fldChar w:fldCharType="begin"/>
      </w:r>
      <w:r w:rsidR="008323E7">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1995)","noteIndex":0},"citationItems":[{"id":1807,"uris":["http://zotero.org/users/14274501/items/EE5UVVJG"],"itemData":{"id":1807,"type":"article-journal","container-title":"Journal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sidR="008323E7">
        <w:rPr>
          <w:rFonts w:asciiTheme="minorHAnsi" w:hAnsiTheme="minorHAnsi" w:cstheme="minorHAnsi"/>
          <w:lang w:eastAsia="zh-CN"/>
        </w:rPr>
        <w:fldChar w:fldCharType="separate"/>
      </w:r>
      <w:r w:rsidR="008323E7">
        <w:rPr>
          <w:rFonts w:asciiTheme="minorHAnsi" w:hAnsiTheme="minorHAnsi" w:cstheme="minorHAnsi"/>
          <w:noProof/>
          <w:lang w:eastAsia="zh-CN"/>
        </w:rPr>
        <w:t>(Diebold &amp; Mariano, 1995)</w:t>
      </w:r>
      <w:r w:rsidR="008323E7">
        <w:rPr>
          <w:rFonts w:asciiTheme="minorHAnsi" w:hAnsiTheme="minorHAnsi" w:cstheme="minorHAnsi"/>
          <w:lang w:eastAsia="zh-CN"/>
        </w:rPr>
        <w:fldChar w:fldCharType="end"/>
      </w:r>
      <w:r w:rsidRPr="00DE1A04">
        <w:rPr>
          <w:rFonts w:asciiTheme="minorHAnsi" w:hAnsiTheme="minorHAnsi" w:cstheme="minorHAnsi"/>
          <w:lang w:eastAsia="zh-CN"/>
        </w:rPr>
        <w:t>, which accounts for temporal autocorrelation in forecast errors when comparing predictive accuracy of competing models.</w:t>
      </w:r>
    </w:p>
    <w:p w14:paraId="6888E72E" w14:textId="31C69D13" w:rsidR="002F3B11" w:rsidRDefault="002F3B11" w:rsidP="00C81368">
      <w:pPr>
        <w:pStyle w:val="Heading-Main"/>
        <w:rPr>
          <w:rFonts w:asciiTheme="minorHAnsi" w:hAnsiTheme="minorHAnsi" w:cstheme="minorHAnsi"/>
          <w:lang w:eastAsia="zh-CN"/>
        </w:rPr>
      </w:pPr>
      <w:r w:rsidRPr="00924611">
        <w:rPr>
          <w:rFonts w:asciiTheme="minorHAnsi" w:hAnsiTheme="minorHAnsi" w:cstheme="minorHAnsi"/>
        </w:rPr>
        <w:t>3 Data</w:t>
      </w:r>
    </w:p>
    <w:p w14:paraId="2964A8DD" w14:textId="563CFAC7" w:rsidR="000D6606" w:rsidRDefault="000D6606" w:rsidP="000D6606">
      <w:pPr>
        <w:pStyle w:val="Heading-Secondary"/>
        <w:rPr>
          <w:rFonts w:asciiTheme="minorHAnsi" w:hAnsiTheme="minorHAnsi" w:cstheme="minorHAnsi"/>
          <w:lang w:eastAsia="zh-CN"/>
        </w:rPr>
      </w:pPr>
      <w:r w:rsidRPr="000D6606">
        <w:rPr>
          <w:rFonts w:asciiTheme="minorHAnsi" w:hAnsiTheme="minorHAnsi" w:cstheme="minorHAnsi"/>
          <w:lang w:eastAsia="zh-CN"/>
        </w:rPr>
        <w:t>3.1 Site and Observational Data</w:t>
      </w:r>
    </w:p>
    <w:p w14:paraId="7D7952A7" w14:textId="77777777" w:rsidR="009B5FE1" w:rsidRDefault="00E804AE" w:rsidP="00107A81">
      <w:pPr>
        <w:pStyle w:val="Text"/>
        <w:rPr>
          <w:rFonts w:asciiTheme="minorHAnsi" w:hAnsiTheme="minorHAnsi" w:cstheme="minorHAnsi"/>
          <w:lang w:eastAsia="zh-CN"/>
        </w:rPr>
      </w:pPr>
      <w:r w:rsidRPr="00E804AE">
        <w:rPr>
          <w:rFonts w:asciiTheme="minorHAnsi" w:hAnsiTheme="minorHAnsi" w:cstheme="minorHAnsi"/>
          <w:lang w:eastAsia="zh-CN"/>
        </w:rPr>
        <w:t xml:space="preserve">Observational data were collected from a 201 MW wind farm located on flat terrain in the desert Gobi of the Hexi Corridor, Gansu, China. The farm comprises 134 wind turbines, each with a rated capacity of 1.5 MW, a hub height of 61.5 m, and a rotor diameter of 82 m. A 70 m meteorological mast is situated 586 m west of the first turbine row at the western boundary of the farm (Figure S1). Vertical wind profiles were characterized using wind speed measurements at four heights (10 m, 30 m, 50 m, and 70 m) from May 2021 to October 2022 at 15-minute intervals. In this study, the 10 m measurement represents the surface layer, while 70 m corresponds to hub height. </w:t>
      </w:r>
    </w:p>
    <w:p w14:paraId="49D492AC" w14:textId="62D8B689" w:rsidR="00E804AE" w:rsidRDefault="003D7A07" w:rsidP="00107A81">
      <w:pPr>
        <w:pStyle w:val="Text"/>
        <w:rPr>
          <w:rFonts w:asciiTheme="minorHAnsi" w:hAnsiTheme="minorHAnsi" w:cstheme="minorHAnsi"/>
          <w:lang w:eastAsia="zh-CN"/>
        </w:rPr>
      </w:pPr>
      <w:r w:rsidRPr="003D7A07">
        <w:rPr>
          <w:rFonts w:asciiTheme="minorHAnsi" w:hAnsiTheme="minorHAnsi" w:cstheme="minorHAnsi"/>
          <w:lang w:eastAsia="zh-CN"/>
        </w:rPr>
        <w:t xml:space="preserve">All observational data underwent a standardized quality-control and preprocessing procedure consistent with that described in Xia et al. </w:t>
      </w:r>
      <w:r w:rsidR="00093BDE">
        <w:rPr>
          <w:rFonts w:asciiTheme="minorHAnsi" w:hAnsiTheme="minorHAnsi" w:cstheme="minorHAnsi"/>
          <w:lang w:eastAsia="zh-CN"/>
        </w:rPr>
        <w:fldChar w:fldCharType="begin"/>
      </w:r>
      <w:r w:rsidR="00093BDE">
        <w:rPr>
          <w:rFonts w:asciiTheme="minorHAnsi" w:hAnsiTheme="minorHAnsi" w:cstheme="minorHAnsi"/>
          <w:lang w:eastAsia="zh-CN"/>
        </w:rPr>
        <w:instrText xml:space="preserve"> ADDIN ZOTERO_ITEM CSL_CITATION {"citationID":"zJ39nmx5","properties":{"formattedCitation":"(2026; 2026)","plainCitation":"(2026; 2026)","noteIndex":0},"citationItems":[{"id":1751,"uris":["http://zotero.org/users/14274501/items/XKBA5IZS"],"itemData":{"id":1751,"type":"article-journal","abstract":"Accurate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1810,"uris":["http://zotero.org/users/14274501/items/ZCWVXAUW"],"itemData":{"id":1810,"type":"article-journal","abstract":"Accurate short-term (0</w:instrText>
      </w:r>
      <w:r w:rsidR="00093BDE">
        <w:rPr>
          <w:rFonts w:asciiTheme="minorHAnsi" w:hAnsiTheme="minorHAnsi" w:cstheme="minorHAnsi" w:hint="eastAsia"/>
          <w:lang w:eastAsia="zh-CN"/>
        </w:rPr>
        <w:instrText>–</w:instrText>
      </w:r>
      <w:r w:rsidR="00093BDE">
        <w:rPr>
          <w:rFonts w:asciiTheme="minorHAnsi" w:hAnsiTheme="minorHAnsi" w:cstheme="minorHAnsi"/>
          <w:lang w:eastAsia="zh-CN"/>
        </w:rPr>
        <w:instrText xml:space="preserve">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sidR="00093BDE">
        <w:rPr>
          <w:rFonts w:asciiTheme="minorHAnsi" w:hAnsiTheme="minorHAnsi" w:cstheme="minorHAnsi"/>
          <w:lang w:eastAsia="zh-CN"/>
        </w:rPr>
        <w:fldChar w:fldCharType="separate"/>
      </w:r>
      <w:r w:rsidR="00093BDE">
        <w:rPr>
          <w:rFonts w:asciiTheme="minorHAnsi" w:hAnsiTheme="minorHAnsi" w:cstheme="minorHAnsi"/>
          <w:noProof/>
          <w:lang w:eastAsia="zh-CN"/>
        </w:rPr>
        <w:t>(2026; 2026)</w:t>
      </w:r>
      <w:r w:rsidR="00093BDE">
        <w:rPr>
          <w:rFonts w:asciiTheme="minorHAnsi" w:hAnsiTheme="minorHAnsi" w:cstheme="minorHAnsi"/>
          <w:lang w:eastAsia="zh-CN"/>
        </w:rPr>
        <w:fldChar w:fldCharType="end"/>
      </w:r>
      <w:r w:rsidRPr="003D7A07">
        <w:rPr>
          <w:rFonts w:asciiTheme="minorHAnsi" w:hAnsiTheme="minorHAnsi" w:cstheme="minorHAnsi"/>
          <w:lang w:eastAsia="zh-CN"/>
        </w:rPr>
        <w:t>. Briefly, missing or invalid values were identified and removed. Short gaps (</w:t>
      </w:r>
      <w:r w:rsidRPr="003D7A07">
        <w:rPr>
          <w:rFonts w:asciiTheme="minorHAnsi" w:hAnsiTheme="minorHAnsi" w:cstheme="minorHAnsi" w:hint="eastAsia"/>
          <w:lang w:eastAsia="zh-CN"/>
        </w:rPr>
        <w:t>≤</w:t>
      </w:r>
      <w:r w:rsidRPr="003D7A07">
        <w:rPr>
          <w:rFonts w:asciiTheme="minorHAnsi" w:hAnsiTheme="minorHAnsi" w:cstheme="minorHAnsi"/>
          <w:lang w:eastAsia="zh-CN"/>
        </w:rPr>
        <w:t xml:space="preserve"> 2 consecutive time steps) were filled using linear interpolation, while longer gaps were excluded from model training and evaluation. Physically implausible wind speeds (outside 0–30 m s⁻¹) and statistical outliers exceeding three standard deviations from monthly means were removed. All observational records were temporally synchronized with WRF outputs to ensure exact alignment for forecasting experiments. No additional filtering (e.g., removal of low-wind or curtailment periods) was applied in order to preserve realistic operational variability</w:t>
      </w:r>
      <w:r w:rsidR="00035E63" w:rsidRPr="00035E63">
        <w:rPr>
          <w:rFonts w:asciiTheme="minorHAnsi" w:hAnsiTheme="minorHAnsi" w:cstheme="minorHAnsi"/>
          <w:lang w:eastAsia="zh-CN"/>
        </w:rPr>
        <w:t>.</w:t>
      </w:r>
    </w:p>
    <w:p w14:paraId="5E437994" w14:textId="0E8E20F8" w:rsidR="006B66EF" w:rsidRDefault="000D6606" w:rsidP="00131A0D">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3.2 </w:t>
      </w:r>
      <w:r w:rsidR="00FA7BF2" w:rsidRPr="00FA7BF2">
        <w:rPr>
          <w:rFonts w:asciiTheme="minorHAnsi" w:hAnsiTheme="minorHAnsi" w:cstheme="minorHAnsi"/>
          <w:lang w:eastAsia="zh-CN"/>
        </w:rPr>
        <w:t xml:space="preserve">NWP </w:t>
      </w:r>
      <w:r w:rsidRPr="000D6606">
        <w:rPr>
          <w:rFonts w:asciiTheme="minorHAnsi" w:hAnsiTheme="minorHAnsi" w:cstheme="minorHAnsi"/>
          <w:lang w:eastAsia="zh-CN"/>
        </w:rPr>
        <w:t>Data</w:t>
      </w:r>
    </w:p>
    <w:p w14:paraId="423142AE" w14:textId="6566B0CC" w:rsidR="002B5FE3" w:rsidRDefault="006B66EF" w:rsidP="00680E1A">
      <w:pPr>
        <w:pStyle w:val="Text"/>
        <w:rPr>
          <w:rFonts w:asciiTheme="minorHAnsi" w:hAnsiTheme="minorHAnsi" w:cstheme="minorHAnsi"/>
          <w:lang w:eastAsia="zh-CN"/>
        </w:rPr>
      </w:pPr>
      <w:r w:rsidRPr="006B66EF">
        <w:rPr>
          <w:rFonts w:asciiTheme="minorHAnsi" w:hAnsiTheme="minorHAnsi" w:cstheme="minorHAnsi"/>
          <w:lang w:eastAsia="zh-CN"/>
        </w:rPr>
        <w:t xml:space="preserve">Day-ahead forecasting experiments employed two WRF version 4.2 dynamical downscaling datasets initialized from different global forecast systems. The first dataset was driven by the ECMWF Integrated Forecasting System (hereafter EC-WRF), and the second was driven by the NCEP Global Forecast System (hereafter GFS-WRF). Both downscaling systems used identical WRF configurations, including physics parameterizations and nesting strategies, to ensure comparability. Following operational requirements of local grid dispatch centers, forecasts targeting the next-day 24-hour period (Day+1, 00:00–23:45 Beijing Time) were initialized daily at 20:00 Beijing Time. A 28-hour lead time accounts for data transmission, computation, and reporting constraints, with the first 28 hours treated as model spin-up. Forecast hours 28–52 </w:t>
      </w:r>
      <w:proofErr w:type="gramStart"/>
      <w:r w:rsidRPr="006B66EF">
        <w:rPr>
          <w:rFonts w:asciiTheme="minorHAnsi" w:hAnsiTheme="minorHAnsi" w:cstheme="minorHAnsi"/>
          <w:lang w:eastAsia="zh-CN"/>
        </w:rPr>
        <w:t>were</w:t>
      </w:r>
      <w:proofErr w:type="gramEnd"/>
      <w:r w:rsidRPr="006B66EF">
        <w:rPr>
          <w:rFonts w:asciiTheme="minorHAnsi" w:hAnsiTheme="minorHAnsi" w:cstheme="minorHAnsi"/>
          <w:lang w:eastAsia="zh-CN"/>
        </w:rPr>
        <w:t xml:space="preserve"> extracted for evaluation, bilinearly interpolated to the </w:t>
      </w:r>
      <w:r w:rsidRPr="006B66EF">
        <w:rPr>
          <w:rFonts w:asciiTheme="minorHAnsi" w:hAnsiTheme="minorHAnsi" w:cstheme="minorHAnsi"/>
          <w:lang w:eastAsia="zh-CN"/>
        </w:rPr>
        <w:lastRenderedPageBreak/>
        <w:t>meteorological mast location, and vertically interpolated to the four observation heights (10 m, 30 m, 50 m, and 70 m).</w:t>
      </w:r>
      <w:r>
        <w:rPr>
          <w:rFonts w:asciiTheme="minorHAnsi" w:hAnsiTheme="minorHAnsi" w:cstheme="minorHAnsi" w:hint="eastAsia"/>
          <w:lang w:eastAsia="zh-CN"/>
        </w:rPr>
        <w:t xml:space="preserve"> </w:t>
      </w:r>
      <w:r w:rsidR="00924DFF" w:rsidRPr="00924DFF">
        <w:rPr>
          <w:rFonts w:asciiTheme="minorHAnsi" w:hAnsiTheme="minorHAnsi" w:cstheme="minorHAnsi"/>
          <w:lang w:eastAsia="zh-CN"/>
        </w:rPr>
        <w:t xml:space="preserve">The WRF configuration and baseline validation of the operational framework are documented in Xia et al. </w:t>
      </w:r>
      <w:r w:rsidR="00924DFF">
        <w:rPr>
          <w:rFonts w:asciiTheme="minorHAnsi" w:hAnsiTheme="minorHAnsi" w:cstheme="minorHAnsi"/>
          <w:lang w:eastAsia="zh-CN"/>
        </w:rPr>
        <w:fldChar w:fldCharType="begin"/>
      </w:r>
      <w:r w:rsidR="00924DFF">
        <w:rPr>
          <w:rFonts w:asciiTheme="minorHAnsi" w:hAnsiTheme="minorHAnsi" w:cstheme="minorHAnsi"/>
          <w:lang w:eastAsia="zh-CN"/>
        </w:rPr>
        <w:instrText xml:space="preserve"> ADDIN ZOTERO_ITEM CSL_CITATION {"citationID":"YhDNwsq6","properties":{"formattedCitation":"(2026)","plainCitation":"(2026)","noteIndex":0},"citationItems":[{"id":1751,"uris":["http://zotero.org/users/14274501/items/XKBA5IZS"],"itemData":{"id":1751,"type":"article-journal","abstract":"Accurate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sidR="00924DFF">
        <w:rPr>
          <w:rFonts w:asciiTheme="minorHAnsi" w:hAnsiTheme="minorHAnsi" w:cstheme="minorHAnsi"/>
          <w:lang w:eastAsia="zh-CN"/>
        </w:rPr>
        <w:fldChar w:fldCharType="separate"/>
      </w:r>
      <w:r w:rsidR="00924DFF">
        <w:rPr>
          <w:rFonts w:asciiTheme="minorHAnsi" w:hAnsiTheme="minorHAnsi" w:cstheme="minorHAnsi"/>
          <w:noProof/>
          <w:lang w:eastAsia="zh-CN"/>
        </w:rPr>
        <w:t>(2026)</w:t>
      </w:r>
      <w:r w:rsidR="00924DFF">
        <w:rPr>
          <w:rFonts w:asciiTheme="minorHAnsi" w:hAnsiTheme="minorHAnsi" w:cstheme="minorHAnsi"/>
          <w:lang w:eastAsia="zh-CN"/>
        </w:rPr>
        <w:fldChar w:fldCharType="end"/>
      </w:r>
      <w:r w:rsidR="00924DFF" w:rsidRPr="00924DFF">
        <w:rPr>
          <w:rFonts w:asciiTheme="minorHAnsi" w:hAnsiTheme="minorHAnsi" w:cstheme="minorHAnsi"/>
          <w:lang w:eastAsia="zh-CN"/>
        </w:rPr>
        <w:t>, and the same setup is adopted here to ensure methodological consistency</w:t>
      </w:r>
      <w:r w:rsidRPr="006B66EF">
        <w:rPr>
          <w:rFonts w:asciiTheme="minorHAnsi" w:hAnsiTheme="minorHAnsi" w:cstheme="minorHAnsi"/>
          <w:lang w:eastAsia="zh-CN"/>
        </w:rPr>
        <w:t>.</w:t>
      </w:r>
      <w:r w:rsidR="002B5FE3" w:rsidRPr="002B5FE3">
        <w:rPr>
          <w:rFonts w:asciiTheme="minorHAnsi" w:hAnsiTheme="minorHAnsi" w:cstheme="minorHAnsi"/>
          <w:lang w:eastAsia="zh-CN"/>
        </w:rPr>
        <w:t xml:space="preserve"> </w:t>
      </w:r>
    </w:p>
    <w:p w14:paraId="1D429AD0" w14:textId="631247BD" w:rsidR="004707F6" w:rsidRDefault="002F3B11" w:rsidP="00C81368">
      <w:pPr>
        <w:pStyle w:val="Heading-Main"/>
        <w:rPr>
          <w:rFonts w:asciiTheme="minorHAnsi" w:hAnsiTheme="minorHAnsi" w:cstheme="minorHAnsi"/>
          <w:lang w:eastAsia="zh-CN"/>
        </w:rPr>
      </w:pPr>
      <w:r w:rsidRPr="00850691">
        <w:rPr>
          <w:rFonts w:asciiTheme="minorHAnsi" w:hAnsiTheme="minorHAnsi" w:cstheme="minorHAnsi"/>
        </w:rPr>
        <w:t>4 Results</w:t>
      </w:r>
      <w:r w:rsidR="00EE0310">
        <w:rPr>
          <w:rFonts w:asciiTheme="minorHAnsi" w:hAnsiTheme="minorHAnsi" w:cstheme="minorHAnsi"/>
        </w:rPr>
        <w:t xml:space="preserve"> </w:t>
      </w:r>
      <w:r w:rsidR="00EE0310">
        <w:rPr>
          <w:rFonts w:asciiTheme="minorHAnsi" w:hAnsiTheme="minorHAnsi" w:cstheme="minorHAnsi"/>
          <w:lang w:eastAsia="zh-CN"/>
        </w:rPr>
        <w:t xml:space="preserve">and </w:t>
      </w:r>
      <w:r w:rsidR="006F6B2B">
        <w:rPr>
          <w:rFonts w:asciiTheme="minorHAnsi" w:hAnsiTheme="minorHAnsi" w:cstheme="minorHAnsi"/>
          <w:lang w:eastAsia="zh-CN"/>
        </w:rPr>
        <w:t>D</w:t>
      </w:r>
      <w:r w:rsidR="00EE0310">
        <w:rPr>
          <w:rFonts w:asciiTheme="minorHAnsi" w:hAnsiTheme="minorHAnsi" w:cstheme="minorHAnsi"/>
          <w:lang w:eastAsia="zh-CN"/>
        </w:rPr>
        <w:t>iscussion</w:t>
      </w:r>
    </w:p>
    <w:p w14:paraId="4B40789C" w14:textId="52457179" w:rsidR="003A2206" w:rsidRPr="00506457" w:rsidRDefault="003A2206" w:rsidP="003A2206">
      <w:pPr>
        <w:pStyle w:val="Heading-Secondary"/>
        <w:rPr>
          <w:rFonts w:ascii="Arial" w:eastAsia="宋体" w:hAnsi="Arial" w:cs="Arial"/>
          <w:b/>
          <w:color w:val="1A1C1E"/>
          <w:sz w:val="21"/>
          <w:szCs w:val="21"/>
          <w:lang w:eastAsia="zh-CN"/>
        </w:rPr>
      </w:pPr>
      <w:r>
        <w:rPr>
          <w:rFonts w:asciiTheme="minorHAnsi" w:hAnsiTheme="minorHAnsi" w:cstheme="minorHAnsi"/>
        </w:rPr>
        <w:t>4</w:t>
      </w:r>
      <w:r w:rsidRPr="003A2206">
        <w:rPr>
          <w:rFonts w:asciiTheme="minorHAnsi" w:hAnsiTheme="minorHAnsi" w:cstheme="minorHAnsi"/>
        </w:rPr>
        <w:t>.1. Observational Evidence: Vertical Correlation Structure and Flow-Regime Dependency</w:t>
      </w:r>
    </w:p>
    <w:p w14:paraId="4A85DEB3" w14:textId="4E0FF6E5" w:rsidR="00CD6F8E" w:rsidRDefault="00CD6F8E" w:rsidP="00BB770B">
      <w:pPr>
        <w:pStyle w:val="Text"/>
        <w:rPr>
          <w:rFonts w:asciiTheme="minorHAnsi" w:hAnsiTheme="minorHAnsi" w:cstheme="minorHAnsi"/>
          <w:lang w:eastAsia="zh-CN"/>
        </w:rPr>
      </w:pPr>
      <w:bookmarkStart w:id="11" w:name="OLE_LINK2"/>
      <w:r w:rsidRPr="00CD6F8E">
        <w:rPr>
          <w:rFonts w:asciiTheme="minorHAnsi" w:hAnsiTheme="minorHAnsi" w:cstheme="minorHAnsi"/>
          <w:lang w:eastAsia="zh-CN"/>
        </w:rPr>
        <w:t xml:space="preserve">The meteorological mast, positioned 586 m west of a 33-turbine array, captures two distinct inflow regimes determined by wind direction. As shown in the wind rose (Fig. 1A), westerly winds represent free-stream conditions, whereas easterly winds correspond to </w:t>
      </w:r>
      <w:r w:rsidR="00D63358" w:rsidRPr="00D63358">
        <w:rPr>
          <w:rFonts w:asciiTheme="minorHAnsi" w:hAnsiTheme="minorHAnsi" w:cstheme="minorHAnsi"/>
          <w:lang w:eastAsia="zh-CN"/>
        </w:rPr>
        <w:t>wake-influenced</w:t>
      </w:r>
      <w:r w:rsidRPr="00CD6F8E">
        <w:rPr>
          <w:rFonts w:asciiTheme="minorHAnsi" w:hAnsiTheme="minorHAnsi" w:cstheme="minorHAnsi"/>
          <w:lang w:eastAsia="zh-CN"/>
        </w:rPr>
        <w:t xml:space="preserve"> </w:t>
      </w:r>
      <w:r w:rsidR="00DF1CE4" w:rsidRPr="00DF1CE4">
        <w:rPr>
          <w:rFonts w:asciiTheme="minorHAnsi" w:hAnsiTheme="minorHAnsi" w:cstheme="minorHAnsi"/>
          <w:lang w:eastAsia="zh-CN"/>
        </w:rPr>
        <w:t>conditions</w:t>
      </w:r>
      <w:r w:rsidRPr="00CD6F8E">
        <w:rPr>
          <w:rFonts w:asciiTheme="minorHAnsi" w:hAnsiTheme="minorHAnsi" w:cstheme="minorHAnsi"/>
          <w:lang w:eastAsia="zh-CN"/>
        </w:rPr>
        <w:t xml:space="preserve">. </w:t>
      </w:r>
      <w:r w:rsidR="007B688A" w:rsidRPr="007B688A">
        <w:rPr>
          <w:rFonts w:asciiTheme="minorHAnsi" w:hAnsiTheme="minorHAnsi" w:cstheme="minorHAnsi"/>
          <w:lang w:eastAsia="zh-CN"/>
        </w:rPr>
        <w:t>This configuration provides a natural experimental setting for studying the relationship between vertical wind measurements and farm-scale power generation.</w:t>
      </w:r>
    </w:p>
    <w:p w14:paraId="7FA062D7" w14:textId="2035ABBC" w:rsidR="00BB770B" w:rsidRDefault="00CD6F8E" w:rsidP="00BB770B">
      <w:pPr>
        <w:pStyle w:val="Text"/>
        <w:rPr>
          <w:rFonts w:asciiTheme="minorHAnsi" w:hAnsiTheme="minorHAnsi" w:cstheme="minorHAnsi"/>
          <w:lang w:eastAsia="zh-CN"/>
        </w:rPr>
      </w:pPr>
      <w:r w:rsidRPr="00CD6F8E">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sidRPr="00CD6F8E">
        <w:rPr>
          <w:rFonts w:asciiTheme="minorHAnsi" w:hAnsiTheme="minorHAnsi" w:cstheme="minorHAnsi" w:hint="eastAsia"/>
          <w:lang w:eastAsia="zh-CN"/>
        </w:rPr>
        <w:t>≈</w:t>
      </w:r>
      <w:r w:rsidRPr="00CD6F8E">
        <w:rPr>
          <w:rFonts w:asciiTheme="minorHAnsi" w:hAnsiTheme="minorHAnsi" w:cstheme="minorHAnsi"/>
          <w:lang w:eastAsia="zh-CN"/>
        </w:rPr>
        <w:t xml:space="preserve"> 0.81) than hub-height wind speed at 70 m (r </w:t>
      </w:r>
      <w:r w:rsidRPr="00CD6F8E">
        <w:rPr>
          <w:rFonts w:asciiTheme="minorHAnsi" w:hAnsiTheme="minorHAnsi" w:cstheme="minorHAnsi" w:hint="eastAsia"/>
          <w:lang w:eastAsia="zh-CN"/>
        </w:rPr>
        <w:t>≈</w:t>
      </w:r>
      <w:r w:rsidRPr="00CD6F8E">
        <w:rPr>
          <w:rFonts w:asciiTheme="minorHAnsi" w:hAnsiTheme="minorHAnsi" w:cstheme="minorHAnsi"/>
          <w:lang w:eastAsia="zh-CN"/>
        </w:rPr>
        <w:t xml:space="preserve"> 0.79) (Fig. 1B, black line). </w:t>
      </w:r>
      <w:r w:rsidR="00463588" w:rsidRPr="00463588">
        <w:rPr>
          <w:rFonts w:asciiTheme="minorHAnsi" w:hAnsiTheme="minorHAnsi" w:cstheme="minorHAnsi"/>
          <w:lang w:eastAsia="zh-CN"/>
        </w:rPr>
        <w:t>This result challenges both the reliance on hub-height wind speed and the assumption underlying REWS that wind confined to the rotor-swept layer most effectively represents farm-scale power generation</w:t>
      </w:r>
      <w:r w:rsidRPr="00CD6F8E">
        <w:rPr>
          <w:rFonts w:asciiTheme="minorHAnsi" w:hAnsiTheme="minorHAnsi" w:cstheme="minorHAnsi"/>
          <w:lang w:eastAsia="zh-CN"/>
        </w:rPr>
        <w:t xml:space="preserve"> </w:t>
      </w:r>
      <w:r w:rsidR="009C20B8" w:rsidRPr="00DB4755">
        <w:rPr>
          <w:rFonts w:asciiTheme="minorHAnsi" w:hAnsiTheme="minorHAnsi" w:cstheme="minorHAnsi"/>
          <w:lang w:eastAsia="zh-CN"/>
        </w:rPr>
        <w:fldChar w:fldCharType="begin"/>
      </w:r>
      <w:r w:rsidR="00FF34E3">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FF34E3">
        <w:rPr>
          <w:rFonts w:asciiTheme="minorHAnsi" w:hAnsiTheme="minorHAnsi" w:cstheme="minorHAnsi" w:hint="eastAsia"/>
          <w:lang w:eastAsia="zh-CN"/>
        </w:rPr>
        <w:instrText>‐</w:instrText>
      </w:r>
      <w:r w:rsidR="00FF34E3">
        <w:rPr>
          <w:rFonts w:asciiTheme="minorHAnsi" w:hAnsiTheme="minorHAnsi" w:cstheme="minorHAnsi"/>
          <w:lang w:eastAsia="zh-CN"/>
        </w:rPr>
        <w:instrText>height wind speeds between 6 m s\n              −1\n              and 8 m s\n              −1\n              are normalized at 7 m s\n              −1\n              and grouped to a number of mean shear profiles. The energy in the profiles varies considerably for the same hub</w:instrText>
      </w:r>
      <w:r w:rsidR="00FF34E3">
        <w:rPr>
          <w:rFonts w:asciiTheme="minorHAnsi" w:hAnsiTheme="minorHAnsi" w:cstheme="minorHAnsi" w:hint="eastAsia"/>
          <w:lang w:eastAsia="zh-CN"/>
        </w:rPr>
        <w:instrText>‐</w:instrText>
      </w:r>
      <w:r w:rsidR="00FF34E3">
        <w:rPr>
          <w:rFonts w:asciiTheme="minorHAnsi" w:hAnsiTheme="minorHAnsi" w:cstheme="minorHAnsi"/>
          <w:lang w:eastAsia="zh-CN"/>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w:instrText>
      </w:r>
      <w:r w:rsidR="00FF34E3">
        <w:rPr>
          <w:rFonts w:asciiTheme="minorHAnsi" w:hAnsiTheme="minorHAnsi" w:cstheme="minorHAnsi" w:hint="eastAsia"/>
          <w:lang w:eastAsia="zh-CN"/>
        </w:rPr>
        <w:instrText>‐</w:instrText>
      </w:r>
      <w:r w:rsidR="00FF34E3">
        <w:rPr>
          <w:rFonts w:asciiTheme="minorHAnsi" w:hAnsiTheme="minorHAnsi" w:cstheme="minorHAnsi"/>
          <w:lang w:eastAsia="zh-CN"/>
        </w:rPr>
        <w:instrText>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FF34E3">
        <w:rPr>
          <w:rFonts w:asciiTheme="minorHAnsi" w:hAnsiTheme="minorHAnsi" w:cstheme="minorHAnsi" w:hint="eastAsia"/>
          <w:lang w:eastAsia="zh-CN"/>
        </w:rPr>
        <w:instrText>ﬁ</w:instrText>
      </w:r>
      <w:r w:rsidR="00FF34E3">
        <w:rPr>
          <w:rFonts w:asciiTheme="minorHAnsi" w:hAnsiTheme="minorHAnsi" w:cstheme="minorHAnsi"/>
          <w:lang w:eastAsia="zh-CN"/>
        </w:rPr>
        <w:instrText xml:space="preserve">c spatial location and the layout of its neighboring correlated wind turbines. Then, spatial correlation matrix of wind speed is derived by discretizing differential equation at each wind turbine using a </w:instrText>
      </w:r>
      <w:r w:rsidR="00FF34E3">
        <w:rPr>
          <w:rFonts w:asciiTheme="minorHAnsi" w:hAnsiTheme="minorHAnsi" w:cstheme="minorHAnsi" w:hint="eastAsia"/>
          <w:lang w:eastAsia="zh-CN"/>
        </w:rPr>
        <w:instrText>ﬁ</w:instrText>
      </w:r>
      <w:r w:rsidR="00FF34E3">
        <w:rPr>
          <w:rFonts w:asciiTheme="minorHAnsi" w:hAnsiTheme="minorHAnsi" w:cstheme="minorHAnsi"/>
          <w:lang w:eastAsia="zh-CN"/>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sidR="009C20B8" w:rsidRPr="00DB4755">
        <w:rPr>
          <w:rFonts w:asciiTheme="minorHAnsi" w:hAnsiTheme="minorHAnsi" w:cstheme="minorHAnsi"/>
          <w:lang w:eastAsia="zh-CN"/>
        </w:rPr>
        <w:fldChar w:fldCharType="separate"/>
      </w:r>
      <w:r w:rsidR="00FF34E3">
        <w:rPr>
          <w:rFonts w:asciiTheme="minorHAnsi" w:hAnsiTheme="minorHAnsi" w:cstheme="minorHAnsi"/>
          <w:noProof/>
          <w:lang w:eastAsia="zh-CN"/>
        </w:rPr>
        <w:t>(Mahoney et al., 2012; Wagner et al., 2009; Ye et al., 2017)</w:t>
      </w:r>
      <w:r w:rsidR="009C20B8" w:rsidRPr="00DB4755">
        <w:rPr>
          <w:rFonts w:asciiTheme="minorHAnsi" w:hAnsiTheme="minorHAnsi" w:cstheme="minorHAnsi"/>
          <w:lang w:eastAsia="zh-CN"/>
        </w:rPr>
        <w:fldChar w:fldCharType="end"/>
      </w:r>
      <w:r w:rsidR="00BB770B" w:rsidRPr="00AF4406">
        <w:rPr>
          <w:rFonts w:asciiTheme="minorHAnsi" w:hAnsiTheme="minorHAnsi" w:cstheme="minorHAnsi"/>
          <w:lang w:eastAsia="zh-CN"/>
        </w:rPr>
        <w:t>.</w:t>
      </w:r>
      <w:r w:rsidR="00AF4406" w:rsidRPr="00AF4406">
        <w:rPr>
          <w:rFonts w:asciiTheme="minorHAnsi" w:hAnsiTheme="minorHAnsi" w:cstheme="minorHAnsi"/>
          <w:lang w:eastAsia="zh-CN"/>
        </w:rPr>
        <w:t xml:space="preserve"> The complete pairwise Spearman correlation matrix, including inter-height correlations, is provided in Figure S2.</w:t>
      </w:r>
    </w:p>
    <w:p w14:paraId="558E5531" w14:textId="226C666A" w:rsidR="000003FF" w:rsidRDefault="000003FF" w:rsidP="006434C4">
      <w:pPr>
        <w:pStyle w:val="Text"/>
        <w:rPr>
          <w:rFonts w:asciiTheme="minorHAnsi" w:hAnsiTheme="minorHAnsi" w:cstheme="minorHAnsi"/>
          <w:lang w:eastAsia="zh-CN"/>
        </w:rPr>
      </w:pPr>
      <w:r w:rsidRPr="000003FF">
        <w:rPr>
          <w:rFonts w:asciiTheme="minorHAnsi" w:hAnsiTheme="minorHAnsi" w:cstheme="minorHAnsi"/>
        </w:rPr>
        <w:t xml:space="preserve">When partitioned by flow regime, this apparent anomaly is resolved. Under free-stream conditions (Fig. 1B, red line), correlation increases with height and peaks at 70 m (r </w:t>
      </w:r>
      <w:r w:rsidRPr="000003FF">
        <w:rPr>
          <w:rFonts w:asciiTheme="minorHAnsi" w:hAnsiTheme="minorHAnsi" w:cstheme="minorHAnsi" w:hint="eastAsia"/>
        </w:rPr>
        <w:t>≈</w:t>
      </w:r>
      <w:r w:rsidRPr="000003FF">
        <w:rPr>
          <w:rFonts w:asciiTheme="minorHAnsi" w:hAnsiTheme="minorHAnsi" w:cstheme="minorHAnsi"/>
        </w:rPr>
        <w:t xml:space="preserve"> 0.83), consistent with expectations based on vertical shear structure. Under </w:t>
      </w:r>
      <w:r w:rsidR="00D63358" w:rsidRPr="00D63358">
        <w:rPr>
          <w:rFonts w:asciiTheme="minorHAnsi" w:hAnsiTheme="minorHAnsi" w:cstheme="minorHAnsi"/>
        </w:rPr>
        <w:t>wake-influenced</w:t>
      </w:r>
      <w:r w:rsidR="00D63358">
        <w:rPr>
          <w:rFonts w:asciiTheme="minorHAnsi" w:hAnsiTheme="minorHAnsi" w:cstheme="minorHAnsi" w:hint="eastAsia"/>
          <w:lang w:eastAsia="zh-CN"/>
        </w:rPr>
        <w:t xml:space="preserve"> </w:t>
      </w:r>
      <w:r w:rsidRPr="000003FF">
        <w:rPr>
          <w:rFonts w:asciiTheme="minorHAnsi" w:hAnsiTheme="minorHAnsi" w:cstheme="minorHAnsi"/>
        </w:rPr>
        <w:t xml:space="preserve">conditions (Fig. 1B, blue line), however, correlation at 70 m decreases substantially (r </w:t>
      </w:r>
      <w:r w:rsidRPr="000003FF">
        <w:rPr>
          <w:rFonts w:asciiTheme="minorHAnsi" w:hAnsiTheme="minorHAnsi" w:cstheme="minorHAnsi" w:hint="eastAsia"/>
        </w:rPr>
        <w:t>≈</w:t>
      </w:r>
      <w:r w:rsidRPr="000003FF">
        <w:rPr>
          <w:rFonts w:asciiTheme="minorHAnsi" w:hAnsiTheme="minorHAnsi" w:cstheme="minorHAnsi"/>
        </w:rPr>
        <w:t xml:space="preserve"> 0.70), while correlation at 10 m remains high (r </w:t>
      </w:r>
      <w:r w:rsidRPr="000003FF">
        <w:rPr>
          <w:rFonts w:asciiTheme="minorHAnsi" w:hAnsiTheme="minorHAnsi" w:cstheme="minorHAnsi" w:hint="eastAsia"/>
        </w:rPr>
        <w:t>≈</w:t>
      </w:r>
      <w:r w:rsidRPr="000003FF">
        <w:rPr>
          <w:rFonts w:asciiTheme="minorHAnsi" w:hAnsiTheme="minorHAnsi" w:cstheme="minorHAnsi"/>
        </w:rPr>
        <w:t xml:space="preserve"> 0.78). The higher overall correlation at 10 m therefore arises from degradation of the hub-height signal under </w:t>
      </w:r>
      <w:r w:rsidR="00DF1CE4" w:rsidRPr="00DF1CE4">
        <w:rPr>
          <w:rFonts w:asciiTheme="minorHAnsi" w:hAnsiTheme="minorHAnsi" w:cstheme="minorHAnsi"/>
        </w:rPr>
        <w:t>wake-influenced</w:t>
      </w:r>
      <w:r w:rsidRPr="000003FF">
        <w:rPr>
          <w:rFonts w:asciiTheme="minorHAnsi" w:hAnsiTheme="minorHAnsi" w:cstheme="minorHAnsi"/>
        </w:rPr>
        <w:t xml:space="preserve"> </w:t>
      </w:r>
      <w:r w:rsidR="00BC35C8" w:rsidRPr="00BC35C8">
        <w:rPr>
          <w:rFonts w:asciiTheme="minorHAnsi" w:hAnsiTheme="minorHAnsi" w:cstheme="minorHAnsi"/>
        </w:rPr>
        <w:t>conditions</w:t>
      </w:r>
      <w:r w:rsidR="00BC35C8">
        <w:rPr>
          <w:rFonts w:asciiTheme="minorHAnsi" w:hAnsiTheme="minorHAnsi" w:cstheme="minorHAnsi" w:hint="eastAsia"/>
          <w:lang w:eastAsia="zh-CN"/>
        </w:rPr>
        <w:t xml:space="preserve"> </w:t>
      </w:r>
      <w:r w:rsidRPr="000003FF">
        <w:rPr>
          <w:rFonts w:asciiTheme="minorHAnsi" w:hAnsiTheme="minorHAnsi" w:cstheme="minorHAnsi" w:hint="eastAsia"/>
          <w:lang w:eastAsia="zh-CN"/>
        </w:rPr>
        <w:t>r</w:t>
      </w:r>
      <w:r w:rsidRPr="000003FF">
        <w:rPr>
          <w:rFonts w:asciiTheme="minorHAnsi" w:hAnsiTheme="minorHAnsi" w:cstheme="minorHAnsi"/>
        </w:rPr>
        <w:t>ather than from enhanced predictive power of near-surface wind.</w:t>
      </w:r>
    </w:p>
    <w:p w14:paraId="5E7B181E" w14:textId="434A132F" w:rsidR="002E7DC3" w:rsidRDefault="000B4AFC" w:rsidP="00EE6DAC">
      <w:pPr>
        <w:pStyle w:val="Text"/>
        <w:rPr>
          <w:rFonts w:asciiTheme="minorHAnsi" w:hAnsiTheme="minorHAnsi" w:cstheme="minorHAnsi"/>
          <w:lang w:eastAsia="zh-CN"/>
        </w:rPr>
      </w:pPr>
      <w:r w:rsidRPr="000B4AFC">
        <w:rPr>
          <w:rFonts w:asciiTheme="minorHAnsi" w:hAnsiTheme="minorHAnsi" w:cstheme="minorHAnsi"/>
          <w:lang w:eastAsia="zh-CN"/>
        </w:rPr>
        <w:t xml:space="preserve">This regime-dependent difference is also reflected in the vertical wind profiles (Fig. 1C and 1D). Under free-stream conditions, wind speed increases smoothly from the surface to hub height, consistent with a typical shear structure. Under wake-influenced conditions, wind speeds between 30 m and 70 m are reduced and exhibit larger variability compared with free-stream flow. These changes indicate that turbine-induced momentum extraction and turbulence alter the hub-height wind signal </w:t>
      </w:r>
      <w:r w:rsidRPr="00DB4755">
        <w:rPr>
          <w:rFonts w:asciiTheme="minorHAnsi" w:hAnsiTheme="minorHAnsi" w:cstheme="minorHAnsi"/>
          <w:lang w:eastAsia="zh-CN"/>
        </w:rPr>
        <w:fldChar w:fldCharType="begin"/>
      </w:r>
      <w:r w:rsidRPr="00DB4755">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w:instrText>
      </w:r>
      <w:r w:rsidRPr="00DB4755">
        <w:rPr>
          <w:rFonts w:asciiTheme="minorHAnsi" w:hAnsiTheme="minorHAnsi" w:cstheme="minorHAnsi" w:hint="eastAsia"/>
          <w:lang w:eastAsia="zh-CN"/>
        </w:rPr>
        <w:instrText>‐</w:instrText>
      </w:r>
      <w:r w:rsidRPr="00DB4755">
        <w:rPr>
          <w:rFonts w:asciiTheme="minorHAnsi" w:hAnsiTheme="minorHAnsi" w:cstheme="minorHAnsi"/>
          <w:lang w:eastAsia="zh-CN"/>
        </w:rPr>
        <w:instrText>of</w:instrText>
      </w:r>
      <w:r w:rsidRPr="00DB4755">
        <w:rPr>
          <w:rFonts w:asciiTheme="minorHAnsi" w:hAnsiTheme="minorHAnsi" w:cstheme="minorHAnsi" w:hint="eastAsia"/>
          <w:lang w:eastAsia="zh-CN"/>
        </w:rPr>
        <w:instrText>‐</w:instrText>
      </w:r>
      <w:r w:rsidRPr="00DB4755">
        <w:rPr>
          <w:rFonts w:asciiTheme="minorHAnsi" w:hAnsiTheme="minorHAnsi" w:cstheme="minorHAnsi"/>
          <w:lang w:eastAsia="zh-CN"/>
        </w:rPr>
        <w:instrText>the</w:instrText>
      </w:r>
      <w:r w:rsidRPr="00DB4755">
        <w:rPr>
          <w:rFonts w:asciiTheme="minorHAnsi" w:hAnsiTheme="minorHAnsi" w:cstheme="minorHAnsi" w:hint="eastAsia"/>
          <w:lang w:eastAsia="zh-CN"/>
        </w:rPr>
        <w:instrText>‐</w:instrText>
      </w:r>
      <w:r w:rsidRPr="00DB4755">
        <w:rPr>
          <w:rFonts w:asciiTheme="minorHAnsi" w:hAnsiTheme="minorHAnsi" w:cstheme="minorHAnsi"/>
          <w:lang w:eastAsia="zh-CN"/>
        </w:rPr>
        <w:instrText>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w:instrText>
      </w:r>
      <w:r w:rsidRPr="00DB4755">
        <w:rPr>
          <w:rFonts w:asciiTheme="minorHAnsi" w:hAnsiTheme="minorHAnsi" w:cstheme="minorHAnsi" w:hint="eastAsia"/>
          <w:lang w:eastAsia="zh-CN"/>
        </w:rPr>
        <w:instrText>‐</w:instrText>
      </w:r>
      <w:r w:rsidRPr="00DB4755">
        <w:rPr>
          <w:rFonts w:asciiTheme="minorHAnsi" w:hAnsiTheme="minorHAnsi" w:cstheme="minorHAnsi"/>
          <w:lang w:eastAsia="zh-CN"/>
        </w:rPr>
        <w:instrText xml:space="preserve">E."},{"family":"Jørgensen","given":"H. E."}],"issued":{"date-parts":[["2007",11]]}}},{"id":1661,"uris":["http://zotero.org/users/14274501/items/IK6DQM6L"],"itemData":{"id":1661,"type":"article-journal","abstract":"Forecasting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Pr="00DB4755">
        <w:rPr>
          <w:rFonts w:asciiTheme="minorHAnsi" w:hAnsiTheme="minorHAnsi" w:cstheme="minorHAnsi"/>
          <w:lang w:eastAsia="zh-CN"/>
        </w:rPr>
        <w:fldChar w:fldCharType="separate"/>
      </w:r>
      <w:r w:rsidRPr="00DB4755">
        <w:rPr>
          <w:rFonts w:asciiTheme="minorHAnsi" w:hAnsiTheme="minorHAnsi" w:cstheme="minorHAnsi"/>
          <w:noProof/>
          <w:lang w:eastAsia="zh-CN"/>
        </w:rPr>
        <w:t>(Barthelmie et al., 2007; Feroz et al., 2020)</w:t>
      </w:r>
      <w:r w:rsidRPr="00DB4755">
        <w:rPr>
          <w:rFonts w:asciiTheme="minorHAnsi" w:hAnsiTheme="minorHAnsi" w:cstheme="minorHAnsi"/>
          <w:lang w:eastAsia="zh-CN"/>
        </w:rPr>
        <w:fldChar w:fldCharType="end"/>
      </w:r>
      <w:r w:rsidRPr="000B4AFC">
        <w:rPr>
          <w:rFonts w:asciiTheme="minorHAnsi" w:hAnsiTheme="minorHAnsi" w:cstheme="minorHAnsi"/>
          <w:lang w:eastAsia="zh-CN"/>
        </w:rPr>
        <w:t>. In contrast, the distribution of 10-m wind speed is nearly identical between free-stream and wake-influenced conditions, suggesting that this level remains below the primary wake-influenced layer and continues to reflect the background atmospheric inflow.</w:t>
      </w:r>
    </w:p>
    <w:p w14:paraId="3F58C97C" w14:textId="1C0A14BE" w:rsidR="006434C4" w:rsidRPr="00272C13" w:rsidRDefault="008B110D" w:rsidP="00194443">
      <w:pPr>
        <w:pStyle w:val="Text"/>
        <w:rPr>
          <w:rFonts w:asciiTheme="minorHAnsi" w:hAnsiTheme="minorHAnsi" w:cstheme="minorHAnsi"/>
          <w:lang w:eastAsia="zh-CN"/>
        </w:rPr>
      </w:pPr>
      <w:r w:rsidRPr="008B110D">
        <w:rPr>
          <w:rFonts w:asciiTheme="minorHAnsi" w:hAnsiTheme="minorHAnsi" w:cstheme="minorHAnsi"/>
          <w:lang w:eastAsia="zh-CN"/>
        </w:rPr>
        <w:t>Collectively, these observations (Fig. 1)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sidR="008B5E9E" w:rsidRPr="008B5E9E">
        <w:rPr>
          <w:rFonts w:asciiTheme="minorHAnsi" w:hAnsiTheme="minorHAnsi" w:cstheme="minorHAnsi"/>
          <w:lang w:eastAsia="zh-CN"/>
        </w:rPr>
        <w:t>This observational evidence provides justification for transitioning from single hub-height meas</w:t>
      </w:r>
      <w:r w:rsidR="008B5E9E" w:rsidRPr="002C3838">
        <w:rPr>
          <w:rFonts w:asciiTheme="minorHAnsi" w:hAnsiTheme="minorHAnsi" w:cstheme="minorHAnsi"/>
          <w:lang w:eastAsia="zh-CN"/>
        </w:rPr>
        <w:t xml:space="preserve">urements to a multi-height </w:t>
      </w:r>
      <w:r w:rsidR="00A70749" w:rsidRPr="00A70749">
        <w:rPr>
          <w:rFonts w:asciiTheme="minorHAnsi" w:hAnsiTheme="minorHAnsi" w:cstheme="minorHAnsi"/>
          <w:lang w:eastAsia="zh-CN"/>
        </w:rPr>
        <w:t>representation</w:t>
      </w:r>
      <w:r w:rsidR="00A70749">
        <w:rPr>
          <w:rFonts w:asciiTheme="minorHAnsi" w:hAnsiTheme="minorHAnsi" w:cstheme="minorHAnsi"/>
          <w:lang w:eastAsia="zh-CN"/>
        </w:rPr>
        <w:t xml:space="preserve"> </w:t>
      </w:r>
      <w:r w:rsidR="008B5E9E" w:rsidRPr="002C3838">
        <w:rPr>
          <w:rFonts w:asciiTheme="minorHAnsi" w:hAnsiTheme="minorHAnsi" w:cstheme="minorHAnsi"/>
          <w:lang w:eastAsia="zh-CN"/>
        </w:rPr>
        <w:t xml:space="preserve">that includes surface-layer measurements, </w:t>
      </w:r>
      <w:r w:rsidR="008B5E9E" w:rsidRPr="002C3838">
        <w:rPr>
          <w:rFonts w:asciiTheme="minorHAnsi" w:hAnsiTheme="minorHAnsi" w:cstheme="minorHAnsi"/>
          <w:lang w:eastAsia="zh-CN"/>
        </w:rPr>
        <w:lastRenderedPageBreak/>
        <w:t xml:space="preserve">consistent with the recognition in rotor-equivalent wind speed studies that vertical profile information is essential for accurate power characterization </w:t>
      </w:r>
      <w:r w:rsidR="00713EC2" w:rsidRPr="00DB4755">
        <w:rPr>
          <w:rFonts w:asciiTheme="minorHAnsi" w:hAnsiTheme="minorHAnsi" w:cstheme="minorHAnsi"/>
          <w:lang w:eastAsia="zh-CN"/>
        </w:rPr>
        <w:fldChar w:fldCharType="begin"/>
      </w:r>
      <w:r w:rsidR="00713EC2" w:rsidRPr="00DB4755">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713EC2" w:rsidRPr="00DB4755">
        <w:rPr>
          <w:rFonts w:asciiTheme="minorHAnsi" w:hAnsiTheme="minorHAnsi" w:cstheme="minorHAnsi" w:hint="eastAsia"/>
          <w:lang w:eastAsia="zh-CN"/>
        </w:rPr>
        <w:instrText>‐</w:instrText>
      </w:r>
      <w:r w:rsidR="00713EC2" w:rsidRPr="00DB4755">
        <w:rPr>
          <w:rFonts w:asciiTheme="minorHAnsi" w:hAnsiTheme="minorHAnsi" w:cstheme="minorHAnsi"/>
          <w:lang w:eastAsia="zh-CN"/>
        </w:rPr>
        <w:instrText>height wind speeds between 6 m s\n              −1\n              and 8 m s\n              −1\n              are normalized at 7 m s\n              −1\n              and grouped to a number of mean shear profiles. The energy in the profiles varies considerably for the same hub</w:instrText>
      </w:r>
      <w:r w:rsidR="00713EC2" w:rsidRPr="00DB4755">
        <w:rPr>
          <w:rFonts w:asciiTheme="minorHAnsi" w:hAnsiTheme="minorHAnsi" w:cstheme="minorHAnsi" w:hint="eastAsia"/>
          <w:lang w:eastAsia="zh-CN"/>
        </w:rPr>
        <w:instrText>‐</w:instrText>
      </w:r>
      <w:r w:rsidR="00713EC2" w:rsidRPr="00DB4755">
        <w:rPr>
          <w:rFonts w:asciiTheme="minorHAnsi" w:hAnsiTheme="minorHAnsi" w:cstheme="minorHAnsi"/>
          <w:lang w:eastAsia="zh-CN"/>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w:instrText>
      </w:r>
      <w:r w:rsidR="00713EC2" w:rsidRPr="00DB4755">
        <w:rPr>
          <w:rFonts w:asciiTheme="minorHAnsi" w:hAnsiTheme="minorHAnsi" w:cstheme="minorHAnsi" w:hint="eastAsia"/>
          <w:lang w:eastAsia="zh-CN"/>
        </w:rPr>
        <w:instrText>‐</w:instrText>
      </w:r>
      <w:r w:rsidR="00713EC2" w:rsidRPr="00DB4755">
        <w:rPr>
          <w:rFonts w:asciiTheme="minorHAnsi" w:hAnsiTheme="minorHAnsi" w:cstheme="minorHAnsi"/>
          <w:lang w:eastAsia="zh-CN"/>
        </w:rPr>
        <w:instrText>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les and meteorological characteristics to be able to predict power responses according to physical patterns. The decision tree model was trained for four vertical wind pro</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le classi</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ed vertical wind pro</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sidR="00713EC2" w:rsidRPr="00DB4755">
        <w:rPr>
          <w:rFonts w:asciiTheme="minorHAnsi" w:hAnsiTheme="minorHAnsi" w:cstheme="minorHAnsi"/>
          <w:lang w:eastAsia="zh-CN"/>
        </w:rPr>
        <w:fldChar w:fldCharType="separate"/>
      </w:r>
      <w:r w:rsidR="00713EC2" w:rsidRPr="00DB4755">
        <w:rPr>
          <w:rFonts w:asciiTheme="minorHAnsi" w:hAnsiTheme="minorHAnsi" w:cstheme="minorHAnsi"/>
          <w:noProof/>
          <w:lang w:eastAsia="zh-CN"/>
        </w:rPr>
        <w:t>(Wagner et al., 2009; Sasser et al., 2022)</w:t>
      </w:r>
      <w:r w:rsidR="00713EC2" w:rsidRPr="00DB4755">
        <w:rPr>
          <w:rFonts w:asciiTheme="minorHAnsi" w:hAnsiTheme="minorHAnsi" w:cstheme="minorHAnsi"/>
          <w:lang w:eastAsia="zh-CN"/>
        </w:rPr>
        <w:fldChar w:fldCharType="end"/>
      </w:r>
      <w:r w:rsidR="003D32F6" w:rsidRPr="002C3838">
        <w:rPr>
          <w:rFonts w:asciiTheme="minorHAnsi" w:hAnsiTheme="minorHAnsi" w:cstheme="minorHAnsi"/>
          <w:lang w:eastAsia="zh-CN"/>
        </w:rPr>
        <w:t>.</w:t>
      </w:r>
      <w:r w:rsidR="00194443" w:rsidRPr="002C3838">
        <w:rPr>
          <w:rFonts w:asciiTheme="minorHAnsi" w:hAnsiTheme="minorHAnsi" w:cstheme="minorHAnsi"/>
          <w:lang w:eastAsia="zh-CN"/>
        </w:rPr>
        <w:t xml:space="preserve"> </w:t>
      </w:r>
      <w:r w:rsidR="00B65457" w:rsidRPr="00B65457">
        <w:rPr>
          <w:rFonts w:asciiTheme="minorHAnsi" w:hAnsiTheme="minorHAnsi" w:cstheme="minorHAnsi"/>
          <w:lang w:eastAsia="zh-CN"/>
        </w:rPr>
        <w:t xml:space="preserve">However, conventional REWS approaches integrate wind speeds only within the rotor-swept area (typically 30–70 m), neglecting the role of surface-layer observations. </w:t>
      </w:r>
      <w:bookmarkEnd w:id="11"/>
      <w:r w:rsidR="00BC29A3" w:rsidRPr="00BC29A3">
        <w:rPr>
          <w:rFonts w:asciiTheme="minorHAnsi" w:hAnsiTheme="minorHAnsi" w:cstheme="minorHAnsi"/>
          <w:lang w:eastAsia="zh-CN"/>
        </w:rPr>
        <w:t xml:space="preserve">These findings motivate the use of an </w:t>
      </w:r>
      <w:r w:rsidR="00C40F7E">
        <w:rPr>
          <w:rFonts w:asciiTheme="minorHAnsi" w:hAnsiTheme="minorHAnsi" w:cstheme="minorHAnsi"/>
          <w:lang w:eastAsia="zh-CN"/>
        </w:rPr>
        <w:t>e</w:t>
      </w:r>
      <w:r w:rsidR="00BC29A3" w:rsidRPr="00BC29A3">
        <w:rPr>
          <w:rFonts w:asciiTheme="minorHAnsi" w:hAnsiTheme="minorHAnsi" w:cstheme="minorHAnsi"/>
          <w:lang w:eastAsia="zh-CN"/>
        </w:rPr>
        <w:t xml:space="preserve">xtended </w:t>
      </w:r>
      <w:r w:rsidR="00C40F7E">
        <w:rPr>
          <w:rFonts w:asciiTheme="minorHAnsi" w:hAnsiTheme="minorHAnsi" w:cstheme="minorHAnsi"/>
          <w:lang w:eastAsia="zh-CN"/>
        </w:rPr>
        <w:t>p</w:t>
      </w:r>
      <w:r w:rsidR="00BC29A3" w:rsidRPr="00BC29A3">
        <w:rPr>
          <w:rFonts w:asciiTheme="minorHAnsi" w:hAnsiTheme="minorHAnsi" w:cstheme="minorHAnsi"/>
          <w:lang w:eastAsia="zh-CN"/>
        </w:rPr>
        <w:t>rofile that incorporates 10-m measurements, recognizing that surface-layer wind can represent farm-scale power variability through vertical atmospheric coupling.</w:t>
      </w:r>
    </w:p>
    <w:p w14:paraId="33DCCE99" w14:textId="5D662642" w:rsidR="00E06257" w:rsidRPr="00E06257" w:rsidRDefault="00E06257" w:rsidP="00E06257">
      <w:pPr>
        <w:pStyle w:val="Heading-Secondary"/>
        <w:rPr>
          <w:rFonts w:asciiTheme="minorHAnsi" w:hAnsiTheme="minorHAnsi" w:cstheme="minorHAnsi"/>
          <w:lang w:eastAsia="zh-CN"/>
        </w:rPr>
      </w:pPr>
      <w:bookmarkStart w:id="12" w:name="OLE_LINK3"/>
      <w:r>
        <w:rPr>
          <w:rFonts w:asciiTheme="minorHAnsi" w:hAnsiTheme="minorHAnsi" w:cstheme="minorHAnsi" w:hint="eastAsia"/>
          <w:lang w:eastAsia="zh-CN"/>
        </w:rPr>
        <w:t>4</w:t>
      </w:r>
      <w:r w:rsidRPr="00E06257">
        <w:rPr>
          <w:rFonts w:asciiTheme="minorHAnsi" w:hAnsiTheme="minorHAnsi" w:cstheme="minorHAnsi"/>
        </w:rPr>
        <w:t xml:space="preserve">.2. </w:t>
      </w:r>
      <w:r w:rsidR="005F2E15" w:rsidRPr="005F2E15">
        <w:rPr>
          <w:rFonts w:asciiTheme="minorHAnsi" w:hAnsiTheme="minorHAnsi" w:cstheme="minorHAnsi"/>
        </w:rPr>
        <w:t>S</w:t>
      </w:r>
      <w:r w:rsidR="00EE26E9" w:rsidRPr="00EE26E9">
        <w:rPr>
          <w:rFonts w:asciiTheme="minorHAnsi" w:hAnsiTheme="minorHAnsi" w:cstheme="minorHAnsi"/>
        </w:rPr>
        <w:t xml:space="preserve">cale-Dependent </w:t>
      </w:r>
      <w:r w:rsidR="002F39DE" w:rsidRPr="002F39DE">
        <w:rPr>
          <w:rFonts w:asciiTheme="minorHAnsi" w:hAnsiTheme="minorHAnsi" w:cstheme="minorHAnsi"/>
        </w:rPr>
        <w:t>Coupling</w:t>
      </w:r>
      <w:r w:rsidR="002F39DE">
        <w:rPr>
          <w:rFonts w:asciiTheme="minorHAnsi" w:hAnsiTheme="minorHAnsi" w:cstheme="minorHAnsi" w:hint="eastAsia"/>
          <w:lang w:eastAsia="zh-CN"/>
        </w:rPr>
        <w:t xml:space="preserve"> </w:t>
      </w:r>
      <w:r w:rsidR="00EE26E9" w:rsidRPr="00EE26E9">
        <w:rPr>
          <w:rFonts w:asciiTheme="minorHAnsi" w:hAnsiTheme="minorHAnsi" w:cstheme="minorHAnsi"/>
        </w:rPr>
        <w:t>and Vertical Structure Consistency</w:t>
      </w:r>
    </w:p>
    <w:p w14:paraId="18FC12C2" w14:textId="7245E5D9" w:rsidR="00980548" w:rsidRPr="00980548" w:rsidRDefault="00980548" w:rsidP="00980548">
      <w:pPr>
        <w:pStyle w:val="Text"/>
        <w:rPr>
          <w:rFonts w:asciiTheme="minorHAnsi" w:hAnsiTheme="minorHAnsi" w:cstheme="minorHAnsi"/>
          <w:lang w:eastAsia="zh-CN"/>
        </w:rPr>
      </w:pPr>
      <w:r w:rsidRPr="00980548">
        <w:t xml:space="preserve"> </w:t>
      </w:r>
      <w:r w:rsidR="00F8531E" w:rsidRPr="00F8531E">
        <w:rPr>
          <w:rFonts w:asciiTheme="minorHAnsi" w:hAnsiTheme="minorHAnsi" w:cstheme="minorHAnsi"/>
          <w:lang w:eastAsia="zh-CN"/>
        </w:rPr>
        <w:t>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across heights. If farm-scale power is dominated by variability at time scales where 10-m and rotor-layer winds evolve coherently, then surface-layer wind may capture the relevant atmospheric signal</w:t>
      </w:r>
      <w:r w:rsidRPr="00980548">
        <w:rPr>
          <w:rFonts w:asciiTheme="minorHAnsi" w:hAnsiTheme="minorHAnsi" w:cstheme="minorHAnsi"/>
          <w:lang w:eastAsia="zh-CN"/>
        </w:rPr>
        <w:t>.</w:t>
      </w:r>
    </w:p>
    <w:p w14:paraId="19686576" w14:textId="23C86FA4" w:rsidR="00980548" w:rsidRPr="00980548" w:rsidRDefault="00E03D94" w:rsidP="00980548">
      <w:pPr>
        <w:pStyle w:val="Text"/>
        <w:rPr>
          <w:rFonts w:asciiTheme="minorHAnsi" w:hAnsiTheme="minorHAnsi" w:cstheme="minorHAnsi"/>
          <w:lang w:eastAsia="zh-CN"/>
        </w:rPr>
      </w:pPr>
      <w:r w:rsidRPr="00E03D94">
        <w:rPr>
          <w:rFonts w:asciiTheme="minorHAnsi" w:hAnsiTheme="minorHAnsi" w:cstheme="minorHAnsi"/>
          <w:lang w:eastAsia="zh-CN"/>
        </w:rPr>
        <w:t>Scale-resolved variance analysis (Fig. 2A) distinguishes short-period wake-related variability from longer-period atmospheric variability. At periods shorter than approximately 24 hours, wind-speed variance at 70 m is clearly higher under wake-influenced conditions than under free-stream conditions, reflecting additional variability introduced by turbine interactions. In contrast, for periods exceeding 24 hours,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 The convergence at longer periods therefore demonstrates that low-frequency variability is dominated by large-scale atmospheric processes rather than by wake effects</w:t>
      </w:r>
      <w:r w:rsidR="00980548" w:rsidRPr="00980548">
        <w:rPr>
          <w:rFonts w:asciiTheme="minorHAnsi" w:hAnsiTheme="minorHAnsi" w:cstheme="minorHAnsi"/>
          <w:lang w:eastAsia="zh-CN"/>
        </w:rPr>
        <w:t>.</w:t>
      </w:r>
    </w:p>
    <w:p w14:paraId="39DCBCF4" w14:textId="77777777" w:rsidR="00A731B6" w:rsidRDefault="00A731B6" w:rsidP="00980548">
      <w:pPr>
        <w:pStyle w:val="Text"/>
        <w:rPr>
          <w:rFonts w:asciiTheme="minorHAnsi" w:hAnsiTheme="minorHAnsi" w:cstheme="minorHAnsi"/>
          <w:lang w:eastAsia="zh-CN"/>
        </w:rPr>
      </w:pPr>
      <w:r w:rsidRPr="00A731B6">
        <w:rPr>
          <w:rFonts w:asciiTheme="minorHAnsi" w:hAnsiTheme="minorHAnsi" w:cstheme="minorHAnsi"/>
          <w:lang w:eastAsia="zh-CN"/>
        </w:rPr>
        <w:t>Vertical coherence analysis (Fig. 2B, upper panels) further supports this separation. At short time scales, coherence between 10 m and 70 m wind speeds is reduced under wake-influenced conditions. With increasing averaging period, coherence increases steadily and approaches similar values under both regimes at synoptic time scales. The multiscale correlation with power output (Fig. 2B, lower panels) shows a consistent pattern. At hourly scales, correlations between wind speed and total power remain weak. As the averaging period increases toward one to three days, correlations increase substantially under both free-stream and wake-influenced conditions. These results indicate that farm-scale power variability is primarily associated with synoptic-scale atmospheric forcing rather than short-scale wake-driven fluctuations.</w:t>
      </w:r>
    </w:p>
    <w:p w14:paraId="184E32DB" w14:textId="77777777" w:rsidR="001520C4" w:rsidRPr="001520C4" w:rsidRDefault="001520C4" w:rsidP="001520C4">
      <w:pPr>
        <w:pStyle w:val="Text"/>
        <w:rPr>
          <w:rFonts w:asciiTheme="minorHAnsi" w:hAnsiTheme="minorHAnsi" w:cstheme="minorHAnsi"/>
          <w:lang w:eastAsia="zh-CN"/>
        </w:rPr>
      </w:pPr>
      <w:r w:rsidRPr="001520C4">
        <w:rPr>
          <w:rFonts w:asciiTheme="minorHAnsi" w:hAnsiTheme="minorHAnsi" w:cstheme="minorHAnsi"/>
          <w:lang w:eastAsia="zh-CN"/>
        </w:rPr>
        <w:t xml:space="preserve">The large vertical separation between 10 m and the rotor-swept layer raises the question of whether the vertical structure remains coherent across regimes. EOF analysis provides this insight. The first EOF mode explains more than 93% of total vertical variance in all cases (Fig. 2C),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w:t>
      </w:r>
      <w:r w:rsidRPr="001520C4">
        <w:rPr>
          <w:rFonts w:asciiTheme="minorHAnsi" w:hAnsiTheme="minorHAnsi" w:cstheme="minorHAnsi"/>
          <w:lang w:eastAsia="zh-CN"/>
        </w:rPr>
        <w:lastRenderedPageBreak/>
        <w:t>forcing, the vertical wind profile evolves as a coherent structure governed by a single dominant mode in both free-stream and wake-influenced conditions.</w:t>
      </w:r>
    </w:p>
    <w:p w14:paraId="5C57558F" w14:textId="7AFE16D2" w:rsidR="00980548" w:rsidRPr="00980548" w:rsidRDefault="001520C4" w:rsidP="001520C4">
      <w:pPr>
        <w:pStyle w:val="Text"/>
        <w:rPr>
          <w:rFonts w:asciiTheme="minorHAnsi" w:hAnsiTheme="minorHAnsi" w:cstheme="minorHAnsi"/>
          <w:lang w:eastAsia="zh-CN"/>
        </w:rPr>
      </w:pPr>
      <w:r w:rsidRPr="001520C4">
        <w:rPr>
          <w:rFonts w:asciiTheme="minorHAnsi" w:hAnsiTheme="minorHAnsi" w:cstheme="minorHAnsi"/>
          <w:lang w:eastAsia="zh-CN"/>
        </w:rPr>
        <w:t>The ability of surface-layer wind speed to scale profile intensity is examined through its relationship with the first principal component amplitude. Strong linear correlations are observed between 10-m wind speed and PC1, with nearly identical regression slopes under free-stream and wake-influenced conditions (0.65 and 0.66; Fig. 2D). In contrast, the regression slope between 70-m wind speed and PC1 differs more substantially between regimes (0.54 to 0.62), indicating that wake effects alter the scaling capability of hub-height wind. The relationship between 10-m wind speed and column-integrated variability remains stable across regimes, even under wake-influenced conditions</w:t>
      </w:r>
      <w:r w:rsidR="00980548" w:rsidRPr="00980548">
        <w:rPr>
          <w:rFonts w:asciiTheme="minorHAnsi" w:hAnsiTheme="minorHAnsi" w:cstheme="minorHAnsi"/>
          <w:lang w:eastAsia="zh-CN"/>
        </w:rPr>
        <w:t>.</w:t>
      </w:r>
    </w:p>
    <w:p w14:paraId="3EA3EE89" w14:textId="227C5366" w:rsidR="00980548" w:rsidRDefault="003B6A3F" w:rsidP="00980548">
      <w:pPr>
        <w:pStyle w:val="Text"/>
        <w:rPr>
          <w:rFonts w:asciiTheme="minorHAnsi" w:hAnsiTheme="minorHAnsi" w:cstheme="minorHAnsi"/>
          <w:lang w:eastAsia="zh-CN"/>
        </w:rPr>
      </w:pPr>
      <w:r w:rsidRPr="003B6A3F">
        <w:rPr>
          <w:rFonts w:asciiTheme="minorHAnsi" w:hAnsiTheme="minorHAnsi" w:cstheme="minorHAnsi"/>
          <w:lang w:eastAsia="zh-CN"/>
        </w:rPr>
        <w:t>Taken together, these results show that farm-scale power variability is controlled primarily by synoptic-scale atmospheric forcing. At these scales, wind speeds across the vertical column are strongly coupled and governed by a stable structural mode. 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w:t>
      </w:r>
      <w:r w:rsidR="00980548" w:rsidRPr="00980548">
        <w:rPr>
          <w:rFonts w:asciiTheme="minorHAnsi" w:hAnsiTheme="minorHAnsi" w:cstheme="minorHAnsi"/>
          <w:lang w:eastAsia="zh-CN"/>
        </w:rPr>
        <w:t>.</w:t>
      </w:r>
      <w:r w:rsidR="008F5F94">
        <w:rPr>
          <w:rFonts w:asciiTheme="minorHAnsi" w:hAnsiTheme="minorHAnsi" w:cstheme="minorHAnsi"/>
          <w:lang w:eastAsia="zh-CN"/>
        </w:rPr>
        <w:t xml:space="preserve"> </w:t>
      </w:r>
    </w:p>
    <w:bookmarkEnd w:id="12"/>
    <w:p w14:paraId="2BA75E4C" w14:textId="3A25A147" w:rsidR="000147EC" w:rsidRPr="000147EC" w:rsidRDefault="000147EC" w:rsidP="000147EC">
      <w:pPr>
        <w:pStyle w:val="Heading-Secondary"/>
        <w:rPr>
          <w:rFonts w:asciiTheme="minorHAnsi" w:hAnsiTheme="minorHAnsi" w:cstheme="minorHAnsi"/>
        </w:rPr>
      </w:pPr>
      <w:r>
        <w:rPr>
          <w:rFonts w:asciiTheme="minorHAnsi" w:hAnsiTheme="minorHAnsi" w:cstheme="minorHAnsi" w:hint="eastAsia"/>
          <w:lang w:eastAsia="zh-CN"/>
        </w:rPr>
        <w:t>4</w:t>
      </w:r>
      <w:r w:rsidRPr="000147EC">
        <w:rPr>
          <w:rFonts w:asciiTheme="minorHAnsi" w:hAnsiTheme="minorHAnsi" w:cstheme="minorHAnsi"/>
        </w:rPr>
        <w:t xml:space="preserve">.3. Evaluation of the Extended Profile </w:t>
      </w:r>
      <w:r w:rsidR="005170C7" w:rsidRPr="005170C7">
        <w:rPr>
          <w:rFonts w:asciiTheme="minorHAnsi" w:hAnsiTheme="minorHAnsi" w:cstheme="minorHAnsi"/>
        </w:rPr>
        <w:t>Representation</w:t>
      </w:r>
      <w:r w:rsidR="005170C7">
        <w:rPr>
          <w:rFonts w:asciiTheme="minorHAnsi" w:hAnsiTheme="minorHAnsi" w:cstheme="minorHAnsi" w:hint="eastAsia"/>
          <w:lang w:eastAsia="zh-CN"/>
        </w:rPr>
        <w:t xml:space="preserve"> </w:t>
      </w:r>
      <w:r w:rsidRPr="000147EC">
        <w:rPr>
          <w:rFonts w:asciiTheme="minorHAnsi" w:hAnsiTheme="minorHAnsi" w:cstheme="minorHAnsi"/>
        </w:rPr>
        <w:t xml:space="preserve">via </w:t>
      </w:r>
      <w:r w:rsidR="00C57EB4" w:rsidRPr="00C57EB4">
        <w:rPr>
          <w:rFonts w:asciiTheme="minorHAnsi" w:hAnsiTheme="minorHAnsi" w:cstheme="minorHAnsi"/>
        </w:rPr>
        <w:t>Power Reconstruction</w:t>
      </w:r>
    </w:p>
    <w:p w14:paraId="33A693BB" w14:textId="2F3F7814" w:rsidR="009716C0" w:rsidRDefault="009716C0" w:rsidP="009440D6">
      <w:pPr>
        <w:pStyle w:val="Text"/>
        <w:rPr>
          <w:rFonts w:asciiTheme="minorHAnsi" w:hAnsiTheme="minorHAnsi" w:cstheme="minorHAnsi"/>
          <w:lang w:eastAsia="zh-CN"/>
        </w:rPr>
      </w:pPr>
      <w:r w:rsidRPr="009716C0">
        <w:rPr>
          <w:rFonts w:asciiTheme="minorHAnsi" w:hAnsiTheme="minorHAnsi" w:cstheme="minorHAnsi"/>
          <w:lang w:eastAsia="zh-CN"/>
        </w:rPr>
        <w:t xml:space="preserve">Sections 4.1 and 4.2 established the physical basis for extending vertical wind representation beyond the rotor-swept layer. To test whether this physically motivated representation improves farm-scale power prediction, a </w:t>
      </w:r>
      <w:proofErr w:type="spellStart"/>
      <w:r w:rsidRPr="009716C0">
        <w:rPr>
          <w:rFonts w:asciiTheme="minorHAnsi" w:hAnsiTheme="minorHAnsi" w:cstheme="minorHAnsi"/>
          <w:lang w:eastAsia="zh-CN"/>
        </w:rPr>
        <w:t>LightGBM</w:t>
      </w:r>
      <w:proofErr w:type="spellEnd"/>
      <w:r w:rsidRPr="009716C0">
        <w:rPr>
          <w:rFonts w:asciiTheme="minorHAnsi" w:hAnsiTheme="minorHAnsi" w:cstheme="minorHAnsi"/>
          <w:lang w:eastAsia="zh-CN"/>
        </w:rPr>
        <w:t xml:space="preserve"> regression model</w:t>
      </w:r>
      <w:r>
        <w:rPr>
          <w:rFonts w:asciiTheme="minorHAnsi" w:hAnsiTheme="minorHAnsi" w:cstheme="minorHAnsi" w:hint="eastAsia"/>
          <w:lang w:eastAsia="zh-CN"/>
        </w:rPr>
        <w:t xml:space="preserve"> </w:t>
      </w:r>
      <w:r w:rsidRPr="009716C0">
        <w:rPr>
          <w:rFonts w:asciiTheme="minorHAnsi" w:hAnsiTheme="minorHAnsi" w:cstheme="minorHAnsi"/>
          <w:lang w:eastAsia="zh-CN"/>
        </w:rPr>
        <w:t>is used to reconstruct total power from multi-height wind measurements. Three input configurations are compared: hub-height wind speed only (HH, 70 m), Standard REWS integrating wind speeds within the rotor-swept layer (SR, 30–70 m), and Extended REWS including surface-layer wind speed (ER, 10–70 m). Model performance is evaluated on the withheld test dataset.</w:t>
      </w:r>
    </w:p>
    <w:p w14:paraId="572FFBA6" w14:textId="3FD1742B" w:rsidR="009716C0" w:rsidRDefault="009716C0" w:rsidP="009440D6">
      <w:pPr>
        <w:pStyle w:val="Text"/>
        <w:rPr>
          <w:rFonts w:asciiTheme="minorHAnsi" w:hAnsiTheme="minorHAnsi" w:cstheme="minorHAnsi"/>
          <w:lang w:eastAsia="zh-CN"/>
        </w:rPr>
      </w:pPr>
      <w:r w:rsidRPr="009716C0">
        <w:rPr>
          <w:rFonts w:asciiTheme="minorHAnsi" w:hAnsiTheme="minorHAnsi" w:cstheme="minorHAnsi"/>
          <w:lang w:eastAsia="zh-CN"/>
        </w:rPr>
        <w:t>Figure 3A shows that reconstruction accuracy improves systematically from HH (R² = 0.61) to SR (R² = 0.64) and further to ER (R² = 0.72). Including surface-layer wind therefore yields a clear improvement beyond rotor-layer measurements alone. This result is consistent with Section 4.2, where 10-m wind speed was shown to scale the dominant vertical mode governing synoptic-scale variability.</w:t>
      </w:r>
      <w:r w:rsidRPr="009716C0">
        <w:t xml:space="preserve"> </w:t>
      </w:r>
      <w:r w:rsidRPr="009716C0">
        <w:rPr>
          <w:rFonts w:asciiTheme="minorHAnsi" w:hAnsiTheme="minorHAnsi" w:cstheme="minorHAnsi"/>
          <w:lang w:eastAsia="zh-CN"/>
        </w:rPr>
        <w:t>To assess robustness across flow regimes, the test dataset is partitioned into free-stream and wake-influenced conditions. Figure 3B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This pattern indicates that when rotor-layer wind signals are degraded under wake-influenced conditions, including surface-layer wind information improves representation of the background atmospheric state that governs farm-scale power variability.</w:t>
      </w:r>
    </w:p>
    <w:p w14:paraId="37DE510B" w14:textId="6985EB5F" w:rsidR="009716C0" w:rsidRDefault="009716C0" w:rsidP="009716C0">
      <w:pPr>
        <w:pStyle w:val="Text"/>
        <w:rPr>
          <w:rFonts w:asciiTheme="minorHAnsi" w:hAnsiTheme="minorHAnsi" w:cstheme="minorHAnsi"/>
          <w:lang w:eastAsia="zh-CN"/>
        </w:rPr>
      </w:pPr>
      <w:r w:rsidRPr="009716C0">
        <w:rPr>
          <w:rFonts w:asciiTheme="minorHAnsi" w:hAnsiTheme="minorHAnsi" w:cstheme="minorHAnsi"/>
          <w:lang w:eastAsia="zh-CN"/>
        </w:rPr>
        <w:t>To assess whether the relative importance of input variables is consistent with the physical mechanisms identified in Sections 4.1 and 4.2, separate models are trained for free-</w:t>
      </w:r>
      <w:r w:rsidRPr="009716C0">
        <w:rPr>
          <w:rFonts w:asciiTheme="minorHAnsi" w:hAnsiTheme="minorHAnsi" w:cstheme="minorHAnsi"/>
          <w:lang w:eastAsia="zh-CN"/>
        </w:rPr>
        <w:lastRenderedPageBreak/>
        <w:t>stream and wake-influenced conditions, and SHAP</w:t>
      </w:r>
      <w:r>
        <w:rPr>
          <w:rFonts w:asciiTheme="minorHAnsi" w:hAnsiTheme="minorHAnsi" w:cstheme="minorHAnsi" w:hint="eastAsia"/>
          <w:lang w:eastAsia="zh-CN"/>
        </w:rPr>
        <w:t xml:space="preserve"> </w:t>
      </w:r>
      <w:r w:rsidR="008E019F">
        <w:rPr>
          <w:rFonts w:asciiTheme="minorHAnsi" w:hAnsiTheme="minorHAnsi" w:cstheme="minorHAnsi"/>
          <w:lang w:eastAsia="zh-CN"/>
        </w:rPr>
        <w:t xml:space="preserve">is </w:t>
      </w:r>
      <w:r w:rsidRPr="009716C0">
        <w:rPr>
          <w:rFonts w:asciiTheme="minorHAnsi" w:hAnsiTheme="minorHAnsi" w:cstheme="minorHAnsi" w:hint="eastAsia"/>
          <w:lang w:eastAsia="zh-CN"/>
        </w:rPr>
        <w:t>a</w:t>
      </w:r>
      <w:r w:rsidRPr="009716C0">
        <w:rPr>
          <w:rFonts w:asciiTheme="minorHAnsi" w:hAnsiTheme="minorHAnsi" w:cstheme="minorHAnsi"/>
          <w:lang w:eastAsia="zh-CN"/>
        </w:rPr>
        <w:t>pplied to the corresponding test sets. Figure 3C reveals clear regime-dependent feature behavior.</w:t>
      </w:r>
      <w:r w:rsidRPr="009716C0">
        <w:t xml:space="preserve"> </w:t>
      </w:r>
      <w:r w:rsidRPr="009716C0">
        <w:rPr>
          <w:rFonts w:asciiTheme="minorHAnsi" w:hAnsiTheme="minorHAnsi" w:cstheme="minorHAnsi"/>
          <w:lang w:eastAsia="zh-CN"/>
        </w:rPr>
        <w:t>Under free-stream conditions, 10-m wind speed exhibits the largest SHAP contribution, followed closely by 70-m wind speed. Wind speeds at 30 m and 50 m contribute less and show similar magnitudes, indicating partial redundancy within the rotor-swept layer.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w:t>
      </w:r>
      <w:r>
        <w:rPr>
          <w:rFonts w:asciiTheme="minorHAnsi" w:hAnsiTheme="minorHAnsi" w:cstheme="minorHAnsi" w:hint="eastAsia"/>
          <w:lang w:eastAsia="zh-CN"/>
        </w:rPr>
        <w:t xml:space="preserve"> </w:t>
      </w:r>
      <w:r w:rsidRPr="009716C0">
        <w:rPr>
          <w:rFonts w:asciiTheme="minorHAnsi" w:hAnsiTheme="minorHAnsi" w:cstheme="minorHAnsi"/>
          <w:lang w:eastAsia="zh-CN"/>
        </w:rPr>
        <w:t>Under wake-influenced conditions, feature importance shifts markedly. The contribution of 10-m wind speed increases further and becomes dominant, whereas the contribution of 70-m wind speed decreases. Wind speeds within the rotor-swept layer show reduced influence relative to the surface layer. This shift aligns with the regime-dependent degradation of hub-height correlation identified in Section 4.1 and with the stable scaling relationship between 10-m wind speed and the dominant vertical mode shown in Section 4.2. In this regime, surface-layer wind better represents the large-scale atmospheric forcing that governs farm-scale power variability.</w:t>
      </w:r>
    </w:p>
    <w:p w14:paraId="0BE3544D" w14:textId="1653B047" w:rsidR="002E3FD1" w:rsidRDefault="009716C0" w:rsidP="009716C0">
      <w:pPr>
        <w:pStyle w:val="Text"/>
        <w:rPr>
          <w:rFonts w:asciiTheme="minorHAnsi" w:hAnsiTheme="minorHAnsi" w:cstheme="minorHAnsi"/>
          <w:lang w:eastAsia="zh-CN"/>
        </w:rPr>
      </w:pPr>
      <w:r w:rsidRPr="009716C0">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The agreement between SHAP-derived feature importance and the physically established relationships identified earlier supports the interpretability of SHAP in diagnosing model behavior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2024)","noteIndex":0},"citationItems":[{"id":1513,"uris":["http://zotero.org/users/14274501/items/89TP87SW"],"itemData":{"id":1513,"type":"article-journal","abstract":"Advanced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noProof/>
          <w:lang w:eastAsia="zh-CN"/>
        </w:rPr>
        <w:t>(Liao et al., 2024)</w:t>
      </w:r>
      <w:r>
        <w:rPr>
          <w:rFonts w:asciiTheme="minorHAnsi" w:hAnsiTheme="minorHAnsi" w:cstheme="minorHAnsi"/>
          <w:lang w:eastAsia="zh-CN"/>
        </w:rPr>
        <w:fldChar w:fldCharType="end"/>
      </w:r>
      <w:r w:rsidRPr="009716C0">
        <w:rPr>
          <w:rFonts w:asciiTheme="minorHAnsi" w:hAnsiTheme="minorHAnsi" w:cstheme="minorHAnsi"/>
          <w:lang w:eastAsia="zh-CN"/>
        </w:rPr>
        <w:t>. 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t>
      </w:r>
    </w:p>
    <w:p w14:paraId="6D2BC5B1" w14:textId="555879A4" w:rsidR="003B0614" w:rsidRPr="003B0614" w:rsidRDefault="003B0614" w:rsidP="003B0614">
      <w:pPr>
        <w:pStyle w:val="Heading-Secondary"/>
        <w:rPr>
          <w:rFonts w:asciiTheme="minorHAnsi" w:hAnsiTheme="minorHAnsi" w:cstheme="minorHAnsi"/>
        </w:rPr>
      </w:pPr>
      <w:r>
        <w:rPr>
          <w:rFonts w:asciiTheme="minorHAnsi" w:hAnsiTheme="minorHAnsi" w:cstheme="minorHAnsi" w:hint="eastAsia"/>
          <w:lang w:eastAsia="zh-CN"/>
        </w:rPr>
        <w:t>4</w:t>
      </w:r>
      <w:r w:rsidRPr="003B0614">
        <w:rPr>
          <w:rFonts w:asciiTheme="minorHAnsi" w:hAnsiTheme="minorHAnsi" w:cstheme="minorHAnsi" w:hint="eastAsia"/>
          <w:lang w:eastAsia="zh-CN"/>
        </w:rPr>
        <w:t>.</w:t>
      </w:r>
      <w:r w:rsidRPr="003B0614">
        <w:rPr>
          <w:rFonts w:asciiTheme="minorHAnsi" w:hAnsiTheme="minorHAnsi" w:cstheme="minorHAnsi"/>
        </w:rPr>
        <w:t>4. Operational Implications: Wind-Direction-Aware Strategy</w:t>
      </w:r>
    </w:p>
    <w:p w14:paraId="4232E3FD" w14:textId="0ADE8371" w:rsidR="00C40F7E" w:rsidRDefault="00C40F7E" w:rsidP="009D5CCB">
      <w:pPr>
        <w:pStyle w:val="Text"/>
        <w:rPr>
          <w:rFonts w:asciiTheme="minorHAnsi" w:hAnsiTheme="minorHAnsi" w:cstheme="minorHAnsi"/>
          <w:lang w:eastAsia="zh-CN"/>
        </w:rPr>
      </w:pPr>
      <w:r w:rsidRPr="00C40F7E">
        <w:rPr>
          <w:rFonts w:asciiTheme="minorHAnsi" w:hAnsiTheme="minorHAnsi" w:cstheme="minorHAnsi"/>
          <w:lang w:eastAsia="zh-CN"/>
        </w:rPr>
        <w:t>Section 4.3 demonstrated that extending vertical wind representation improves power reconstruction when observational data are used as inputs. In operational forecasting, however, meteorological inputs are provided by NWP systems, and their reliability varies across flow conditions. The regime-dependent feature behavior identified in Sections 4.1–4.3 suggests that a fixed set of input variables may not be optimal under all inflow regimes.</w:t>
      </w:r>
    </w:p>
    <w:p w14:paraId="48DD338A" w14:textId="2D813D23" w:rsidR="00C40F7E" w:rsidRDefault="00032846" w:rsidP="009D5CCB">
      <w:pPr>
        <w:pStyle w:val="Text"/>
        <w:rPr>
          <w:rFonts w:asciiTheme="minorHAnsi" w:hAnsiTheme="minorHAnsi" w:cstheme="minorHAnsi"/>
          <w:lang w:eastAsia="zh-CN"/>
        </w:rPr>
      </w:pPr>
      <w:r w:rsidRPr="00032846">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direction predicted by the NWP system. During forecasting, the sector is determined using the predicted wind direction, and the corresponding sector-specific model is applied. Although wind direction forecasts are subject to uncertainty, this strategy remains effective in practice</w:t>
      </w:r>
      <w:r w:rsidR="00C40F7E" w:rsidRPr="00C40F7E">
        <w:rPr>
          <w:rFonts w:asciiTheme="minorHAnsi" w:hAnsiTheme="minorHAnsi" w:cstheme="minorHAnsi"/>
          <w:lang w:eastAsia="zh-CN"/>
        </w:rPr>
        <w:t>.</w:t>
      </w:r>
    </w:p>
    <w:p w14:paraId="262F4F4F" w14:textId="14A08267" w:rsidR="00C40F7E" w:rsidRDefault="007165D9" w:rsidP="009D5CCB">
      <w:pPr>
        <w:pStyle w:val="Text"/>
        <w:rPr>
          <w:rFonts w:asciiTheme="minorHAnsi" w:hAnsiTheme="minorHAnsi" w:cstheme="minorHAnsi"/>
          <w:lang w:eastAsia="zh-CN"/>
        </w:rPr>
      </w:pPr>
      <w:r w:rsidRPr="007165D9">
        <w:rPr>
          <w:rFonts w:asciiTheme="minorHAnsi" w:hAnsiTheme="minorHAnsi" w:cstheme="minorHAnsi"/>
          <w:lang w:eastAsia="zh-CN"/>
        </w:rPr>
        <w:t xml:space="preserve">Figures 4A and 4C present day-ahead forecast performance using EC-WRF and GFS-WRF inputs, respectively.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Pr="0063545B">
        <w:rPr>
          <w:rFonts w:asciiTheme="minorHAnsi" w:hAnsiTheme="minorHAnsi" w:cstheme="minorHAnsi"/>
          <w:lang w:eastAsia="zh-CN"/>
        </w:rPr>
        <w:t>D</w:t>
      </w:r>
      <w:r w:rsidRPr="009D5CCB">
        <w:rPr>
          <w:rFonts w:asciiTheme="minorHAnsi" w:hAnsiTheme="minorHAnsi" w:cstheme="minorHAnsi"/>
          <w:lang w:eastAsia="zh-CN"/>
        </w:rPr>
        <w:t xml:space="preserve">espite using fewer effective input variables under </w:t>
      </w:r>
      <w:r w:rsidRPr="000B4AFC">
        <w:rPr>
          <w:rFonts w:asciiTheme="minorHAnsi" w:hAnsiTheme="minorHAnsi" w:cstheme="minorHAnsi"/>
          <w:lang w:eastAsia="zh-CN"/>
        </w:rPr>
        <w:t>wake-influenced</w:t>
      </w:r>
      <w:r w:rsidRPr="009D5CCB">
        <w:rPr>
          <w:rFonts w:asciiTheme="minorHAnsi" w:hAnsiTheme="minorHAnsi" w:cstheme="minorHAnsi"/>
          <w:lang w:eastAsia="zh-CN"/>
        </w:rPr>
        <w:t xml:space="preserve"> </w:t>
      </w:r>
      <w:r w:rsidRPr="009D5CCB">
        <w:rPr>
          <w:rFonts w:asciiTheme="minorHAnsi" w:hAnsiTheme="minorHAnsi" w:cstheme="minorHAnsi"/>
          <w:lang w:eastAsia="zh-CN"/>
        </w:rPr>
        <w:lastRenderedPageBreak/>
        <w:t xml:space="preserve">conditions, WDA performs better than ER, indicating that regime-dependent variable selection reduces redundant information in </w:t>
      </w:r>
      <w:r>
        <w:rPr>
          <w:rFonts w:asciiTheme="minorHAnsi" w:hAnsiTheme="minorHAnsi" w:cstheme="minorHAnsi"/>
          <w:lang w:eastAsia="zh-CN"/>
        </w:rPr>
        <w:t>NWP</w:t>
      </w:r>
      <w:r w:rsidRPr="009D5CCB">
        <w:rPr>
          <w:rFonts w:asciiTheme="minorHAnsi" w:hAnsiTheme="minorHAnsi" w:cstheme="minorHAnsi"/>
          <w:lang w:eastAsia="zh-CN"/>
        </w:rPr>
        <w:t xml:space="preserve"> inputs.</w:t>
      </w:r>
    </w:p>
    <w:p w14:paraId="45CBFEF4" w14:textId="445F9E2D" w:rsidR="007165D9" w:rsidRDefault="007165D9" w:rsidP="007165D9">
      <w:pPr>
        <w:pStyle w:val="Text"/>
        <w:rPr>
          <w:rFonts w:asciiTheme="minorHAnsi" w:hAnsiTheme="minorHAnsi" w:cstheme="minorHAnsi"/>
          <w:lang w:eastAsia="zh-CN"/>
        </w:rPr>
      </w:pPr>
      <w:r w:rsidRPr="007165D9">
        <w:rPr>
          <w:rFonts w:asciiTheme="minorHAnsi" w:hAnsiTheme="minorHAnsi" w:cstheme="minorHAnsi"/>
          <w:lang w:eastAsia="zh-CN"/>
        </w:rPr>
        <w:t>Regime-resolved results (Figures 4B and 4D)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This pattern is consistent with earlier findings that hub-height wind is more susceptible to wake-related degradation, whereas surface-layer wind maintains a more stable relationship with the background atmospheric state. Allowing input usage to vary with flow regime therefore yields the largest benefit under wake-influenced conditions</w:t>
      </w:r>
      <w:r>
        <w:rPr>
          <w:rFonts w:asciiTheme="minorHAnsi" w:hAnsiTheme="minorHAnsi" w:cstheme="minorHAnsi"/>
          <w:lang w:eastAsia="zh-CN"/>
        </w:rPr>
        <w:t xml:space="preserve">. </w:t>
      </w:r>
      <w:r w:rsidRPr="007165D9">
        <w:rPr>
          <w:rFonts w:asciiTheme="minorHAnsi" w:hAnsiTheme="minorHAnsi" w:cstheme="minorHAnsi"/>
          <w:lang w:eastAsia="zh-CN"/>
        </w:rPr>
        <w:t xml:space="preserve">These results demonstrate that the physical understanding of scale-dependent vertical coupling can be translated into a simple operational strategy. Rather than relying on a fixed vertical representation, forecasting systems may benefit from adapting input usage according to inflow regime. 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2026)","noteIndex":0},"citationItems":[{"id":1769,"uris":["http://zotero.org/users/14274501/items/ENGBUWPD"],"itemData":{"id":1769,"type":"article-journal","abstract":"This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sidRPr="007165D9">
        <w:rPr>
          <w:rFonts w:asciiTheme="minorHAnsi" w:hAnsiTheme="minorHAnsi" w:cstheme="minorHAnsi"/>
          <w:lang w:eastAsia="zh-CN"/>
        </w:rPr>
        <w:t>.</w:t>
      </w:r>
    </w:p>
    <w:p w14:paraId="0CA53AD3" w14:textId="467C1948" w:rsidR="007165D9" w:rsidRDefault="007165D9" w:rsidP="009D5CCB">
      <w:pPr>
        <w:pStyle w:val="Text"/>
        <w:rPr>
          <w:rFonts w:asciiTheme="minorHAnsi" w:hAnsiTheme="minorHAnsi" w:cstheme="minorHAnsi"/>
          <w:lang w:eastAsia="zh-CN"/>
        </w:rPr>
      </w:pPr>
      <w:r w:rsidRPr="007165D9">
        <w:rPr>
          <w:rFonts w:asciiTheme="minorHAnsi" w:hAnsiTheme="minorHAnsi" w:cstheme="minorHAnsi"/>
          <w:lang w:eastAsia="zh-CN"/>
        </w:rPr>
        <w:t>Several limitations should be noted. First, the analysis is based on a single wind farm in flat terrain, where vertical coupling between surface and rotor layers is relatively strong. The applicability of this strategy to complex terrain requires further multi-site evaluation. Second, implementation depends on the availability of multi-height observations and reliable wind-direction forecasts, which may vary across operational settings.</w:t>
      </w:r>
    </w:p>
    <w:p w14:paraId="505762E6" w14:textId="453F791B" w:rsidR="00CC1907" w:rsidRDefault="002F3B11" w:rsidP="00CC1907">
      <w:pPr>
        <w:pStyle w:val="Heading-Main"/>
        <w:rPr>
          <w:rFonts w:asciiTheme="minorHAnsi" w:hAnsiTheme="minorHAnsi" w:cstheme="minorHAnsi"/>
          <w:lang w:eastAsia="zh-CN"/>
        </w:rPr>
      </w:pPr>
      <w:r w:rsidRPr="00850691">
        <w:rPr>
          <w:rFonts w:asciiTheme="minorHAnsi" w:hAnsiTheme="minorHAnsi" w:cstheme="minorHAnsi"/>
        </w:rPr>
        <w:t>5 Conclusions</w:t>
      </w:r>
    </w:p>
    <w:p w14:paraId="39D0CE0C" w14:textId="76F9BE09" w:rsidR="00D85F00"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t xml:space="preserve">This study explains why surface-layer wind observations maintain a strong correlation with farm-scale power and proposes an </w:t>
      </w:r>
      <w:r w:rsidR="0097276C" w:rsidRPr="0097276C">
        <w:rPr>
          <w:rFonts w:asciiTheme="minorHAnsi" w:hAnsiTheme="minorHAnsi" w:cstheme="minorHAnsi"/>
          <w:lang w:eastAsia="zh-CN"/>
        </w:rPr>
        <w:t>extended profile</w:t>
      </w:r>
      <w:r w:rsidRPr="00D85F00">
        <w:rPr>
          <w:rFonts w:asciiTheme="minorHAnsi" w:hAnsiTheme="minorHAnsi" w:cstheme="minorHAnsi"/>
          <w:lang w:eastAsia="zh-CN"/>
        </w:rPr>
        <w:t xml:space="preserve"> forecasting approach grounded in this physical understanding. Our findings demonstrate that farm-scale power should be characterized through vertical wind profiles rather than single-height measurements such as conventional hub-height observations. While REWS approaches recognize the importance of vertical structure, this study establishes that the relevant profile must extend below the rotor-swept layer to represent the complete atmospheric state under certain flow conditions.</w:t>
      </w:r>
    </w:p>
    <w:p w14:paraId="5EE991E2" w14:textId="4A8E34BC" w:rsidR="00D85F00"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t xml:space="preserve">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Under wake-influenced conditions, the 10-m level remains uncontaminated because it is positioned below the primary wake volume. However, its effectiveness does not solely stem from this shielding; rather, the 10-m wind speed serves as a key quantity for characterizing the intensity of the entire inflow profile. Scale-resolved analysis reveals that at the synoptic timescales governing power variability, wind speeds vary coherently across the vertical column over flat terrain. This vertical coupling, quantified through EOF analysis where a single mode captures over 93% of variance, enables 10-m wind speed to function as a consistent scaling factor for the energy state of the entire inflow profile. Through this mechanism, near-surface observations provide a reliable reference </w:t>
      </w:r>
      <w:r w:rsidRPr="00D85F00">
        <w:rPr>
          <w:rFonts w:asciiTheme="minorHAnsi" w:hAnsiTheme="minorHAnsi" w:cstheme="minorHAnsi"/>
          <w:lang w:eastAsia="zh-CN"/>
        </w:rPr>
        <w:lastRenderedPageBreak/>
        <w:t>for the atmospheric state driving power potential, even when rotor-layer measurements are degraded by wake effects.</w:t>
      </w:r>
    </w:p>
    <w:p w14:paraId="2E57C1B7" w14:textId="2407D503" w:rsidR="00D85F00" w:rsidRPr="00CC1907"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t xml:space="preserve">Building on this physical understanding, the </w:t>
      </w:r>
      <w:r w:rsidR="0097276C" w:rsidRPr="0097276C">
        <w:rPr>
          <w:rFonts w:asciiTheme="minorHAnsi" w:hAnsiTheme="minorHAnsi" w:cstheme="minorHAnsi"/>
          <w:lang w:eastAsia="zh-CN"/>
        </w:rPr>
        <w:t>extended profile</w:t>
      </w:r>
      <w:r w:rsidRPr="00D85F00">
        <w:rPr>
          <w:rFonts w:asciiTheme="minorHAnsi" w:hAnsiTheme="minorHAnsi" w:cstheme="minorHAnsi"/>
          <w:lang w:eastAsia="zh-CN"/>
        </w:rPr>
        <w:t xml:space="preserve"> representation integrates surface-layer and rotor-layer wind information to improve power reconstruction accuracy. When applied to operational day-ahead forecasting, a wind-direction-aware strategy based on regime-specific feature selection yields systematic improvements in NWP-driven forecasts. These results indicate that meteorological inputs should be selected according to governing physical scales and flow regimes rather than solely according to sensor proximity to the rotor. Recognizing and exploiting vertical coupling between surface and rotor layers provides a physically grounded pathway for improving farm-scale NWP-driven wind power forecasting.</w:t>
      </w:r>
    </w:p>
    <w:p w14:paraId="1E352C02" w14:textId="77777777" w:rsidR="00850691" w:rsidRPr="00850691" w:rsidRDefault="00850691" w:rsidP="00321596">
      <w:pPr>
        <w:pStyle w:val="Note"/>
        <w:rPr>
          <w:rFonts w:asciiTheme="minorHAnsi" w:hAnsiTheme="minorHAnsi" w:cstheme="minorHAnsi"/>
          <w:lang w:eastAsia="zh-CN"/>
        </w:rPr>
      </w:pPr>
    </w:p>
    <w:p w14:paraId="23812993" w14:textId="05F55C28" w:rsidR="00DA491B" w:rsidRPr="00DA491B" w:rsidRDefault="00995CAA" w:rsidP="00DA491B">
      <w:pPr>
        <w:shd w:val="clear" w:color="auto" w:fill="FFFFFF"/>
        <w:spacing w:line="480" w:lineRule="auto"/>
        <w:rPr>
          <w:rFonts w:asciiTheme="minorHAnsi" w:eastAsia="Times New Roman" w:hAnsiTheme="minorHAnsi" w:cstheme="minorHAnsi"/>
          <w:sz w:val="24"/>
          <w:szCs w:val="24"/>
        </w:rPr>
      </w:pPr>
      <w:r w:rsidRPr="00DA491B">
        <w:rPr>
          <w:rFonts w:asciiTheme="minorHAnsi" w:eastAsia="Times New Roman" w:hAnsiTheme="minorHAnsi" w:cstheme="minorHAnsi"/>
          <w:b/>
          <w:bCs/>
          <w:color w:val="262626"/>
          <w:sz w:val="24"/>
          <w:szCs w:val="24"/>
        </w:rPr>
        <w:t>Open Research</w:t>
      </w:r>
      <w:r w:rsidR="00DA491B">
        <w:rPr>
          <w:rFonts w:asciiTheme="minorHAnsi" w:eastAsia="Times New Roman" w:hAnsiTheme="minorHAnsi" w:cstheme="minorHAnsi"/>
        </w:rPr>
        <w:t> </w:t>
      </w:r>
    </w:p>
    <w:p w14:paraId="2D24A7BF" w14:textId="45C142C9" w:rsidR="00DA491B" w:rsidRPr="00DA491B" w:rsidRDefault="00DA491B" w:rsidP="00DA491B">
      <w:pPr>
        <w:shd w:val="clear" w:color="auto" w:fill="FFFFFF"/>
        <w:spacing w:line="480" w:lineRule="auto"/>
        <w:rPr>
          <w:rFonts w:asciiTheme="minorHAnsi" w:eastAsia="Times New Roman" w:hAnsiTheme="minorHAnsi" w:cstheme="minorHAnsi"/>
          <w:sz w:val="21"/>
          <w:szCs w:val="21"/>
          <w:lang w:eastAsia="zh-CN"/>
        </w:rPr>
      </w:pPr>
      <w:r w:rsidRPr="00DA491B">
        <w:rPr>
          <w:rFonts w:asciiTheme="minorHAnsi" w:eastAsia="Times New Roman" w:hAnsiTheme="minorHAnsi" w:cstheme="minorHAnsi"/>
          <w:color w:val="262626"/>
          <w:sz w:val="21"/>
          <w:szCs w:val="21"/>
        </w:rPr>
        <w:t>The</w:t>
      </w:r>
      <w:r w:rsidRPr="00DA491B">
        <w:rPr>
          <w:rFonts w:asciiTheme="minorHAnsi" w:eastAsia="Times New Roman" w:hAnsiTheme="minorHAnsi" w:cstheme="minorHAnsi"/>
          <w:sz w:val="21"/>
          <w:szCs w:val="21"/>
          <w:lang w:eastAsia="zh-CN"/>
        </w:rPr>
        <w:t xml:space="preserve"> observational wind speed and power data, together with the EC-WRF and GFS-WRF dynamical downscaling outputs used in this study, are archived at </w:t>
      </w:r>
      <w:proofErr w:type="spellStart"/>
      <w:r w:rsidRPr="00DA491B">
        <w:rPr>
          <w:rFonts w:asciiTheme="minorHAnsi" w:eastAsia="Times New Roman" w:hAnsiTheme="minorHAnsi" w:cstheme="minorHAnsi"/>
          <w:sz w:val="21"/>
          <w:szCs w:val="21"/>
          <w:lang w:eastAsia="zh-CN"/>
        </w:rPr>
        <w:t>Zenodo</w:t>
      </w:r>
      <w:proofErr w:type="spellEnd"/>
      <w:r w:rsidRPr="00DA491B">
        <w:rPr>
          <w:rFonts w:asciiTheme="minorHAnsi" w:eastAsia="Times New Roman" w:hAnsiTheme="minorHAnsi" w:cstheme="minorHAnsi"/>
          <w:sz w:val="21"/>
          <w:szCs w:val="21"/>
          <w:lang w:eastAsia="zh-CN"/>
        </w:rPr>
        <w:t xml:space="preserve"> (</w:t>
      </w:r>
      <w:hyperlink r:id="rId14" w:history="1">
        <w:r w:rsidRPr="00DA491B">
          <w:rPr>
            <w:rStyle w:val="a7"/>
            <w:rFonts w:asciiTheme="minorHAnsi" w:eastAsia="Times New Roman" w:hAnsiTheme="minorHAnsi" w:cstheme="minorHAnsi"/>
            <w:sz w:val="21"/>
            <w:szCs w:val="21"/>
            <w:lang w:eastAsia="zh-CN"/>
          </w:rPr>
          <w:t>https://doi.org/10.5281/zenodo.18671960</w:t>
        </w:r>
      </w:hyperlink>
      <w:r w:rsidRPr="00DA491B">
        <w:rPr>
          <w:rFonts w:asciiTheme="minorHAnsi" w:eastAsia="Times New Roman" w:hAnsiTheme="minorHAnsi" w:cstheme="minorHAnsi"/>
          <w:sz w:val="21"/>
          <w:szCs w:val="21"/>
          <w:lang w:eastAsia="zh-CN"/>
        </w:rPr>
        <w:t>). The analysis and visualization code is publicly available at GitHub (</w:t>
      </w:r>
      <w:hyperlink r:id="rId15" w:history="1">
        <w:r w:rsidRPr="00DA491B">
          <w:rPr>
            <w:rStyle w:val="a7"/>
            <w:rFonts w:asciiTheme="minorHAnsi" w:eastAsia="Times New Roman" w:hAnsiTheme="minorHAnsi" w:cstheme="minorHAnsi"/>
            <w:sz w:val="21"/>
            <w:szCs w:val="21"/>
            <w:lang w:eastAsia="zh-CN"/>
          </w:rPr>
          <w:t>https://github.com/Xiax24/ExtendedProfile-WindPower-Forecasting</w:t>
        </w:r>
      </w:hyperlink>
      <w:r w:rsidRPr="00DA491B">
        <w:rPr>
          <w:rFonts w:asciiTheme="minorHAnsi" w:eastAsia="Times New Roman" w:hAnsiTheme="minorHAnsi" w:cstheme="minorHAnsi"/>
          <w:sz w:val="21"/>
          <w:szCs w:val="21"/>
          <w:lang w:eastAsia="zh-CN"/>
        </w:rPr>
        <w:t xml:space="preserve">). ECMWF IFS HRES forecasts are publicly available from </w:t>
      </w:r>
      <w:hyperlink r:id="rId16" w:history="1">
        <w:r w:rsidRPr="00550606">
          <w:rPr>
            <w:rStyle w:val="a7"/>
            <w:rFonts w:asciiTheme="minorHAnsi" w:eastAsia="Times New Roman" w:hAnsiTheme="minorHAnsi" w:cstheme="minorHAnsi"/>
            <w:sz w:val="21"/>
            <w:szCs w:val="21"/>
            <w:lang w:eastAsia="zh-CN"/>
          </w:rPr>
          <w:t>https://www.ecmwf.int/en/forecasts/datasets/set-i</w:t>
        </w:r>
      </w:hyperlink>
      <w:r w:rsidRPr="00DA491B">
        <w:rPr>
          <w:rFonts w:asciiTheme="minorHAnsi" w:eastAsia="Times New Roman" w:hAnsiTheme="minorHAnsi" w:cstheme="minorHAnsi" w:hint="eastAsia"/>
          <w:sz w:val="21"/>
          <w:szCs w:val="21"/>
          <w:lang w:eastAsia="zh-CN"/>
        </w:rPr>
        <w:t>.</w:t>
      </w:r>
      <w:r w:rsidRPr="00DA491B">
        <w:rPr>
          <w:rFonts w:asciiTheme="minorHAnsi" w:eastAsia="Times New Roman" w:hAnsiTheme="minorHAnsi" w:cstheme="minorHAnsi"/>
          <w:sz w:val="21"/>
          <w:szCs w:val="21"/>
          <w:lang w:eastAsia="zh-CN"/>
        </w:rPr>
        <w:t xml:space="preserve"> NCEP GFS forecasts are publicly accessible from </w:t>
      </w:r>
      <w:hyperlink r:id="rId17" w:history="1">
        <w:r w:rsidRPr="00550606">
          <w:rPr>
            <w:rStyle w:val="a7"/>
            <w:rFonts w:asciiTheme="minorHAnsi" w:eastAsia="Times New Roman" w:hAnsiTheme="minorHAnsi" w:cstheme="minorHAnsi"/>
            <w:sz w:val="21"/>
            <w:szCs w:val="21"/>
            <w:lang w:eastAsia="zh-CN"/>
          </w:rPr>
          <w:t>https://www.ncei.noaa.gov/products/weather-climate-models/global-forecast</w:t>
        </w:r>
      </w:hyperlink>
      <w:r w:rsidRPr="00DA491B">
        <w:rPr>
          <w:rFonts w:asciiTheme="minorHAnsi" w:eastAsia="Times New Roman" w:hAnsiTheme="minorHAnsi" w:cstheme="minorHAnsi" w:hint="eastAsia"/>
          <w:sz w:val="21"/>
          <w:szCs w:val="21"/>
          <w:lang w:eastAsia="zh-CN"/>
        </w:rPr>
        <w:t>.</w:t>
      </w:r>
      <w:r w:rsidRPr="00DA491B">
        <w:rPr>
          <w:rFonts w:asciiTheme="minorHAnsi" w:eastAsia="Times New Roman" w:hAnsiTheme="minorHAnsi" w:cstheme="minorHAnsi"/>
          <w:sz w:val="21"/>
          <w:szCs w:val="21"/>
          <w:lang w:eastAsia="zh-CN"/>
        </w:rPr>
        <w:t xml:space="preserve"> The WRF model version 4.2 is openly accessible from </w:t>
      </w:r>
      <w:hyperlink r:id="rId18" w:history="1">
        <w:r w:rsidRPr="00550606">
          <w:rPr>
            <w:rStyle w:val="a7"/>
            <w:rFonts w:asciiTheme="minorHAnsi" w:eastAsia="Times New Roman" w:hAnsiTheme="minorHAnsi" w:cstheme="minorHAnsi"/>
            <w:sz w:val="21"/>
            <w:szCs w:val="21"/>
            <w:lang w:eastAsia="zh-CN"/>
          </w:rPr>
          <w:t>https://www2.mmm.ucar.edu/wrf/users/download/get_source.html</w:t>
        </w:r>
      </w:hyperlink>
      <w:r w:rsidRPr="00DA491B">
        <w:rPr>
          <w:rFonts w:asciiTheme="minorHAnsi" w:eastAsia="Times New Roman" w:hAnsiTheme="minorHAnsi" w:cstheme="minorHAnsi" w:hint="eastAsia"/>
          <w:sz w:val="21"/>
          <w:szCs w:val="21"/>
          <w:lang w:eastAsia="zh-CN"/>
        </w:rPr>
        <w:t>.</w:t>
      </w:r>
      <w:r w:rsidRPr="00DA491B">
        <w:rPr>
          <w:rFonts w:asciiTheme="minorHAnsi" w:eastAsia="Times New Roman" w:hAnsiTheme="minorHAnsi" w:cstheme="minorHAnsi"/>
          <w:sz w:val="21"/>
          <w:szCs w:val="21"/>
          <w:lang w:eastAsia="zh-CN"/>
        </w:rPr>
        <w:t xml:space="preserve"> The </w:t>
      </w:r>
      <w:proofErr w:type="spellStart"/>
      <w:r w:rsidRPr="00DA491B">
        <w:rPr>
          <w:rFonts w:asciiTheme="minorHAnsi" w:eastAsia="Times New Roman" w:hAnsiTheme="minorHAnsi" w:cstheme="minorHAnsi"/>
          <w:sz w:val="21"/>
          <w:szCs w:val="21"/>
          <w:lang w:eastAsia="zh-CN"/>
        </w:rPr>
        <w:t>LightGBM</w:t>
      </w:r>
      <w:proofErr w:type="spellEnd"/>
      <w:r w:rsidRPr="00DA491B">
        <w:rPr>
          <w:rFonts w:asciiTheme="minorHAnsi" w:eastAsia="Times New Roman" w:hAnsiTheme="minorHAnsi" w:cstheme="minorHAnsi"/>
          <w:sz w:val="21"/>
          <w:szCs w:val="21"/>
          <w:lang w:eastAsia="zh-CN"/>
        </w:rPr>
        <w:t xml:space="preserve"> package used for machine learning experiments is available from </w:t>
      </w:r>
      <w:hyperlink r:id="rId19" w:history="1">
        <w:r w:rsidRPr="00550606">
          <w:rPr>
            <w:rStyle w:val="a7"/>
            <w:rFonts w:asciiTheme="minorHAnsi" w:eastAsia="Times New Roman" w:hAnsiTheme="minorHAnsi" w:cstheme="minorHAnsi"/>
            <w:sz w:val="21"/>
            <w:szCs w:val="21"/>
            <w:lang w:eastAsia="zh-CN"/>
          </w:rPr>
          <w:t>https://github.com/microsoft/LightGBM</w:t>
        </w:r>
      </w:hyperlink>
      <w:r w:rsidRPr="00DA491B">
        <w:rPr>
          <w:rFonts w:asciiTheme="minorHAnsi" w:eastAsia="Times New Roman" w:hAnsiTheme="minorHAnsi" w:cstheme="minorHAnsi" w:hint="eastAsia"/>
          <w:sz w:val="21"/>
          <w:szCs w:val="21"/>
          <w:lang w:eastAsia="zh-CN"/>
        </w:rPr>
        <w:t>.</w:t>
      </w:r>
    </w:p>
    <w:p w14:paraId="77171B53" w14:textId="77777777" w:rsidR="00DA491B" w:rsidRPr="00DA491B" w:rsidRDefault="00DA491B" w:rsidP="00995CAA">
      <w:pPr>
        <w:shd w:val="clear" w:color="auto" w:fill="FFFFFF"/>
        <w:spacing w:line="480" w:lineRule="auto"/>
        <w:rPr>
          <w:rFonts w:asciiTheme="minorHAnsi" w:eastAsia="Times New Roman" w:hAnsiTheme="minorHAnsi" w:cstheme="minorHAnsi"/>
          <w:sz w:val="24"/>
          <w:szCs w:val="24"/>
          <w:lang w:eastAsia="zh-CN"/>
        </w:rPr>
      </w:pPr>
    </w:p>
    <w:p w14:paraId="51C87EA0" w14:textId="706B0C03" w:rsidR="009007AE" w:rsidRPr="00850691" w:rsidRDefault="009007AE" w:rsidP="009007AE">
      <w:pPr>
        <w:shd w:val="clear" w:color="auto" w:fill="FFFFFF"/>
        <w:spacing w:line="480" w:lineRule="auto"/>
        <w:rPr>
          <w:rFonts w:asciiTheme="minorHAnsi" w:eastAsia="Times New Roman" w:hAnsiTheme="minorHAnsi" w:cstheme="minorHAnsi"/>
          <w:sz w:val="24"/>
          <w:szCs w:val="24"/>
        </w:rPr>
      </w:pPr>
      <w:r w:rsidRPr="00A50F35">
        <w:rPr>
          <w:rFonts w:asciiTheme="minorHAnsi" w:eastAsia="Times New Roman" w:hAnsiTheme="minorHAnsi" w:cstheme="minorHAnsi"/>
          <w:b/>
          <w:bCs/>
          <w:color w:val="262626"/>
          <w:sz w:val="24"/>
          <w:szCs w:val="24"/>
        </w:rPr>
        <w:t>Conflict of Interest Disclosure</w:t>
      </w:r>
    </w:p>
    <w:p w14:paraId="084CD9C7" w14:textId="2001B784" w:rsidR="009007AE" w:rsidRDefault="009007AE" w:rsidP="00995CAA">
      <w:pPr>
        <w:shd w:val="clear" w:color="auto" w:fill="FFFFFF"/>
        <w:spacing w:line="480" w:lineRule="auto"/>
        <w:rPr>
          <w:rFonts w:asciiTheme="minorHAnsi" w:eastAsia="Times New Roman" w:hAnsiTheme="minorHAnsi" w:cstheme="minorHAnsi"/>
          <w:color w:val="262626"/>
          <w:sz w:val="21"/>
          <w:szCs w:val="21"/>
        </w:rPr>
      </w:pPr>
      <w:r w:rsidRPr="009007AE">
        <w:rPr>
          <w:rFonts w:asciiTheme="minorHAnsi" w:eastAsia="Times New Roman" w:hAnsiTheme="minorHAnsi" w:cstheme="minorHAnsi"/>
          <w:color w:val="262626"/>
          <w:sz w:val="21"/>
          <w:szCs w:val="21"/>
        </w:rPr>
        <w:t>The authors declare there are no conflicts of interest for this manuscript.</w:t>
      </w:r>
    </w:p>
    <w:p w14:paraId="1A5386DE" w14:textId="77777777" w:rsidR="00F424D8" w:rsidRPr="00A50F35" w:rsidRDefault="00F424D8" w:rsidP="00995CAA">
      <w:pPr>
        <w:shd w:val="clear" w:color="auto" w:fill="FFFFFF"/>
        <w:spacing w:line="480" w:lineRule="auto"/>
        <w:rPr>
          <w:rFonts w:asciiTheme="minorHAnsi" w:eastAsia="Times New Roman" w:hAnsiTheme="minorHAnsi" w:cstheme="minorHAnsi"/>
          <w:color w:val="262626"/>
          <w:sz w:val="21"/>
          <w:szCs w:val="21"/>
          <w:lang w:eastAsia="zh-CN"/>
        </w:rPr>
      </w:pPr>
    </w:p>
    <w:p w14:paraId="3BE6A8F9"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References</w:t>
      </w:r>
    </w:p>
    <w:p w14:paraId="5651EC62" w14:textId="77777777" w:rsidR="008C5028" w:rsidRPr="008C5028" w:rsidRDefault="002F2FF8" w:rsidP="008C5028">
      <w:pPr>
        <w:pStyle w:val="af2"/>
        <w:rPr>
          <w:rFonts w:ascii="Calibri" w:hAnsi="Calibri" w:cs="Calibri"/>
          <w:sz w:val="24"/>
        </w:rPr>
      </w:pPr>
      <w:r>
        <w:rPr>
          <w:rFonts w:asciiTheme="minorHAnsi" w:eastAsia="Times New Roman" w:hAnsiTheme="minorHAnsi" w:cstheme="minorHAnsi"/>
          <w:color w:val="262626"/>
        </w:rPr>
        <w:fldChar w:fldCharType="begin"/>
      </w:r>
      <w:r w:rsidR="00093BDE">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sidR="008C5028" w:rsidRPr="008C5028">
        <w:rPr>
          <w:rFonts w:ascii="Calibri" w:hAnsi="Calibri" w:cs="Calibri"/>
          <w:sz w:val="24"/>
        </w:rPr>
        <w:t xml:space="preserve">Barthelmie, R. J., Frandsen, S. T., Nielsen, M. N., Pryor, S. C., Rethore, P. ‐E., &amp; Jørgensen, H. E. (2007). Modelling and measurements of power losses and turbulence intensity in wind </w:t>
      </w:r>
      <w:r w:rsidR="008C5028" w:rsidRPr="008C5028">
        <w:rPr>
          <w:rFonts w:ascii="Calibri" w:hAnsi="Calibri" w:cs="Calibri"/>
          <w:sz w:val="24"/>
        </w:rPr>
        <w:lastRenderedPageBreak/>
        <w:t xml:space="preserve">turbine wakes at Middelgrunden offshore wind farm. </w:t>
      </w:r>
      <w:r w:rsidR="008C5028" w:rsidRPr="008C5028">
        <w:rPr>
          <w:rFonts w:ascii="Calibri" w:hAnsi="Calibri" w:cs="Calibri"/>
          <w:i/>
          <w:iCs/>
          <w:sz w:val="24"/>
        </w:rPr>
        <w:t>Wind Energy</w:t>
      </w:r>
      <w:r w:rsidR="008C5028" w:rsidRPr="008C5028">
        <w:rPr>
          <w:rFonts w:ascii="Calibri" w:hAnsi="Calibri" w:cs="Calibri"/>
          <w:sz w:val="24"/>
        </w:rPr>
        <w:t xml:space="preserve">, </w:t>
      </w:r>
      <w:r w:rsidR="008C5028" w:rsidRPr="008C5028">
        <w:rPr>
          <w:rFonts w:ascii="Calibri" w:hAnsi="Calibri" w:cs="Calibri"/>
          <w:i/>
          <w:iCs/>
          <w:sz w:val="24"/>
        </w:rPr>
        <w:t>10</w:t>
      </w:r>
      <w:r w:rsidR="008C5028" w:rsidRPr="008C5028">
        <w:rPr>
          <w:rFonts w:ascii="Calibri" w:hAnsi="Calibri" w:cs="Calibri"/>
          <w:sz w:val="24"/>
        </w:rPr>
        <w:t>(6), 517–528. https://doi.org/10.1002/we.238</w:t>
      </w:r>
    </w:p>
    <w:p w14:paraId="1FE65AB9"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Bentsen, L. Ø., Warakagoda, N. D., Stenbro, R., &amp; Engelstad, P. (2023). Spatio-temporal wind speed forecasting using graph networks and novel Transformer architectures. </w:t>
      </w:r>
      <w:r w:rsidRPr="008C5028">
        <w:rPr>
          <w:rFonts w:ascii="Calibri" w:hAnsi="Calibri" w:cs="Calibri"/>
          <w:i/>
          <w:iCs/>
          <w:sz w:val="24"/>
        </w:rPr>
        <w:t>Applied Energy</w:t>
      </w:r>
      <w:r w:rsidRPr="008C5028">
        <w:rPr>
          <w:rFonts w:ascii="Calibri" w:hAnsi="Calibri" w:cs="Calibri"/>
          <w:sz w:val="24"/>
        </w:rPr>
        <w:t xml:space="preserve">, </w:t>
      </w:r>
      <w:r w:rsidRPr="008C5028">
        <w:rPr>
          <w:rFonts w:ascii="Calibri" w:hAnsi="Calibri" w:cs="Calibri"/>
          <w:i/>
          <w:iCs/>
          <w:sz w:val="24"/>
        </w:rPr>
        <w:t>333</w:t>
      </w:r>
      <w:r w:rsidRPr="008C5028">
        <w:rPr>
          <w:rFonts w:ascii="Calibri" w:hAnsi="Calibri" w:cs="Calibri"/>
          <w:sz w:val="24"/>
        </w:rPr>
        <w:t>, 120565. https://doi.org/10.1016/j.apenergy.2022.120565</w:t>
      </w:r>
    </w:p>
    <w:p w14:paraId="63332CFE"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Buhan, S., Ozkazanc, Y., &amp; Cadirci, I. (2016). Wind Pattern Recognition and Reference Wind Mast Data Correlations With NWP for Improved Wind-Electric Power Forecasts. </w:t>
      </w:r>
      <w:r w:rsidRPr="008C5028">
        <w:rPr>
          <w:rFonts w:ascii="Calibri" w:hAnsi="Calibri" w:cs="Calibri"/>
          <w:i/>
          <w:iCs/>
          <w:sz w:val="24"/>
        </w:rPr>
        <w:t>IEEE Transactions on Industrial Informatics</w:t>
      </w:r>
      <w:r w:rsidRPr="008C5028">
        <w:rPr>
          <w:rFonts w:ascii="Calibri" w:hAnsi="Calibri" w:cs="Calibri"/>
          <w:sz w:val="24"/>
        </w:rPr>
        <w:t xml:space="preserve">, </w:t>
      </w:r>
      <w:r w:rsidRPr="008C5028">
        <w:rPr>
          <w:rFonts w:ascii="Calibri" w:hAnsi="Calibri" w:cs="Calibri"/>
          <w:i/>
          <w:iCs/>
          <w:sz w:val="24"/>
        </w:rPr>
        <w:t>12</w:t>
      </w:r>
      <w:r w:rsidRPr="008C5028">
        <w:rPr>
          <w:rFonts w:ascii="Calibri" w:hAnsi="Calibri" w:cs="Calibri"/>
          <w:sz w:val="24"/>
        </w:rPr>
        <w:t>(3), 991–1004. https://doi.org/10.1109/TII.2016.2543004</w:t>
      </w:r>
    </w:p>
    <w:p w14:paraId="3D51F88C"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Cassola, F., &amp; Burlando, M. (2012). Wind speed and wind energy forecast through Kalman filtering of Numerical Weather Prediction model output. </w:t>
      </w:r>
      <w:r w:rsidRPr="008C5028">
        <w:rPr>
          <w:rFonts w:ascii="Calibri" w:hAnsi="Calibri" w:cs="Calibri"/>
          <w:i/>
          <w:iCs/>
          <w:sz w:val="24"/>
        </w:rPr>
        <w:t>Applied Energy</w:t>
      </w:r>
      <w:r w:rsidRPr="008C5028">
        <w:rPr>
          <w:rFonts w:ascii="Calibri" w:hAnsi="Calibri" w:cs="Calibri"/>
          <w:sz w:val="24"/>
        </w:rPr>
        <w:t xml:space="preserve">, </w:t>
      </w:r>
      <w:r w:rsidRPr="008C5028">
        <w:rPr>
          <w:rFonts w:ascii="Calibri" w:hAnsi="Calibri" w:cs="Calibri"/>
          <w:i/>
          <w:iCs/>
          <w:sz w:val="24"/>
        </w:rPr>
        <w:t>99</w:t>
      </w:r>
      <w:r w:rsidRPr="008C5028">
        <w:rPr>
          <w:rFonts w:ascii="Calibri" w:hAnsi="Calibri" w:cs="Calibri"/>
          <w:sz w:val="24"/>
        </w:rPr>
        <w:t>, 154–166. https://doi.org/10.1016/j.apenergy.2012.03.054</w:t>
      </w:r>
    </w:p>
    <w:p w14:paraId="0CB8D865"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Che, Y., A. Salazar, A., Peng, S., Zheng, J., Chen, Y., &amp; Yuan, L. (2022). A multi-scale model for day-ahead wind speed forecasting: A case study of the Houhoku wind farm, Japan. </w:t>
      </w:r>
      <w:r w:rsidRPr="008C5028">
        <w:rPr>
          <w:rFonts w:ascii="Calibri" w:hAnsi="Calibri" w:cs="Calibri"/>
          <w:i/>
          <w:iCs/>
          <w:sz w:val="24"/>
        </w:rPr>
        <w:t>Sustainable Energy Technologies and Assessments</w:t>
      </w:r>
      <w:r w:rsidRPr="008C5028">
        <w:rPr>
          <w:rFonts w:ascii="Calibri" w:hAnsi="Calibri" w:cs="Calibri"/>
          <w:sz w:val="24"/>
        </w:rPr>
        <w:t xml:space="preserve">, </w:t>
      </w:r>
      <w:r w:rsidRPr="008C5028">
        <w:rPr>
          <w:rFonts w:ascii="Calibri" w:hAnsi="Calibri" w:cs="Calibri"/>
          <w:i/>
          <w:iCs/>
          <w:sz w:val="24"/>
        </w:rPr>
        <w:t>52</w:t>
      </w:r>
      <w:r w:rsidRPr="008C5028">
        <w:rPr>
          <w:rFonts w:ascii="Calibri" w:hAnsi="Calibri" w:cs="Calibri"/>
          <w:sz w:val="24"/>
        </w:rPr>
        <w:t>, 101995. https://doi.org/10.1016/j.seta.2022.101995</w:t>
      </w:r>
    </w:p>
    <w:p w14:paraId="2A5263C0"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Chen, Y., &amp; Xu, J. (2022). Solar and wind power data from the Chinese State Grid Renewable Energy Generation Forecasting Competition. </w:t>
      </w:r>
      <w:r w:rsidRPr="008C5028">
        <w:rPr>
          <w:rFonts w:ascii="Calibri" w:hAnsi="Calibri" w:cs="Calibri"/>
          <w:i/>
          <w:iCs/>
          <w:sz w:val="24"/>
        </w:rPr>
        <w:t>Scientific Data</w:t>
      </w:r>
      <w:r w:rsidRPr="008C5028">
        <w:rPr>
          <w:rFonts w:ascii="Calibri" w:hAnsi="Calibri" w:cs="Calibri"/>
          <w:sz w:val="24"/>
        </w:rPr>
        <w:t xml:space="preserve">, </w:t>
      </w:r>
      <w:r w:rsidRPr="008C5028">
        <w:rPr>
          <w:rFonts w:ascii="Calibri" w:hAnsi="Calibri" w:cs="Calibri"/>
          <w:i/>
          <w:iCs/>
          <w:sz w:val="24"/>
        </w:rPr>
        <w:t>9</w:t>
      </w:r>
      <w:r w:rsidRPr="008C5028">
        <w:rPr>
          <w:rFonts w:ascii="Calibri" w:hAnsi="Calibri" w:cs="Calibri"/>
          <w:sz w:val="24"/>
        </w:rPr>
        <w:t>(1), 577. https://doi.org/10.1038/s41597-022-01696-6</w:t>
      </w:r>
    </w:p>
    <w:p w14:paraId="35C9740C"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Clifton, A., Kilcher, L., Lundquist, J. K., &amp; Fleming, P. (2013). Using machine learning to predict wind turbine power output. </w:t>
      </w:r>
      <w:r w:rsidRPr="008C5028">
        <w:rPr>
          <w:rFonts w:ascii="Calibri" w:hAnsi="Calibri" w:cs="Calibri"/>
          <w:i/>
          <w:iCs/>
          <w:sz w:val="24"/>
        </w:rPr>
        <w:t>Environmental Research Letters</w:t>
      </w:r>
      <w:r w:rsidRPr="008C5028">
        <w:rPr>
          <w:rFonts w:ascii="Calibri" w:hAnsi="Calibri" w:cs="Calibri"/>
          <w:sz w:val="24"/>
        </w:rPr>
        <w:t xml:space="preserve">, </w:t>
      </w:r>
      <w:r w:rsidRPr="008C5028">
        <w:rPr>
          <w:rFonts w:ascii="Calibri" w:hAnsi="Calibri" w:cs="Calibri"/>
          <w:i/>
          <w:iCs/>
          <w:sz w:val="24"/>
        </w:rPr>
        <w:t>8</w:t>
      </w:r>
      <w:r w:rsidRPr="008C5028">
        <w:rPr>
          <w:rFonts w:ascii="Calibri" w:hAnsi="Calibri" w:cs="Calibri"/>
          <w:sz w:val="24"/>
        </w:rPr>
        <w:t>(2), 024009. https://doi.org/10.1088/1748-9326/8/2/024009</w:t>
      </w:r>
    </w:p>
    <w:p w14:paraId="0C75CC26" w14:textId="77777777" w:rsidR="008C5028" w:rsidRPr="008C5028" w:rsidRDefault="008C5028" w:rsidP="008C5028">
      <w:pPr>
        <w:pStyle w:val="af2"/>
        <w:rPr>
          <w:rFonts w:ascii="Calibri" w:hAnsi="Calibri" w:cs="Calibri"/>
          <w:sz w:val="24"/>
        </w:rPr>
      </w:pPr>
      <w:r w:rsidRPr="008C5028">
        <w:rPr>
          <w:rFonts w:ascii="Calibri" w:hAnsi="Calibri" w:cs="Calibri"/>
          <w:sz w:val="24"/>
        </w:rPr>
        <w:lastRenderedPageBreak/>
        <w:t xml:space="preserve">Diebold, F. X., &amp; Mariano, R. S. (1995). Comparing Predictive Accuracy. </w:t>
      </w:r>
      <w:r w:rsidRPr="008C5028">
        <w:rPr>
          <w:rFonts w:ascii="Calibri" w:hAnsi="Calibri" w:cs="Calibri"/>
          <w:i/>
          <w:iCs/>
          <w:sz w:val="24"/>
        </w:rPr>
        <w:t>Journal of Business &amp; Economic Statistics</w:t>
      </w:r>
      <w:r w:rsidRPr="008C5028">
        <w:rPr>
          <w:rFonts w:ascii="Calibri" w:hAnsi="Calibri" w:cs="Calibri"/>
          <w:sz w:val="24"/>
        </w:rPr>
        <w:t xml:space="preserve">, </w:t>
      </w:r>
      <w:r w:rsidRPr="008C5028">
        <w:rPr>
          <w:rFonts w:ascii="Calibri" w:hAnsi="Calibri" w:cs="Calibri"/>
          <w:i/>
          <w:iCs/>
          <w:sz w:val="24"/>
        </w:rPr>
        <w:t>13</w:t>
      </w:r>
      <w:r w:rsidRPr="008C5028">
        <w:rPr>
          <w:rFonts w:ascii="Calibri" w:hAnsi="Calibri" w:cs="Calibri"/>
          <w:sz w:val="24"/>
        </w:rPr>
        <w:t>(3), 253–263. https://doi.org/10.1080/07350015.1995.10524599</w:t>
      </w:r>
    </w:p>
    <w:p w14:paraId="1E2594D7"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Feroz, R. M. A., Javed, A., Syed, A. H., Kazmi, S. A. A., &amp; Uddin, E. (2020). Wind speed and power forecasting of a utility-scale wind farm with inter-farm wake interference and seasonal variation. </w:t>
      </w:r>
      <w:r w:rsidRPr="008C5028">
        <w:rPr>
          <w:rFonts w:ascii="Calibri" w:hAnsi="Calibri" w:cs="Calibri"/>
          <w:i/>
          <w:iCs/>
          <w:sz w:val="24"/>
        </w:rPr>
        <w:t>Sustainable Energy Technologies and Assessments</w:t>
      </w:r>
      <w:r w:rsidRPr="008C5028">
        <w:rPr>
          <w:rFonts w:ascii="Calibri" w:hAnsi="Calibri" w:cs="Calibri"/>
          <w:sz w:val="24"/>
        </w:rPr>
        <w:t xml:space="preserve">, </w:t>
      </w:r>
      <w:r w:rsidRPr="008C5028">
        <w:rPr>
          <w:rFonts w:ascii="Calibri" w:hAnsi="Calibri" w:cs="Calibri"/>
          <w:i/>
          <w:iCs/>
          <w:sz w:val="24"/>
        </w:rPr>
        <w:t>42</w:t>
      </w:r>
      <w:r w:rsidRPr="008C5028">
        <w:rPr>
          <w:rFonts w:ascii="Calibri" w:hAnsi="Calibri" w:cs="Calibri"/>
          <w:sz w:val="24"/>
        </w:rPr>
        <w:t>, 100882. https://doi.org/10.1016/j.seta.2020.100882</w:t>
      </w:r>
    </w:p>
    <w:p w14:paraId="22CBB713"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Hanifi, S., Cammarono, A., &amp; Zare-Behtash, H. (2024). Advanced hyperparameter optimization of deep learning models for wind power prediction. </w:t>
      </w:r>
      <w:r w:rsidRPr="008C5028">
        <w:rPr>
          <w:rFonts w:ascii="Calibri" w:hAnsi="Calibri" w:cs="Calibri"/>
          <w:i/>
          <w:iCs/>
          <w:sz w:val="24"/>
        </w:rPr>
        <w:t>Renewable Energy</w:t>
      </w:r>
      <w:r w:rsidRPr="008C5028">
        <w:rPr>
          <w:rFonts w:ascii="Calibri" w:hAnsi="Calibri" w:cs="Calibri"/>
          <w:sz w:val="24"/>
        </w:rPr>
        <w:t xml:space="preserve">, </w:t>
      </w:r>
      <w:r w:rsidRPr="008C5028">
        <w:rPr>
          <w:rFonts w:ascii="Calibri" w:hAnsi="Calibri" w:cs="Calibri"/>
          <w:i/>
          <w:iCs/>
          <w:sz w:val="24"/>
        </w:rPr>
        <w:t>221</w:t>
      </w:r>
      <w:r w:rsidRPr="008C5028">
        <w:rPr>
          <w:rFonts w:ascii="Calibri" w:hAnsi="Calibri" w:cs="Calibri"/>
          <w:sz w:val="24"/>
        </w:rPr>
        <w:t>, 119700. https://doi.org/10.1016/j.renene.2023.119700</w:t>
      </w:r>
    </w:p>
    <w:p w14:paraId="7C3B2BDD"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Holttinen, H. (2005). Optimal electricity market for wind power. </w:t>
      </w:r>
      <w:r w:rsidRPr="008C5028">
        <w:rPr>
          <w:rFonts w:ascii="Calibri" w:hAnsi="Calibri" w:cs="Calibri"/>
          <w:i/>
          <w:iCs/>
          <w:sz w:val="24"/>
        </w:rPr>
        <w:t>Energy Policy</w:t>
      </w:r>
      <w:r w:rsidRPr="008C5028">
        <w:rPr>
          <w:rFonts w:ascii="Calibri" w:hAnsi="Calibri" w:cs="Calibri"/>
          <w:sz w:val="24"/>
        </w:rPr>
        <w:t xml:space="preserve">, </w:t>
      </w:r>
      <w:r w:rsidRPr="008C5028">
        <w:rPr>
          <w:rFonts w:ascii="Calibri" w:hAnsi="Calibri" w:cs="Calibri"/>
          <w:i/>
          <w:iCs/>
          <w:sz w:val="24"/>
        </w:rPr>
        <w:t>33</w:t>
      </w:r>
      <w:r w:rsidRPr="008C5028">
        <w:rPr>
          <w:rFonts w:ascii="Calibri" w:hAnsi="Calibri" w:cs="Calibri"/>
          <w:sz w:val="24"/>
        </w:rPr>
        <w:t>(16), 2052–2063. https://doi.org/10.1016/j.enpol.2004.04.001</w:t>
      </w:r>
    </w:p>
    <w:p w14:paraId="050EC6EF"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Ke, G., Meng, Q., Finley, T., Wang, T., Chen, W., Ma, W., et al. (2017). Lightgbm: a highly efficient gradient boosting decision tree. </w:t>
      </w:r>
      <w:r w:rsidRPr="008C5028">
        <w:rPr>
          <w:rFonts w:ascii="Calibri" w:hAnsi="Calibri" w:cs="Calibri"/>
          <w:i/>
          <w:iCs/>
          <w:sz w:val="24"/>
        </w:rPr>
        <w:t>Advances in Neural Information Processing Systems</w:t>
      </w:r>
      <w:r w:rsidRPr="008C5028">
        <w:rPr>
          <w:rFonts w:ascii="Calibri" w:hAnsi="Calibri" w:cs="Calibri"/>
          <w:sz w:val="24"/>
        </w:rPr>
        <w:t xml:space="preserve">, </w:t>
      </w:r>
      <w:r w:rsidRPr="008C5028">
        <w:rPr>
          <w:rFonts w:ascii="Calibri" w:hAnsi="Calibri" w:cs="Calibri"/>
          <w:i/>
          <w:iCs/>
          <w:sz w:val="24"/>
        </w:rPr>
        <w:t>30</w:t>
      </w:r>
      <w:r w:rsidRPr="008C5028">
        <w:rPr>
          <w:rFonts w:ascii="Calibri" w:hAnsi="Calibri" w:cs="Calibri"/>
          <w:sz w:val="24"/>
        </w:rPr>
        <w:t>.</w:t>
      </w:r>
    </w:p>
    <w:p w14:paraId="22F265DD"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sidRPr="008C5028">
        <w:rPr>
          <w:rFonts w:ascii="Calibri" w:hAnsi="Calibri" w:cs="Calibri"/>
          <w:i/>
          <w:iCs/>
          <w:sz w:val="24"/>
        </w:rPr>
        <w:t>Journal of Renewable and Sustainable Energy</w:t>
      </w:r>
      <w:r w:rsidRPr="008C5028">
        <w:rPr>
          <w:rFonts w:ascii="Calibri" w:hAnsi="Calibri" w:cs="Calibri"/>
          <w:sz w:val="24"/>
        </w:rPr>
        <w:t xml:space="preserve">, </w:t>
      </w:r>
      <w:r w:rsidRPr="008C5028">
        <w:rPr>
          <w:rFonts w:ascii="Calibri" w:hAnsi="Calibri" w:cs="Calibri"/>
          <w:i/>
          <w:iCs/>
          <w:sz w:val="24"/>
        </w:rPr>
        <w:t>15</w:t>
      </w:r>
      <w:r w:rsidRPr="008C5028">
        <w:rPr>
          <w:rFonts w:ascii="Calibri" w:hAnsi="Calibri" w:cs="Calibri"/>
          <w:sz w:val="24"/>
        </w:rPr>
        <w:t>(1), 013307. https://doi.org/10.1063/5.0127519</w:t>
      </w:r>
    </w:p>
    <w:p w14:paraId="483A9B1D"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Liao, W., Fang, J., Ye, L., Bak-Jensen, B., Yang, Z., &amp; Porte-Agel, F. (2024). Can we trust explainable artificial intelligence in wind power forecasting? </w:t>
      </w:r>
      <w:r w:rsidRPr="008C5028">
        <w:rPr>
          <w:rFonts w:ascii="Calibri" w:hAnsi="Calibri" w:cs="Calibri"/>
          <w:i/>
          <w:iCs/>
          <w:sz w:val="24"/>
        </w:rPr>
        <w:t>Applied Energy</w:t>
      </w:r>
      <w:r w:rsidRPr="008C5028">
        <w:rPr>
          <w:rFonts w:ascii="Calibri" w:hAnsi="Calibri" w:cs="Calibri"/>
          <w:sz w:val="24"/>
        </w:rPr>
        <w:t xml:space="preserve">, </w:t>
      </w:r>
      <w:r w:rsidRPr="008C5028">
        <w:rPr>
          <w:rFonts w:ascii="Calibri" w:hAnsi="Calibri" w:cs="Calibri"/>
          <w:i/>
          <w:iCs/>
          <w:sz w:val="24"/>
        </w:rPr>
        <w:t>376</w:t>
      </w:r>
      <w:r w:rsidRPr="008C5028">
        <w:rPr>
          <w:rFonts w:ascii="Calibri" w:hAnsi="Calibri" w:cs="Calibri"/>
          <w:sz w:val="24"/>
        </w:rPr>
        <w:t>, 124273. https://doi.org/10.1016/j.apenergy.2024.124273</w:t>
      </w:r>
    </w:p>
    <w:p w14:paraId="0B5D7A7C" w14:textId="77777777" w:rsidR="008C5028" w:rsidRPr="008C5028" w:rsidRDefault="008C5028" w:rsidP="008C5028">
      <w:pPr>
        <w:pStyle w:val="af2"/>
        <w:rPr>
          <w:rFonts w:ascii="Calibri" w:hAnsi="Calibri" w:cs="Calibri"/>
          <w:sz w:val="24"/>
        </w:rPr>
      </w:pPr>
      <w:r w:rsidRPr="008C5028">
        <w:rPr>
          <w:rFonts w:ascii="Calibri" w:hAnsi="Calibri" w:cs="Calibri"/>
          <w:sz w:val="24"/>
        </w:rPr>
        <w:lastRenderedPageBreak/>
        <w:t xml:space="preserve">Liu, H., &amp; Zhang, Z. (2024). Development and trending of deep learning methods for wind power predictions. </w:t>
      </w:r>
      <w:r w:rsidRPr="008C5028">
        <w:rPr>
          <w:rFonts w:ascii="Calibri" w:hAnsi="Calibri" w:cs="Calibri"/>
          <w:i/>
          <w:iCs/>
          <w:sz w:val="24"/>
        </w:rPr>
        <w:t>Artificial Intelligence Review</w:t>
      </w:r>
      <w:r w:rsidRPr="008C5028">
        <w:rPr>
          <w:rFonts w:ascii="Calibri" w:hAnsi="Calibri" w:cs="Calibri"/>
          <w:sz w:val="24"/>
        </w:rPr>
        <w:t xml:space="preserve">, </w:t>
      </w:r>
      <w:r w:rsidRPr="008C5028">
        <w:rPr>
          <w:rFonts w:ascii="Calibri" w:hAnsi="Calibri" w:cs="Calibri"/>
          <w:i/>
          <w:iCs/>
          <w:sz w:val="24"/>
        </w:rPr>
        <w:t>57</w:t>
      </w:r>
      <w:r w:rsidRPr="008C5028">
        <w:rPr>
          <w:rFonts w:ascii="Calibri" w:hAnsi="Calibri" w:cs="Calibri"/>
          <w:sz w:val="24"/>
        </w:rPr>
        <w:t>(5), 112. https://doi.org/10.1007/s10462-024-10728-z</w:t>
      </w:r>
    </w:p>
    <w:p w14:paraId="1C309D73"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Lundberg, S. M., &amp; Lee, S.-I. (2017). A unified approach to interpreting model predictions. </w:t>
      </w:r>
      <w:r w:rsidRPr="008C5028">
        <w:rPr>
          <w:rFonts w:ascii="Calibri" w:hAnsi="Calibri" w:cs="Calibri"/>
          <w:i/>
          <w:iCs/>
          <w:sz w:val="24"/>
        </w:rPr>
        <w:t>Advances in Neural Information Processing Systems</w:t>
      </w:r>
      <w:r w:rsidRPr="008C5028">
        <w:rPr>
          <w:rFonts w:ascii="Calibri" w:hAnsi="Calibri" w:cs="Calibri"/>
          <w:sz w:val="24"/>
        </w:rPr>
        <w:t xml:space="preserve">, </w:t>
      </w:r>
      <w:r w:rsidRPr="008C5028">
        <w:rPr>
          <w:rFonts w:ascii="Calibri" w:hAnsi="Calibri" w:cs="Calibri"/>
          <w:i/>
          <w:iCs/>
          <w:sz w:val="24"/>
        </w:rPr>
        <w:t>30</w:t>
      </w:r>
      <w:r w:rsidRPr="008C5028">
        <w:rPr>
          <w:rFonts w:ascii="Calibri" w:hAnsi="Calibri" w:cs="Calibri"/>
          <w:sz w:val="24"/>
        </w:rPr>
        <w:t>.</w:t>
      </w:r>
    </w:p>
    <w:p w14:paraId="1014F350"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Mahoney, W. P., Parks, K., Wiener, G., Liu, Y., Myers, W. L., Sun, J., et al. (2012). A Wind Power Forecasting System to Optimize Grid Integration. </w:t>
      </w:r>
      <w:r w:rsidRPr="008C5028">
        <w:rPr>
          <w:rFonts w:ascii="Calibri" w:hAnsi="Calibri" w:cs="Calibri"/>
          <w:i/>
          <w:iCs/>
          <w:sz w:val="24"/>
        </w:rPr>
        <w:t>IEEE Transactions on Sustainable Energy</w:t>
      </w:r>
      <w:r w:rsidRPr="008C5028">
        <w:rPr>
          <w:rFonts w:ascii="Calibri" w:hAnsi="Calibri" w:cs="Calibri"/>
          <w:sz w:val="24"/>
        </w:rPr>
        <w:t xml:space="preserve">, </w:t>
      </w:r>
      <w:r w:rsidRPr="008C5028">
        <w:rPr>
          <w:rFonts w:ascii="Calibri" w:hAnsi="Calibri" w:cs="Calibri"/>
          <w:i/>
          <w:iCs/>
          <w:sz w:val="24"/>
        </w:rPr>
        <w:t>3</w:t>
      </w:r>
      <w:r w:rsidRPr="008C5028">
        <w:rPr>
          <w:rFonts w:ascii="Calibri" w:hAnsi="Calibri" w:cs="Calibri"/>
          <w:sz w:val="24"/>
        </w:rPr>
        <w:t>(4), 670–682. https://doi.org/10.1109/TSTE.2012.2201758</w:t>
      </w:r>
    </w:p>
    <w:p w14:paraId="0EC6EFD3"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Optis, M., &amp; Perr-Sauer, J. (2019). The importance of atmospheric turbulence and stability in machine-learning models of wind farm power production. </w:t>
      </w:r>
      <w:r w:rsidRPr="008C5028">
        <w:rPr>
          <w:rFonts w:ascii="Calibri" w:hAnsi="Calibri" w:cs="Calibri"/>
          <w:i/>
          <w:iCs/>
          <w:sz w:val="24"/>
        </w:rPr>
        <w:t>Renewable and Sustainable Energy Reviews</w:t>
      </w:r>
      <w:r w:rsidRPr="008C5028">
        <w:rPr>
          <w:rFonts w:ascii="Calibri" w:hAnsi="Calibri" w:cs="Calibri"/>
          <w:sz w:val="24"/>
        </w:rPr>
        <w:t xml:space="preserve">, </w:t>
      </w:r>
      <w:r w:rsidRPr="008C5028">
        <w:rPr>
          <w:rFonts w:ascii="Calibri" w:hAnsi="Calibri" w:cs="Calibri"/>
          <w:i/>
          <w:iCs/>
          <w:sz w:val="24"/>
        </w:rPr>
        <w:t>112</w:t>
      </w:r>
      <w:r w:rsidRPr="008C5028">
        <w:rPr>
          <w:rFonts w:ascii="Calibri" w:hAnsi="Calibri" w:cs="Calibri"/>
          <w:sz w:val="24"/>
        </w:rPr>
        <w:t>, 27–41. https://doi.org/10.1016/j.rser.2019.05.031</w:t>
      </w:r>
    </w:p>
    <w:p w14:paraId="00EB2821"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Porté-Agel, F., Bastankhah, M., &amp; Shamsoddin, S. (2020). Wind-Turbine and Wind-Farm Flows: A Review. </w:t>
      </w:r>
      <w:r w:rsidRPr="008C5028">
        <w:rPr>
          <w:rFonts w:ascii="Calibri" w:hAnsi="Calibri" w:cs="Calibri"/>
          <w:i/>
          <w:iCs/>
          <w:sz w:val="24"/>
        </w:rPr>
        <w:t>Boundary-Layer Meteorology</w:t>
      </w:r>
      <w:r w:rsidRPr="008C5028">
        <w:rPr>
          <w:rFonts w:ascii="Calibri" w:hAnsi="Calibri" w:cs="Calibri"/>
          <w:sz w:val="24"/>
        </w:rPr>
        <w:t xml:space="preserve">, </w:t>
      </w:r>
      <w:r w:rsidRPr="008C5028">
        <w:rPr>
          <w:rFonts w:ascii="Calibri" w:hAnsi="Calibri" w:cs="Calibri"/>
          <w:i/>
          <w:iCs/>
          <w:sz w:val="24"/>
        </w:rPr>
        <w:t>174</w:t>
      </w:r>
      <w:r w:rsidRPr="008C5028">
        <w:rPr>
          <w:rFonts w:ascii="Calibri" w:hAnsi="Calibri" w:cs="Calibri"/>
          <w:sz w:val="24"/>
        </w:rPr>
        <w:t>(1), 1–59. https://doi.org/10.1007/s10546-019-00473-0</w:t>
      </w:r>
    </w:p>
    <w:p w14:paraId="586F2F7C"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Romero-Barrera, A. J., Sipols, A. E., Paricio-Garcia, A., &amp; Lopez-Carmona, M. A. (2026). Short-term wind power forecasting integrating wake effect modeling with variational mode decomposition enhanced deep learning architectures. </w:t>
      </w:r>
      <w:r w:rsidRPr="008C5028">
        <w:rPr>
          <w:rFonts w:ascii="Calibri" w:hAnsi="Calibri" w:cs="Calibri"/>
          <w:i/>
          <w:iCs/>
          <w:sz w:val="24"/>
        </w:rPr>
        <w:t>Energy Conversion and Management</w:t>
      </w:r>
      <w:r w:rsidRPr="008C5028">
        <w:rPr>
          <w:rFonts w:ascii="Calibri" w:hAnsi="Calibri" w:cs="Calibri"/>
          <w:sz w:val="24"/>
        </w:rPr>
        <w:t xml:space="preserve">, </w:t>
      </w:r>
      <w:r w:rsidRPr="008C5028">
        <w:rPr>
          <w:rFonts w:ascii="Calibri" w:hAnsi="Calibri" w:cs="Calibri"/>
          <w:i/>
          <w:iCs/>
          <w:sz w:val="24"/>
        </w:rPr>
        <w:t>348</w:t>
      </w:r>
      <w:r w:rsidRPr="008C5028">
        <w:rPr>
          <w:rFonts w:ascii="Calibri" w:hAnsi="Calibri" w:cs="Calibri"/>
          <w:sz w:val="24"/>
        </w:rPr>
        <w:t>, 120738. https://doi.org/10.1016/j.enconman.2025.120738</w:t>
      </w:r>
    </w:p>
    <w:p w14:paraId="3C7D9C6A"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Rubanenko, O., Miroshnyk, O., Shevchenko, S., Yanovych, V., Danylchenko, D., &amp; Rubanenko, O. (2020). Distribution of Wind Power Generation Dependently of Meteorological Factors. In </w:t>
      </w:r>
      <w:r w:rsidRPr="008C5028">
        <w:rPr>
          <w:rFonts w:ascii="Calibri" w:hAnsi="Calibri" w:cs="Calibri"/>
          <w:i/>
          <w:iCs/>
          <w:sz w:val="24"/>
        </w:rPr>
        <w:t>2020 IEEE KhPI Week on Advanced Technology (KhPIWeek)</w:t>
      </w:r>
      <w:r w:rsidRPr="008C5028">
        <w:rPr>
          <w:rFonts w:ascii="Calibri" w:hAnsi="Calibri" w:cs="Calibri"/>
          <w:sz w:val="24"/>
        </w:rPr>
        <w:t xml:space="preserve"> (pp. 472–477). Kharkiv, Ukraine: IEEE. https://doi.org/10.1109/KhPIWeek51551.2020.9250114</w:t>
      </w:r>
    </w:p>
    <w:p w14:paraId="39E650D2" w14:textId="77777777" w:rsidR="008C5028" w:rsidRPr="008C5028" w:rsidRDefault="008C5028" w:rsidP="008C5028">
      <w:pPr>
        <w:pStyle w:val="af2"/>
        <w:rPr>
          <w:rFonts w:ascii="Calibri" w:hAnsi="Calibri" w:cs="Calibri"/>
          <w:sz w:val="24"/>
        </w:rPr>
      </w:pPr>
      <w:r w:rsidRPr="008C5028">
        <w:rPr>
          <w:rFonts w:ascii="Calibri" w:hAnsi="Calibri" w:cs="Calibri"/>
          <w:sz w:val="24"/>
        </w:rPr>
        <w:lastRenderedPageBreak/>
        <w:t xml:space="preserve">Sasser, C., Yu, M., &amp; Delgado, R. (2022). Improvement of wind power prediction from meteorological characterization with machine learning models. </w:t>
      </w:r>
      <w:r w:rsidRPr="008C5028">
        <w:rPr>
          <w:rFonts w:ascii="Calibri" w:hAnsi="Calibri" w:cs="Calibri"/>
          <w:i/>
          <w:iCs/>
          <w:sz w:val="24"/>
        </w:rPr>
        <w:t>Renewable Energy</w:t>
      </w:r>
      <w:r w:rsidRPr="008C5028">
        <w:rPr>
          <w:rFonts w:ascii="Calibri" w:hAnsi="Calibri" w:cs="Calibri"/>
          <w:sz w:val="24"/>
        </w:rPr>
        <w:t xml:space="preserve">, </w:t>
      </w:r>
      <w:r w:rsidRPr="008C5028">
        <w:rPr>
          <w:rFonts w:ascii="Calibri" w:hAnsi="Calibri" w:cs="Calibri"/>
          <w:i/>
          <w:iCs/>
          <w:sz w:val="24"/>
        </w:rPr>
        <w:t>183</w:t>
      </w:r>
      <w:r w:rsidRPr="008C5028">
        <w:rPr>
          <w:rFonts w:ascii="Calibri" w:hAnsi="Calibri" w:cs="Calibri"/>
          <w:sz w:val="24"/>
        </w:rPr>
        <w:t>, 491–501. https://doi.org/10.1016/j.renene.2021.10.034</w:t>
      </w:r>
    </w:p>
    <w:p w14:paraId="53B7589C"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Sun, H., &amp; Yang, H. (2023). Wind farm layout and hub height optimization with a novel wake model. </w:t>
      </w:r>
      <w:r w:rsidRPr="008C5028">
        <w:rPr>
          <w:rFonts w:ascii="Calibri" w:hAnsi="Calibri" w:cs="Calibri"/>
          <w:i/>
          <w:iCs/>
          <w:sz w:val="24"/>
        </w:rPr>
        <w:t>Applied Energy</w:t>
      </w:r>
      <w:r w:rsidRPr="008C5028">
        <w:rPr>
          <w:rFonts w:ascii="Calibri" w:hAnsi="Calibri" w:cs="Calibri"/>
          <w:sz w:val="24"/>
        </w:rPr>
        <w:t xml:space="preserve">, </w:t>
      </w:r>
      <w:r w:rsidRPr="008C5028">
        <w:rPr>
          <w:rFonts w:ascii="Calibri" w:hAnsi="Calibri" w:cs="Calibri"/>
          <w:i/>
          <w:iCs/>
          <w:sz w:val="24"/>
        </w:rPr>
        <w:t>348</w:t>
      </w:r>
      <w:r w:rsidRPr="008C5028">
        <w:rPr>
          <w:rFonts w:ascii="Calibri" w:hAnsi="Calibri" w:cs="Calibri"/>
          <w:sz w:val="24"/>
        </w:rPr>
        <w:t>, 121554. https://doi.org/10.1016/j.apenergy.2023.121554</w:t>
      </w:r>
    </w:p>
    <w:p w14:paraId="3BCF4E16"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Torres, M. E., Colominas, M. A., Schlotthauer, G., &amp; Flandrin, P. (2011). A complete ensemble empirical mode decomposition with adaptive noise. In </w:t>
      </w:r>
      <w:r w:rsidRPr="008C5028">
        <w:rPr>
          <w:rFonts w:ascii="Calibri" w:hAnsi="Calibri" w:cs="Calibri"/>
          <w:i/>
          <w:iCs/>
          <w:sz w:val="24"/>
        </w:rPr>
        <w:t>2011 IEEE International Conference on Acoustics, Speech and Signal Processing (ICASSP)</w:t>
      </w:r>
      <w:r w:rsidRPr="008C5028">
        <w:rPr>
          <w:rFonts w:ascii="Calibri" w:hAnsi="Calibri" w:cs="Calibri"/>
          <w:sz w:val="24"/>
        </w:rPr>
        <w:t xml:space="preserve"> (pp. 4144–4147). Prague, Czech Republic: IEEE. https://doi.org/10.1109/ICASSP.2011.5947265</w:t>
      </w:r>
    </w:p>
    <w:p w14:paraId="1AF36DAC"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Turbines—Part, W. (2005). 12-1: Power Performance Measurements of Electricity Producing Wind Turbines. </w:t>
      </w:r>
      <w:r w:rsidRPr="008C5028">
        <w:rPr>
          <w:rFonts w:ascii="Calibri" w:hAnsi="Calibri" w:cs="Calibri"/>
          <w:i/>
          <w:iCs/>
          <w:sz w:val="24"/>
        </w:rPr>
        <w:t>British Standard, IEC</w:t>
      </w:r>
      <w:r w:rsidRPr="008C5028">
        <w:rPr>
          <w:rFonts w:ascii="Calibri" w:hAnsi="Calibri" w:cs="Calibri"/>
          <w:sz w:val="24"/>
        </w:rPr>
        <w:t>, 61400–12.</w:t>
      </w:r>
    </w:p>
    <w:p w14:paraId="07C3247F"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Wagner, R., Antoniou, I., Pedersen, S. M., Courtney, M. S., &amp; Jørgensen, H. E. (2009). The influence of the wind speed profile on wind turbine performance measurements. </w:t>
      </w:r>
      <w:r w:rsidRPr="008C5028">
        <w:rPr>
          <w:rFonts w:ascii="Calibri" w:hAnsi="Calibri" w:cs="Calibri"/>
          <w:i/>
          <w:iCs/>
          <w:sz w:val="24"/>
        </w:rPr>
        <w:t>Wind Energy</w:t>
      </w:r>
      <w:r w:rsidRPr="008C5028">
        <w:rPr>
          <w:rFonts w:ascii="Calibri" w:hAnsi="Calibri" w:cs="Calibri"/>
          <w:sz w:val="24"/>
        </w:rPr>
        <w:t xml:space="preserve">, </w:t>
      </w:r>
      <w:r w:rsidRPr="008C5028">
        <w:rPr>
          <w:rFonts w:ascii="Calibri" w:hAnsi="Calibri" w:cs="Calibri"/>
          <w:i/>
          <w:iCs/>
          <w:sz w:val="24"/>
        </w:rPr>
        <w:t>12</w:t>
      </w:r>
      <w:r w:rsidRPr="008C5028">
        <w:rPr>
          <w:rFonts w:ascii="Calibri" w:hAnsi="Calibri" w:cs="Calibri"/>
          <w:sz w:val="24"/>
        </w:rPr>
        <w:t>(4), 348–362. https://doi.org/10.1002/we.297</w:t>
      </w:r>
    </w:p>
    <w:p w14:paraId="645BDAC6"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Wharton, S., &amp; Lundquist, J. K. (2012). Atmospheric stability affects wind turbine power collection. </w:t>
      </w:r>
      <w:r w:rsidRPr="008C5028">
        <w:rPr>
          <w:rFonts w:ascii="Calibri" w:hAnsi="Calibri" w:cs="Calibri"/>
          <w:i/>
          <w:iCs/>
          <w:sz w:val="24"/>
        </w:rPr>
        <w:t>Environmental Research Letters</w:t>
      </w:r>
      <w:r w:rsidRPr="008C5028">
        <w:rPr>
          <w:rFonts w:ascii="Calibri" w:hAnsi="Calibri" w:cs="Calibri"/>
          <w:sz w:val="24"/>
        </w:rPr>
        <w:t xml:space="preserve">, </w:t>
      </w:r>
      <w:r w:rsidRPr="008C5028">
        <w:rPr>
          <w:rFonts w:ascii="Calibri" w:hAnsi="Calibri" w:cs="Calibri"/>
          <w:i/>
          <w:iCs/>
          <w:sz w:val="24"/>
        </w:rPr>
        <w:t>7</w:t>
      </w:r>
      <w:r w:rsidRPr="008C5028">
        <w:rPr>
          <w:rFonts w:ascii="Calibri" w:hAnsi="Calibri" w:cs="Calibri"/>
          <w:sz w:val="24"/>
        </w:rPr>
        <w:t>(1), 014005. https://doi.org/10.1088/1748-9326/7/1/014005</w:t>
      </w:r>
    </w:p>
    <w:p w14:paraId="32E4D870"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Wilks, D. S. (2011). </w:t>
      </w:r>
      <w:r w:rsidRPr="008C5028">
        <w:rPr>
          <w:rFonts w:ascii="Calibri" w:hAnsi="Calibri" w:cs="Calibri"/>
          <w:i/>
          <w:iCs/>
          <w:sz w:val="24"/>
        </w:rPr>
        <w:t>Statistical methods in the atmospheric sciences</w:t>
      </w:r>
      <w:r w:rsidRPr="008C5028">
        <w:rPr>
          <w:rFonts w:ascii="Calibri" w:hAnsi="Calibri" w:cs="Calibri"/>
          <w:sz w:val="24"/>
        </w:rPr>
        <w:t xml:space="preserve"> (Vol. 100). Academic press.</w:t>
      </w:r>
    </w:p>
    <w:p w14:paraId="105019DB"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Wilson, D. K. (1996). Empirical Orthogonal Function Analysis of the Weakly Convective Atmospheric Boundary Layer. Part I: Eddy Structures. </w:t>
      </w:r>
      <w:r w:rsidRPr="008C5028">
        <w:rPr>
          <w:rFonts w:ascii="Calibri" w:hAnsi="Calibri" w:cs="Calibri"/>
          <w:i/>
          <w:iCs/>
          <w:sz w:val="24"/>
        </w:rPr>
        <w:t>Journal of Atmospheric Sciences</w:t>
      </w:r>
      <w:r w:rsidRPr="008C5028">
        <w:rPr>
          <w:rFonts w:ascii="Calibri" w:hAnsi="Calibri" w:cs="Calibri"/>
          <w:sz w:val="24"/>
        </w:rPr>
        <w:t xml:space="preserve">, </w:t>
      </w:r>
      <w:r w:rsidRPr="008C5028">
        <w:rPr>
          <w:rFonts w:ascii="Calibri" w:hAnsi="Calibri" w:cs="Calibri"/>
          <w:i/>
          <w:iCs/>
          <w:sz w:val="24"/>
        </w:rPr>
        <w:t>53</w:t>
      </w:r>
      <w:r w:rsidRPr="008C5028">
        <w:rPr>
          <w:rFonts w:ascii="Calibri" w:hAnsi="Calibri" w:cs="Calibri"/>
          <w:sz w:val="24"/>
        </w:rPr>
        <w:t>(6), 801–823. https://doi.org/10.1175/1520-0469(1996)053%253C0801:EOFAOT%253E2.0.CO;2</w:t>
      </w:r>
    </w:p>
    <w:p w14:paraId="6BFC9FE0" w14:textId="77777777" w:rsidR="008C5028" w:rsidRPr="008C5028" w:rsidRDefault="008C5028" w:rsidP="008C5028">
      <w:pPr>
        <w:pStyle w:val="af2"/>
        <w:rPr>
          <w:rFonts w:ascii="Calibri" w:hAnsi="Calibri" w:cs="Calibri"/>
          <w:sz w:val="24"/>
        </w:rPr>
      </w:pPr>
      <w:r w:rsidRPr="008C5028">
        <w:rPr>
          <w:rFonts w:ascii="Calibri" w:hAnsi="Calibri" w:cs="Calibri"/>
          <w:sz w:val="24"/>
        </w:rPr>
        <w:lastRenderedPageBreak/>
        <w:t xml:space="preserve">Wu, Z., &amp; Huang, N. E. (2009). Ensemble empirical mode decomposition: a noise-assisted data analysis method. </w:t>
      </w:r>
      <w:r w:rsidRPr="008C5028">
        <w:rPr>
          <w:rFonts w:ascii="Calibri" w:hAnsi="Calibri" w:cs="Calibri"/>
          <w:i/>
          <w:iCs/>
          <w:sz w:val="24"/>
        </w:rPr>
        <w:t>Advances in Adaptive Data Analysis</w:t>
      </w:r>
      <w:r w:rsidRPr="008C5028">
        <w:rPr>
          <w:rFonts w:ascii="Calibri" w:hAnsi="Calibri" w:cs="Calibri"/>
          <w:sz w:val="24"/>
        </w:rPr>
        <w:t xml:space="preserve">, </w:t>
      </w:r>
      <w:r w:rsidRPr="008C5028">
        <w:rPr>
          <w:rFonts w:ascii="Calibri" w:hAnsi="Calibri" w:cs="Calibri"/>
          <w:i/>
          <w:iCs/>
          <w:sz w:val="24"/>
        </w:rPr>
        <w:t>1</w:t>
      </w:r>
      <w:r w:rsidRPr="008C5028">
        <w:rPr>
          <w:rFonts w:ascii="Calibri" w:hAnsi="Calibri" w:cs="Calibri"/>
          <w:sz w:val="24"/>
        </w:rPr>
        <w:t>(1), 1–41. https://doi.org/10.1142/S1793536909000047</w:t>
      </w:r>
    </w:p>
    <w:p w14:paraId="558E52DA"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Xia, X., Luo, Y., Li, P., &amp; Chang, R. (2026). Comparative evaluation of ECMWF and GFS for operational day-ahead wind speed forecasting. </w:t>
      </w:r>
      <w:r w:rsidRPr="008C5028">
        <w:rPr>
          <w:rFonts w:ascii="Calibri" w:hAnsi="Calibri" w:cs="Calibri"/>
          <w:i/>
          <w:iCs/>
          <w:sz w:val="24"/>
        </w:rPr>
        <w:t>Renewable Energy</w:t>
      </w:r>
      <w:r w:rsidRPr="008C5028">
        <w:rPr>
          <w:rFonts w:ascii="Calibri" w:hAnsi="Calibri" w:cs="Calibri"/>
          <w:sz w:val="24"/>
        </w:rPr>
        <w:t xml:space="preserve">, </w:t>
      </w:r>
      <w:r w:rsidRPr="008C5028">
        <w:rPr>
          <w:rFonts w:ascii="Calibri" w:hAnsi="Calibri" w:cs="Calibri"/>
          <w:i/>
          <w:iCs/>
          <w:sz w:val="24"/>
        </w:rPr>
        <w:t>261</w:t>
      </w:r>
      <w:r w:rsidRPr="008C5028">
        <w:rPr>
          <w:rFonts w:ascii="Calibri" w:hAnsi="Calibri" w:cs="Calibri"/>
          <w:sz w:val="24"/>
        </w:rPr>
        <w:t>, 125263. https://doi.org/10.1016/j.renene.2026.125263</w:t>
      </w:r>
    </w:p>
    <w:p w14:paraId="500D6669"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Xia, X., Luo, Y., Li, P., Chang, R., Liao, Z., &amp; Huang, L. (2026). Systematic evaluation of transformer-based time series forecasting models for post-processing WRF-simulated wind speed and predicting short-term power output. </w:t>
      </w:r>
      <w:r w:rsidRPr="008C5028">
        <w:rPr>
          <w:rFonts w:ascii="Calibri" w:hAnsi="Calibri" w:cs="Calibri"/>
          <w:i/>
          <w:iCs/>
          <w:sz w:val="24"/>
        </w:rPr>
        <w:t>Applied Energy</w:t>
      </w:r>
      <w:r w:rsidRPr="008C5028">
        <w:rPr>
          <w:rFonts w:ascii="Calibri" w:hAnsi="Calibri" w:cs="Calibri"/>
          <w:sz w:val="24"/>
        </w:rPr>
        <w:t xml:space="preserve">, </w:t>
      </w:r>
      <w:r w:rsidRPr="008C5028">
        <w:rPr>
          <w:rFonts w:ascii="Calibri" w:hAnsi="Calibri" w:cs="Calibri"/>
          <w:i/>
          <w:iCs/>
          <w:sz w:val="24"/>
        </w:rPr>
        <w:t>403</w:t>
      </w:r>
      <w:r w:rsidRPr="008C5028">
        <w:rPr>
          <w:rFonts w:ascii="Calibri" w:hAnsi="Calibri" w:cs="Calibri"/>
          <w:sz w:val="24"/>
        </w:rPr>
        <w:t>, 127070. https://doi.org/10.1016/j.apenergy.2025.127070</w:t>
      </w:r>
    </w:p>
    <w:p w14:paraId="2D1EB598" w14:textId="77777777" w:rsidR="008C5028" w:rsidRPr="008C5028" w:rsidRDefault="008C5028" w:rsidP="008C5028">
      <w:pPr>
        <w:pStyle w:val="af2"/>
        <w:rPr>
          <w:rFonts w:ascii="Calibri" w:hAnsi="Calibri" w:cs="Calibri"/>
          <w:sz w:val="24"/>
        </w:rPr>
      </w:pPr>
      <w:r w:rsidRPr="008C5028">
        <w:rPr>
          <w:rFonts w:ascii="Calibri" w:hAnsi="Calibri" w:cs="Calibri"/>
          <w:sz w:val="24"/>
        </w:rPr>
        <w:t xml:space="preserve">Ye, L., Zhao, Y., Zeng, C., &amp; Zhang, C. (2017). Short-term wind power prediction based on spatial model. </w:t>
      </w:r>
      <w:r w:rsidRPr="008C5028">
        <w:rPr>
          <w:rFonts w:ascii="Calibri" w:hAnsi="Calibri" w:cs="Calibri"/>
          <w:i/>
          <w:iCs/>
          <w:sz w:val="24"/>
        </w:rPr>
        <w:t>Renewable Energy</w:t>
      </w:r>
      <w:r w:rsidRPr="008C5028">
        <w:rPr>
          <w:rFonts w:ascii="Calibri" w:hAnsi="Calibri" w:cs="Calibri"/>
          <w:sz w:val="24"/>
        </w:rPr>
        <w:t xml:space="preserve">, </w:t>
      </w:r>
      <w:r w:rsidRPr="008C5028">
        <w:rPr>
          <w:rFonts w:ascii="Calibri" w:hAnsi="Calibri" w:cs="Calibri"/>
          <w:i/>
          <w:iCs/>
          <w:sz w:val="24"/>
        </w:rPr>
        <w:t>101</w:t>
      </w:r>
      <w:r w:rsidRPr="008C5028">
        <w:rPr>
          <w:rFonts w:ascii="Calibri" w:hAnsi="Calibri" w:cs="Calibri"/>
          <w:sz w:val="24"/>
        </w:rPr>
        <w:t>, 1067–1074. https://doi.org/10.1016/j.renene.2016.09.069</w:t>
      </w:r>
    </w:p>
    <w:p w14:paraId="2B7C9A8E" w14:textId="0E294DD5" w:rsidR="00BF0028" w:rsidRPr="00F06692" w:rsidRDefault="002F2FF8" w:rsidP="008C5028">
      <w:pPr>
        <w:pStyle w:val="af2"/>
        <w:rPr>
          <w:rFonts w:asciiTheme="minorHAnsi" w:eastAsia="Times New Roman" w:hAnsiTheme="minorHAnsi" w:cstheme="minorHAnsi"/>
          <w:color w:val="262626"/>
          <w:sz w:val="24"/>
          <w:szCs w:val="24"/>
          <w:lang w:eastAsia="zh-CN"/>
        </w:rPr>
      </w:pPr>
      <w:r>
        <w:rPr>
          <w:rFonts w:asciiTheme="minorHAnsi" w:eastAsia="Times New Roman" w:hAnsiTheme="minorHAnsi" w:cstheme="minorHAnsi"/>
          <w:color w:val="262626"/>
          <w:sz w:val="24"/>
          <w:szCs w:val="24"/>
        </w:rPr>
        <w:fldChar w:fldCharType="end"/>
      </w:r>
    </w:p>
    <w:sectPr w:rsidR="00BF0028" w:rsidRPr="00F06692" w:rsidSect="00BD47BB">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52C1C" w14:textId="77777777" w:rsidR="002A0855" w:rsidRDefault="002A0855" w:rsidP="000379AB">
      <w:r>
        <w:separator/>
      </w:r>
    </w:p>
  </w:endnote>
  <w:endnote w:type="continuationSeparator" w:id="0">
    <w:p w14:paraId="69909244" w14:textId="77777777" w:rsidR="002A0855" w:rsidRDefault="002A0855"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D28E" w14:textId="2FE9AD18" w:rsidR="00DD6745" w:rsidRDefault="00DD6745" w:rsidP="00B719C8">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4CD5" w14:textId="77777777" w:rsidR="005D00E2" w:rsidRDefault="005D00E2" w:rsidP="00B719C8">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E6BF2" w14:textId="77777777" w:rsidR="002A0855" w:rsidRDefault="002A0855" w:rsidP="000379AB">
      <w:r>
        <w:separator/>
      </w:r>
    </w:p>
  </w:footnote>
  <w:footnote w:type="continuationSeparator" w:id="0">
    <w:p w14:paraId="5E9EFA01" w14:textId="77777777" w:rsidR="002A0855" w:rsidRDefault="002A0855"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FE63" w14:textId="5B06B9A4" w:rsidR="00DD6745" w:rsidRDefault="00DD6745" w:rsidP="007778ED">
    <w:pPr>
      <w:pStyle w:val="a5"/>
      <w:jc w:val="center"/>
    </w:pPr>
    <w:r>
      <w:t xml:space="preserve">manuscript submitted to </w:t>
    </w:r>
    <w:r>
      <w:rPr>
        <w:i/>
      </w:rPr>
      <w:t xml:space="preserve">replace this text with name of </w:t>
    </w:r>
    <w:r w:rsidRPr="007778ED">
      <w:rPr>
        <w:i/>
      </w:rPr>
      <w:t>AGU journal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CCC" w14:textId="2816AD77" w:rsidR="00DD6745" w:rsidRDefault="00DD6745" w:rsidP="00E31404">
    <w:pPr>
      <w:pStyle w:val="a5"/>
      <w:jc w:val="center"/>
    </w:pPr>
    <w:r>
      <w:t xml:space="preserve">Confidential manuscript submitted to </w:t>
    </w:r>
    <w:r>
      <w:rPr>
        <w:i/>
      </w:rPr>
      <w:t xml:space="preserve">replace this text with name of </w:t>
    </w:r>
    <w:r w:rsidRPr="007778ED">
      <w:rPr>
        <w:i/>
      </w:rPr>
      <w:t>AGU journal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F868" w14:textId="77777777" w:rsidR="005D00E2" w:rsidRDefault="005D00E2" w:rsidP="007778ED">
    <w:pPr>
      <w:pStyle w:val="a5"/>
      <w:jc w:val="center"/>
    </w:pPr>
    <w:r>
      <w:t xml:space="preserve">manuscript submitted to </w:t>
    </w:r>
    <w:r>
      <w:rPr>
        <w:i/>
      </w:rPr>
      <w:t xml:space="preserve">replace this text with name of </w:t>
    </w:r>
    <w:r w:rsidRPr="007778ED">
      <w:rPr>
        <w:i/>
      </w:rPr>
      <w:t>AGU journal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AAE2" w14:textId="77777777" w:rsidR="005D00E2" w:rsidRDefault="005D00E2" w:rsidP="00E31404">
    <w:pPr>
      <w:pStyle w:val="a5"/>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737268"/>
    <w:multiLevelType w:val="hybridMultilevel"/>
    <w:tmpl w:val="8CBA5F9A"/>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E044D2"/>
    <w:multiLevelType w:val="multilevel"/>
    <w:tmpl w:val="E1D2E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044D6D"/>
    <w:multiLevelType w:val="hybridMultilevel"/>
    <w:tmpl w:val="DE60BE5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4B53038E"/>
    <w:multiLevelType w:val="hybridMultilevel"/>
    <w:tmpl w:val="29EA6174"/>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B61859"/>
    <w:multiLevelType w:val="multilevel"/>
    <w:tmpl w:val="851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7" w15:restartNumberingAfterBreak="0">
    <w:nsid w:val="6B5617E1"/>
    <w:multiLevelType w:val="multilevel"/>
    <w:tmpl w:val="74A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8193913">
    <w:abstractNumId w:val="3"/>
  </w:num>
  <w:num w:numId="2" w16cid:durableId="1157383266">
    <w:abstractNumId w:val="2"/>
  </w:num>
  <w:num w:numId="3" w16cid:durableId="1415473560">
    <w:abstractNumId w:val="16"/>
  </w:num>
  <w:num w:numId="4" w16cid:durableId="1176917867">
    <w:abstractNumId w:val="7"/>
  </w:num>
  <w:num w:numId="5" w16cid:durableId="99568311">
    <w:abstractNumId w:val="8"/>
  </w:num>
  <w:num w:numId="6" w16cid:durableId="1310941948">
    <w:abstractNumId w:val="12"/>
  </w:num>
  <w:num w:numId="7" w16cid:durableId="491718720">
    <w:abstractNumId w:val="14"/>
  </w:num>
  <w:num w:numId="8" w16cid:durableId="1400785068">
    <w:abstractNumId w:val="15"/>
  </w:num>
  <w:num w:numId="9" w16cid:durableId="1693532741">
    <w:abstractNumId w:val="4"/>
  </w:num>
  <w:num w:numId="10" w16cid:durableId="309477621">
    <w:abstractNumId w:val="11"/>
  </w:num>
  <w:num w:numId="11" w16cid:durableId="1880512786">
    <w:abstractNumId w:val="5"/>
  </w:num>
  <w:num w:numId="12" w16cid:durableId="457181646">
    <w:abstractNumId w:val="18"/>
  </w:num>
  <w:num w:numId="13" w16cid:durableId="244846773">
    <w:abstractNumId w:val="0"/>
  </w:num>
  <w:num w:numId="14" w16cid:durableId="2078895357">
    <w:abstractNumId w:val="17"/>
  </w:num>
  <w:num w:numId="15" w16cid:durableId="1884634201">
    <w:abstractNumId w:val="13"/>
  </w:num>
  <w:num w:numId="16" w16cid:durableId="856963474">
    <w:abstractNumId w:val="6"/>
  </w:num>
  <w:num w:numId="17" w16cid:durableId="1749182906">
    <w:abstractNumId w:val="9"/>
  </w:num>
  <w:num w:numId="18" w16cid:durableId="1138961417">
    <w:abstractNumId w:val="1"/>
  </w:num>
  <w:num w:numId="19" w16cid:durableId="20254705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003FF"/>
    <w:rsid w:val="000037C2"/>
    <w:rsid w:val="000070C6"/>
    <w:rsid w:val="00014596"/>
    <w:rsid w:val="00014619"/>
    <w:rsid w:val="000147EC"/>
    <w:rsid w:val="000246E6"/>
    <w:rsid w:val="00024E8E"/>
    <w:rsid w:val="0003099A"/>
    <w:rsid w:val="00031829"/>
    <w:rsid w:val="00032846"/>
    <w:rsid w:val="00035E63"/>
    <w:rsid w:val="000379AB"/>
    <w:rsid w:val="0004098E"/>
    <w:rsid w:val="00042644"/>
    <w:rsid w:val="000435E3"/>
    <w:rsid w:val="00043EB4"/>
    <w:rsid w:val="00044F21"/>
    <w:rsid w:val="00046DAB"/>
    <w:rsid w:val="00047444"/>
    <w:rsid w:val="000479D4"/>
    <w:rsid w:val="00061E37"/>
    <w:rsid w:val="0007414F"/>
    <w:rsid w:val="000804D8"/>
    <w:rsid w:val="00081AFE"/>
    <w:rsid w:val="000879FD"/>
    <w:rsid w:val="00092E5C"/>
    <w:rsid w:val="00093BDE"/>
    <w:rsid w:val="00093CAF"/>
    <w:rsid w:val="000A2813"/>
    <w:rsid w:val="000A5D3B"/>
    <w:rsid w:val="000B3907"/>
    <w:rsid w:val="000B4AFC"/>
    <w:rsid w:val="000C515E"/>
    <w:rsid w:val="000C67F5"/>
    <w:rsid w:val="000C6B1A"/>
    <w:rsid w:val="000C7272"/>
    <w:rsid w:val="000D06B3"/>
    <w:rsid w:val="000D10A1"/>
    <w:rsid w:val="000D49B0"/>
    <w:rsid w:val="000D535D"/>
    <w:rsid w:val="000D6606"/>
    <w:rsid w:val="000D7E38"/>
    <w:rsid w:val="000E5754"/>
    <w:rsid w:val="000F0DA9"/>
    <w:rsid w:val="000F1881"/>
    <w:rsid w:val="000F1CE1"/>
    <w:rsid w:val="00105D85"/>
    <w:rsid w:val="00107A81"/>
    <w:rsid w:val="00111ACE"/>
    <w:rsid w:val="00111D11"/>
    <w:rsid w:val="00125DB1"/>
    <w:rsid w:val="00131A0D"/>
    <w:rsid w:val="00136660"/>
    <w:rsid w:val="0014203B"/>
    <w:rsid w:val="001520C4"/>
    <w:rsid w:val="00155033"/>
    <w:rsid w:val="00156784"/>
    <w:rsid w:val="00172067"/>
    <w:rsid w:val="0017243F"/>
    <w:rsid w:val="00176452"/>
    <w:rsid w:val="0018268D"/>
    <w:rsid w:val="00187556"/>
    <w:rsid w:val="00194443"/>
    <w:rsid w:val="00195891"/>
    <w:rsid w:val="001A27FF"/>
    <w:rsid w:val="001A3DB0"/>
    <w:rsid w:val="001B1E3A"/>
    <w:rsid w:val="001B2B1A"/>
    <w:rsid w:val="001B3DAA"/>
    <w:rsid w:val="001B5FBE"/>
    <w:rsid w:val="001C2B0D"/>
    <w:rsid w:val="001C4293"/>
    <w:rsid w:val="001C4FD0"/>
    <w:rsid w:val="001C6D18"/>
    <w:rsid w:val="001D0AA1"/>
    <w:rsid w:val="001D3307"/>
    <w:rsid w:val="001D55C2"/>
    <w:rsid w:val="001E33EF"/>
    <w:rsid w:val="001F0E74"/>
    <w:rsid w:val="001F4BD1"/>
    <w:rsid w:val="0020390B"/>
    <w:rsid w:val="00205265"/>
    <w:rsid w:val="00205ED3"/>
    <w:rsid w:val="002112B8"/>
    <w:rsid w:val="00216625"/>
    <w:rsid w:val="002205DA"/>
    <w:rsid w:val="00222796"/>
    <w:rsid w:val="00227565"/>
    <w:rsid w:val="00230693"/>
    <w:rsid w:val="00240493"/>
    <w:rsid w:val="00247A6B"/>
    <w:rsid w:val="0025016C"/>
    <w:rsid w:val="002629F2"/>
    <w:rsid w:val="00267BBB"/>
    <w:rsid w:val="00271CE0"/>
    <w:rsid w:val="00272C13"/>
    <w:rsid w:val="00277699"/>
    <w:rsid w:val="00281FE6"/>
    <w:rsid w:val="002820F7"/>
    <w:rsid w:val="002869BE"/>
    <w:rsid w:val="00296DC1"/>
    <w:rsid w:val="002A048B"/>
    <w:rsid w:val="002A0855"/>
    <w:rsid w:val="002A41EF"/>
    <w:rsid w:val="002A52F8"/>
    <w:rsid w:val="002B5FE3"/>
    <w:rsid w:val="002B6F74"/>
    <w:rsid w:val="002B71FE"/>
    <w:rsid w:val="002B7CA5"/>
    <w:rsid w:val="002C3263"/>
    <w:rsid w:val="002C3838"/>
    <w:rsid w:val="002D18C2"/>
    <w:rsid w:val="002D3D45"/>
    <w:rsid w:val="002E1646"/>
    <w:rsid w:val="002E3FD1"/>
    <w:rsid w:val="002E49B3"/>
    <w:rsid w:val="002E7898"/>
    <w:rsid w:val="002E7DC3"/>
    <w:rsid w:val="002F2289"/>
    <w:rsid w:val="002F2FF8"/>
    <w:rsid w:val="002F39DE"/>
    <w:rsid w:val="002F3B11"/>
    <w:rsid w:val="002F4D30"/>
    <w:rsid w:val="002F6A09"/>
    <w:rsid w:val="00300AB9"/>
    <w:rsid w:val="00304FD1"/>
    <w:rsid w:val="003137C3"/>
    <w:rsid w:val="0032135B"/>
    <w:rsid w:val="0032151C"/>
    <w:rsid w:val="00321596"/>
    <w:rsid w:val="003258E4"/>
    <w:rsid w:val="00332620"/>
    <w:rsid w:val="00332D53"/>
    <w:rsid w:val="003352DA"/>
    <w:rsid w:val="003355F2"/>
    <w:rsid w:val="00352CA2"/>
    <w:rsid w:val="00353C9C"/>
    <w:rsid w:val="00354EDF"/>
    <w:rsid w:val="00361BA9"/>
    <w:rsid w:val="00362060"/>
    <w:rsid w:val="00366917"/>
    <w:rsid w:val="00370E2F"/>
    <w:rsid w:val="0037466A"/>
    <w:rsid w:val="0037517A"/>
    <w:rsid w:val="00376069"/>
    <w:rsid w:val="00380DF2"/>
    <w:rsid w:val="003812F8"/>
    <w:rsid w:val="00381939"/>
    <w:rsid w:val="0038438F"/>
    <w:rsid w:val="0039077D"/>
    <w:rsid w:val="00393A7A"/>
    <w:rsid w:val="00397F4C"/>
    <w:rsid w:val="003A2206"/>
    <w:rsid w:val="003A234C"/>
    <w:rsid w:val="003A4B76"/>
    <w:rsid w:val="003A4C42"/>
    <w:rsid w:val="003B04FE"/>
    <w:rsid w:val="003B0614"/>
    <w:rsid w:val="003B6A3F"/>
    <w:rsid w:val="003C229D"/>
    <w:rsid w:val="003C273C"/>
    <w:rsid w:val="003D32F6"/>
    <w:rsid w:val="003D573A"/>
    <w:rsid w:val="003D692F"/>
    <w:rsid w:val="003D7A07"/>
    <w:rsid w:val="003E0023"/>
    <w:rsid w:val="003E013E"/>
    <w:rsid w:val="003E660A"/>
    <w:rsid w:val="003F0D1D"/>
    <w:rsid w:val="003F129F"/>
    <w:rsid w:val="003F199B"/>
    <w:rsid w:val="00400425"/>
    <w:rsid w:val="004009A6"/>
    <w:rsid w:val="004028E2"/>
    <w:rsid w:val="00402D95"/>
    <w:rsid w:val="004072B0"/>
    <w:rsid w:val="0041018A"/>
    <w:rsid w:val="00410869"/>
    <w:rsid w:val="0041695E"/>
    <w:rsid w:val="00420C00"/>
    <w:rsid w:val="00421527"/>
    <w:rsid w:val="004253DD"/>
    <w:rsid w:val="00431134"/>
    <w:rsid w:val="0043355E"/>
    <w:rsid w:val="00440A22"/>
    <w:rsid w:val="00451B77"/>
    <w:rsid w:val="004529BB"/>
    <w:rsid w:val="00454756"/>
    <w:rsid w:val="00454D46"/>
    <w:rsid w:val="00463588"/>
    <w:rsid w:val="0046739F"/>
    <w:rsid w:val="004707F6"/>
    <w:rsid w:val="00476A65"/>
    <w:rsid w:val="00480DFD"/>
    <w:rsid w:val="00482B48"/>
    <w:rsid w:val="00485781"/>
    <w:rsid w:val="00486E15"/>
    <w:rsid w:val="004B537D"/>
    <w:rsid w:val="004B686E"/>
    <w:rsid w:val="004B6870"/>
    <w:rsid w:val="004B7F40"/>
    <w:rsid w:val="004D73B5"/>
    <w:rsid w:val="004E2969"/>
    <w:rsid w:val="00505774"/>
    <w:rsid w:val="00506457"/>
    <w:rsid w:val="0051453E"/>
    <w:rsid w:val="00514B45"/>
    <w:rsid w:val="005167EA"/>
    <w:rsid w:val="005170C7"/>
    <w:rsid w:val="0052595E"/>
    <w:rsid w:val="00533B8E"/>
    <w:rsid w:val="005358D5"/>
    <w:rsid w:val="005453E9"/>
    <w:rsid w:val="00545B46"/>
    <w:rsid w:val="00545B6C"/>
    <w:rsid w:val="00560484"/>
    <w:rsid w:val="00561B20"/>
    <w:rsid w:val="00561BF1"/>
    <w:rsid w:val="00562C9F"/>
    <w:rsid w:val="00562D64"/>
    <w:rsid w:val="00573BC8"/>
    <w:rsid w:val="0057441D"/>
    <w:rsid w:val="00575C0B"/>
    <w:rsid w:val="00581536"/>
    <w:rsid w:val="00583B12"/>
    <w:rsid w:val="0058557A"/>
    <w:rsid w:val="005A3C3F"/>
    <w:rsid w:val="005C4B4D"/>
    <w:rsid w:val="005D00E2"/>
    <w:rsid w:val="005D2C0A"/>
    <w:rsid w:val="005D3D09"/>
    <w:rsid w:val="005E1969"/>
    <w:rsid w:val="005E3806"/>
    <w:rsid w:val="005E6E76"/>
    <w:rsid w:val="005F155B"/>
    <w:rsid w:val="005F2E15"/>
    <w:rsid w:val="005F551D"/>
    <w:rsid w:val="006018CC"/>
    <w:rsid w:val="0060601C"/>
    <w:rsid w:val="006143D3"/>
    <w:rsid w:val="00624D02"/>
    <w:rsid w:val="0062533D"/>
    <w:rsid w:val="00627D9D"/>
    <w:rsid w:val="00627EAA"/>
    <w:rsid w:val="0063190A"/>
    <w:rsid w:val="006350D9"/>
    <w:rsid w:val="0063545B"/>
    <w:rsid w:val="006377AF"/>
    <w:rsid w:val="006414E0"/>
    <w:rsid w:val="006434C4"/>
    <w:rsid w:val="00651677"/>
    <w:rsid w:val="006565B5"/>
    <w:rsid w:val="006646DD"/>
    <w:rsid w:val="00670F38"/>
    <w:rsid w:val="006740D3"/>
    <w:rsid w:val="00680E1A"/>
    <w:rsid w:val="006842EE"/>
    <w:rsid w:val="00687F24"/>
    <w:rsid w:val="006941C6"/>
    <w:rsid w:val="006A5752"/>
    <w:rsid w:val="006B2A3C"/>
    <w:rsid w:val="006B58D7"/>
    <w:rsid w:val="006B66EF"/>
    <w:rsid w:val="006B76B4"/>
    <w:rsid w:val="006C4619"/>
    <w:rsid w:val="006C5DCA"/>
    <w:rsid w:val="006D0775"/>
    <w:rsid w:val="006D0D40"/>
    <w:rsid w:val="006D1020"/>
    <w:rsid w:val="006D19B4"/>
    <w:rsid w:val="006D6FD4"/>
    <w:rsid w:val="006E36FF"/>
    <w:rsid w:val="006E5466"/>
    <w:rsid w:val="006E61BA"/>
    <w:rsid w:val="006F0D4D"/>
    <w:rsid w:val="006F662E"/>
    <w:rsid w:val="006F6B2B"/>
    <w:rsid w:val="006F6D81"/>
    <w:rsid w:val="00711A83"/>
    <w:rsid w:val="00713BE0"/>
    <w:rsid w:val="00713EC2"/>
    <w:rsid w:val="007165D9"/>
    <w:rsid w:val="00720863"/>
    <w:rsid w:val="00746229"/>
    <w:rsid w:val="007469CF"/>
    <w:rsid w:val="007473B3"/>
    <w:rsid w:val="00750CD0"/>
    <w:rsid w:val="00751F57"/>
    <w:rsid w:val="00752C1D"/>
    <w:rsid w:val="00753FD7"/>
    <w:rsid w:val="0076073B"/>
    <w:rsid w:val="007621EC"/>
    <w:rsid w:val="00767596"/>
    <w:rsid w:val="007778ED"/>
    <w:rsid w:val="00777BB9"/>
    <w:rsid w:val="007936ED"/>
    <w:rsid w:val="00793D97"/>
    <w:rsid w:val="00796FB8"/>
    <w:rsid w:val="007A2BA6"/>
    <w:rsid w:val="007A6EE2"/>
    <w:rsid w:val="007B2B60"/>
    <w:rsid w:val="007B4B93"/>
    <w:rsid w:val="007B688A"/>
    <w:rsid w:val="007B7533"/>
    <w:rsid w:val="007C21E8"/>
    <w:rsid w:val="007C302B"/>
    <w:rsid w:val="007C6C50"/>
    <w:rsid w:val="007D0919"/>
    <w:rsid w:val="007D1384"/>
    <w:rsid w:val="007D74E1"/>
    <w:rsid w:val="007E15DC"/>
    <w:rsid w:val="007E4423"/>
    <w:rsid w:val="007E7CC0"/>
    <w:rsid w:val="007F4D54"/>
    <w:rsid w:val="00804559"/>
    <w:rsid w:val="00805622"/>
    <w:rsid w:val="00807471"/>
    <w:rsid w:val="00813315"/>
    <w:rsid w:val="0081621A"/>
    <w:rsid w:val="00817B0C"/>
    <w:rsid w:val="00823732"/>
    <w:rsid w:val="008322EA"/>
    <w:rsid w:val="008323E7"/>
    <w:rsid w:val="00836A97"/>
    <w:rsid w:val="008452F6"/>
    <w:rsid w:val="00850691"/>
    <w:rsid w:val="00855B07"/>
    <w:rsid w:val="008569BD"/>
    <w:rsid w:val="00861765"/>
    <w:rsid w:val="00862116"/>
    <w:rsid w:val="008636BF"/>
    <w:rsid w:val="008855A8"/>
    <w:rsid w:val="0089406B"/>
    <w:rsid w:val="00897193"/>
    <w:rsid w:val="008A4357"/>
    <w:rsid w:val="008A4469"/>
    <w:rsid w:val="008A6077"/>
    <w:rsid w:val="008B110D"/>
    <w:rsid w:val="008B3B80"/>
    <w:rsid w:val="008B3BB6"/>
    <w:rsid w:val="008B5E9E"/>
    <w:rsid w:val="008C4E4F"/>
    <w:rsid w:val="008C5028"/>
    <w:rsid w:val="008D3087"/>
    <w:rsid w:val="008E019F"/>
    <w:rsid w:val="008E37C4"/>
    <w:rsid w:val="008E58E5"/>
    <w:rsid w:val="008E5C62"/>
    <w:rsid w:val="008E5EF8"/>
    <w:rsid w:val="008E6664"/>
    <w:rsid w:val="008E775F"/>
    <w:rsid w:val="008F4FA1"/>
    <w:rsid w:val="008F5F94"/>
    <w:rsid w:val="009007AE"/>
    <w:rsid w:val="009073D1"/>
    <w:rsid w:val="009106FF"/>
    <w:rsid w:val="009160EA"/>
    <w:rsid w:val="00921E54"/>
    <w:rsid w:val="00924611"/>
    <w:rsid w:val="00924DFF"/>
    <w:rsid w:val="0093366F"/>
    <w:rsid w:val="009440D6"/>
    <w:rsid w:val="009513BA"/>
    <w:rsid w:val="00951A33"/>
    <w:rsid w:val="00964E53"/>
    <w:rsid w:val="009716C0"/>
    <w:rsid w:val="0097213C"/>
    <w:rsid w:val="0097276C"/>
    <w:rsid w:val="009728B6"/>
    <w:rsid w:val="00975D9D"/>
    <w:rsid w:val="00977B01"/>
    <w:rsid w:val="00980548"/>
    <w:rsid w:val="00982D69"/>
    <w:rsid w:val="00983966"/>
    <w:rsid w:val="00983A3C"/>
    <w:rsid w:val="00991D5C"/>
    <w:rsid w:val="00995CAA"/>
    <w:rsid w:val="009A1C68"/>
    <w:rsid w:val="009A2895"/>
    <w:rsid w:val="009A4681"/>
    <w:rsid w:val="009B5FE1"/>
    <w:rsid w:val="009B68DA"/>
    <w:rsid w:val="009C0FA4"/>
    <w:rsid w:val="009C20B8"/>
    <w:rsid w:val="009C55BD"/>
    <w:rsid w:val="009C63D9"/>
    <w:rsid w:val="009D0178"/>
    <w:rsid w:val="009D2F48"/>
    <w:rsid w:val="009D5CCB"/>
    <w:rsid w:val="009E2C46"/>
    <w:rsid w:val="009F3039"/>
    <w:rsid w:val="009F684F"/>
    <w:rsid w:val="00A015C9"/>
    <w:rsid w:val="00A02F81"/>
    <w:rsid w:val="00A04594"/>
    <w:rsid w:val="00A045C3"/>
    <w:rsid w:val="00A07B70"/>
    <w:rsid w:val="00A1073D"/>
    <w:rsid w:val="00A21A94"/>
    <w:rsid w:val="00A22A1B"/>
    <w:rsid w:val="00A30C4D"/>
    <w:rsid w:val="00A30C90"/>
    <w:rsid w:val="00A42839"/>
    <w:rsid w:val="00A44E37"/>
    <w:rsid w:val="00A46DAE"/>
    <w:rsid w:val="00A50F35"/>
    <w:rsid w:val="00A5329C"/>
    <w:rsid w:val="00A573ED"/>
    <w:rsid w:val="00A649F1"/>
    <w:rsid w:val="00A67440"/>
    <w:rsid w:val="00A70749"/>
    <w:rsid w:val="00A70D52"/>
    <w:rsid w:val="00A731B6"/>
    <w:rsid w:val="00A77187"/>
    <w:rsid w:val="00A85A57"/>
    <w:rsid w:val="00A91D1F"/>
    <w:rsid w:val="00AA11F3"/>
    <w:rsid w:val="00AA26B5"/>
    <w:rsid w:val="00AA32D8"/>
    <w:rsid w:val="00AA4063"/>
    <w:rsid w:val="00AB46CF"/>
    <w:rsid w:val="00AB59A9"/>
    <w:rsid w:val="00AC567C"/>
    <w:rsid w:val="00AC6B0A"/>
    <w:rsid w:val="00AD03B0"/>
    <w:rsid w:val="00AD0FE4"/>
    <w:rsid w:val="00AD1A65"/>
    <w:rsid w:val="00AD46B9"/>
    <w:rsid w:val="00AE539F"/>
    <w:rsid w:val="00AF0E78"/>
    <w:rsid w:val="00AF1D53"/>
    <w:rsid w:val="00AF33DA"/>
    <w:rsid w:val="00AF3B2A"/>
    <w:rsid w:val="00AF4406"/>
    <w:rsid w:val="00B05DEF"/>
    <w:rsid w:val="00B05E75"/>
    <w:rsid w:val="00B0683E"/>
    <w:rsid w:val="00B120F3"/>
    <w:rsid w:val="00B14BFD"/>
    <w:rsid w:val="00B20945"/>
    <w:rsid w:val="00B25EB9"/>
    <w:rsid w:val="00B26514"/>
    <w:rsid w:val="00B27B87"/>
    <w:rsid w:val="00B339C3"/>
    <w:rsid w:val="00B355DD"/>
    <w:rsid w:val="00B43321"/>
    <w:rsid w:val="00B4569B"/>
    <w:rsid w:val="00B527BC"/>
    <w:rsid w:val="00B6133C"/>
    <w:rsid w:val="00B65457"/>
    <w:rsid w:val="00B719C8"/>
    <w:rsid w:val="00B75A24"/>
    <w:rsid w:val="00B81C79"/>
    <w:rsid w:val="00B82556"/>
    <w:rsid w:val="00B828C4"/>
    <w:rsid w:val="00B901D2"/>
    <w:rsid w:val="00B94BEA"/>
    <w:rsid w:val="00BA08BE"/>
    <w:rsid w:val="00BA3A19"/>
    <w:rsid w:val="00BA3B9A"/>
    <w:rsid w:val="00BA4B3E"/>
    <w:rsid w:val="00BA6545"/>
    <w:rsid w:val="00BA7DB8"/>
    <w:rsid w:val="00BB7057"/>
    <w:rsid w:val="00BB770B"/>
    <w:rsid w:val="00BC0776"/>
    <w:rsid w:val="00BC0D80"/>
    <w:rsid w:val="00BC29A3"/>
    <w:rsid w:val="00BC3066"/>
    <w:rsid w:val="00BC35C8"/>
    <w:rsid w:val="00BC3F79"/>
    <w:rsid w:val="00BD47BB"/>
    <w:rsid w:val="00BD5E8C"/>
    <w:rsid w:val="00BD71DE"/>
    <w:rsid w:val="00BE0CCC"/>
    <w:rsid w:val="00BE30ED"/>
    <w:rsid w:val="00BE3F7D"/>
    <w:rsid w:val="00BF0028"/>
    <w:rsid w:val="00BF1E63"/>
    <w:rsid w:val="00BF2FF0"/>
    <w:rsid w:val="00C05886"/>
    <w:rsid w:val="00C10CF1"/>
    <w:rsid w:val="00C236AD"/>
    <w:rsid w:val="00C237B8"/>
    <w:rsid w:val="00C33146"/>
    <w:rsid w:val="00C3475A"/>
    <w:rsid w:val="00C35B19"/>
    <w:rsid w:val="00C40F7E"/>
    <w:rsid w:val="00C44510"/>
    <w:rsid w:val="00C453BC"/>
    <w:rsid w:val="00C45B2D"/>
    <w:rsid w:val="00C57D5E"/>
    <w:rsid w:val="00C57EB4"/>
    <w:rsid w:val="00C615CD"/>
    <w:rsid w:val="00C61DC1"/>
    <w:rsid w:val="00C81368"/>
    <w:rsid w:val="00C81692"/>
    <w:rsid w:val="00C94AA5"/>
    <w:rsid w:val="00C95858"/>
    <w:rsid w:val="00CA52AF"/>
    <w:rsid w:val="00CB3207"/>
    <w:rsid w:val="00CB7BED"/>
    <w:rsid w:val="00CC1907"/>
    <w:rsid w:val="00CC4CBE"/>
    <w:rsid w:val="00CC793D"/>
    <w:rsid w:val="00CD1FE5"/>
    <w:rsid w:val="00CD352B"/>
    <w:rsid w:val="00CD6F8E"/>
    <w:rsid w:val="00CE012C"/>
    <w:rsid w:val="00CE77A6"/>
    <w:rsid w:val="00CF3DEE"/>
    <w:rsid w:val="00D00712"/>
    <w:rsid w:val="00D05691"/>
    <w:rsid w:val="00D1327F"/>
    <w:rsid w:val="00D160C5"/>
    <w:rsid w:val="00D216C1"/>
    <w:rsid w:val="00D23E02"/>
    <w:rsid w:val="00D24FFD"/>
    <w:rsid w:val="00D315EF"/>
    <w:rsid w:val="00D33E7B"/>
    <w:rsid w:val="00D4077F"/>
    <w:rsid w:val="00D43DF8"/>
    <w:rsid w:val="00D448DB"/>
    <w:rsid w:val="00D50A01"/>
    <w:rsid w:val="00D52E0B"/>
    <w:rsid w:val="00D53368"/>
    <w:rsid w:val="00D55642"/>
    <w:rsid w:val="00D611FB"/>
    <w:rsid w:val="00D63358"/>
    <w:rsid w:val="00D66550"/>
    <w:rsid w:val="00D7269B"/>
    <w:rsid w:val="00D810E5"/>
    <w:rsid w:val="00D81797"/>
    <w:rsid w:val="00D823EC"/>
    <w:rsid w:val="00D85F00"/>
    <w:rsid w:val="00D9351A"/>
    <w:rsid w:val="00D94839"/>
    <w:rsid w:val="00D9528F"/>
    <w:rsid w:val="00DA491B"/>
    <w:rsid w:val="00DB43C5"/>
    <w:rsid w:val="00DB4755"/>
    <w:rsid w:val="00DC2C8C"/>
    <w:rsid w:val="00DD6745"/>
    <w:rsid w:val="00DE1259"/>
    <w:rsid w:val="00DE1A04"/>
    <w:rsid w:val="00DE3F91"/>
    <w:rsid w:val="00DE422C"/>
    <w:rsid w:val="00DF1CE4"/>
    <w:rsid w:val="00DF3AA1"/>
    <w:rsid w:val="00E021C8"/>
    <w:rsid w:val="00E02B58"/>
    <w:rsid w:val="00E03D94"/>
    <w:rsid w:val="00E06257"/>
    <w:rsid w:val="00E11BB9"/>
    <w:rsid w:val="00E22C8A"/>
    <w:rsid w:val="00E31404"/>
    <w:rsid w:val="00E31513"/>
    <w:rsid w:val="00E36D40"/>
    <w:rsid w:val="00E463E2"/>
    <w:rsid w:val="00E55046"/>
    <w:rsid w:val="00E620DB"/>
    <w:rsid w:val="00E6492F"/>
    <w:rsid w:val="00E655E7"/>
    <w:rsid w:val="00E664DF"/>
    <w:rsid w:val="00E67B96"/>
    <w:rsid w:val="00E804AE"/>
    <w:rsid w:val="00E8072F"/>
    <w:rsid w:val="00E87609"/>
    <w:rsid w:val="00E87EAA"/>
    <w:rsid w:val="00EA6B19"/>
    <w:rsid w:val="00EB2895"/>
    <w:rsid w:val="00EB3DCF"/>
    <w:rsid w:val="00EB7078"/>
    <w:rsid w:val="00EC3434"/>
    <w:rsid w:val="00ED0AE8"/>
    <w:rsid w:val="00EE0310"/>
    <w:rsid w:val="00EE2437"/>
    <w:rsid w:val="00EE26E9"/>
    <w:rsid w:val="00EE433D"/>
    <w:rsid w:val="00EE4F27"/>
    <w:rsid w:val="00EE4F4D"/>
    <w:rsid w:val="00EE6DAC"/>
    <w:rsid w:val="00EE7369"/>
    <w:rsid w:val="00EF04CF"/>
    <w:rsid w:val="00EF5EA0"/>
    <w:rsid w:val="00EF6D73"/>
    <w:rsid w:val="00EF6E89"/>
    <w:rsid w:val="00F00657"/>
    <w:rsid w:val="00F042E5"/>
    <w:rsid w:val="00F06692"/>
    <w:rsid w:val="00F06840"/>
    <w:rsid w:val="00F06CDF"/>
    <w:rsid w:val="00F10172"/>
    <w:rsid w:val="00F11291"/>
    <w:rsid w:val="00F13598"/>
    <w:rsid w:val="00F1640F"/>
    <w:rsid w:val="00F21080"/>
    <w:rsid w:val="00F213A2"/>
    <w:rsid w:val="00F349A0"/>
    <w:rsid w:val="00F36C93"/>
    <w:rsid w:val="00F424D8"/>
    <w:rsid w:val="00F42DAD"/>
    <w:rsid w:val="00F45E57"/>
    <w:rsid w:val="00F52200"/>
    <w:rsid w:val="00F60E27"/>
    <w:rsid w:val="00F61079"/>
    <w:rsid w:val="00F620F9"/>
    <w:rsid w:val="00F63C2E"/>
    <w:rsid w:val="00F713B2"/>
    <w:rsid w:val="00F71CD1"/>
    <w:rsid w:val="00F74582"/>
    <w:rsid w:val="00F80F76"/>
    <w:rsid w:val="00F81B97"/>
    <w:rsid w:val="00F84CFC"/>
    <w:rsid w:val="00F8531E"/>
    <w:rsid w:val="00F8569D"/>
    <w:rsid w:val="00F917A9"/>
    <w:rsid w:val="00F9555C"/>
    <w:rsid w:val="00FA2158"/>
    <w:rsid w:val="00FA7BF2"/>
    <w:rsid w:val="00FB396F"/>
    <w:rsid w:val="00FB3F9E"/>
    <w:rsid w:val="00FB5913"/>
    <w:rsid w:val="00FC0DE0"/>
    <w:rsid w:val="00FC1D0A"/>
    <w:rsid w:val="00FC3EAC"/>
    <w:rsid w:val="00FC3FE4"/>
    <w:rsid w:val="00FC49C6"/>
    <w:rsid w:val="00FE2AE2"/>
    <w:rsid w:val="00FF1B3C"/>
    <w:rsid w:val="00FF1FDE"/>
    <w:rsid w:val="00FF34E3"/>
    <w:rsid w:val="00FF5E60"/>
    <w:rsid w:val="00FF687A"/>
    <w:rsid w:val="00FF70CB"/>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09C9F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63E2"/>
    <w:rPr>
      <w:rFonts w:ascii="Times New Roman" w:eastAsia="Calibri" w:hAnsi="Times New Roman" w:cs="Times New Roman"/>
      <w:sz w:val="20"/>
      <w:szCs w:val="20"/>
    </w:rPr>
  </w:style>
  <w:style w:type="paragraph" w:styleId="3">
    <w:name w:val="heading 3"/>
    <w:basedOn w:val="a"/>
    <w:next w:val="a"/>
    <w:link w:val="30"/>
    <w:uiPriority w:val="9"/>
    <w:semiHidden/>
    <w:unhideWhenUsed/>
    <w:qFormat/>
    <w:rsid w:val="00E06257"/>
    <w:pPr>
      <w:keepNext/>
      <w:keepLines/>
      <w:spacing w:before="260" w:after="260" w:line="416" w:lineRule="auto"/>
      <w:outlineLvl w:val="2"/>
    </w:pPr>
    <w:rPr>
      <w:b/>
      <w:bCs/>
      <w:sz w:val="32"/>
      <w:szCs w:val="32"/>
    </w:rPr>
  </w:style>
  <w:style w:type="paragraph" w:styleId="4">
    <w:name w:val="heading 4"/>
    <w:basedOn w:val="a"/>
    <w:link w:val="40"/>
    <w:uiPriority w:val="9"/>
    <w:qFormat/>
    <w:rsid w:val="003A2206"/>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a"/>
    <w:rsid w:val="008A6077"/>
    <w:pPr>
      <w:spacing w:before="120"/>
      <w:ind w:left="720" w:hanging="720"/>
    </w:pPr>
    <w:rPr>
      <w:rFonts w:eastAsia="Times New Roman"/>
      <w:sz w:val="24"/>
      <w:szCs w:val="24"/>
    </w:rPr>
  </w:style>
  <w:style w:type="paragraph" w:styleId="a5">
    <w:name w:val="header"/>
    <w:basedOn w:val="a"/>
    <w:link w:val="a6"/>
    <w:uiPriority w:val="99"/>
    <w:unhideWhenUsed/>
    <w:rsid w:val="000379AB"/>
    <w:pPr>
      <w:tabs>
        <w:tab w:val="center" w:pos="4680"/>
        <w:tab w:val="right" w:pos="9360"/>
      </w:tabs>
    </w:p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a"/>
    <w:rsid w:val="00B120F3"/>
    <w:pPr>
      <w:spacing w:before="120" w:after="360"/>
    </w:pPr>
    <w:rPr>
      <w:rFonts w:eastAsia="Times New Roman"/>
      <w:b/>
      <w:sz w:val="24"/>
      <w:szCs w:val="24"/>
    </w:rPr>
  </w:style>
  <w:style w:type="paragraph" w:customStyle="1" w:styleId="Text">
    <w:name w:val="Text"/>
    <w:basedOn w:val="a"/>
    <w:rsid w:val="008A6077"/>
    <w:pPr>
      <w:spacing w:before="120"/>
      <w:ind w:firstLine="720"/>
    </w:pPr>
    <w:rPr>
      <w:rFonts w:eastAsia="Times New Roman"/>
      <w:sz w:val="24"/>
      <w:szCs w:val="24"/>
    </w:rPr>
  </w:style>
  <w:style w:type="paragraph" w:customStyle="1" w:styleId="FigureorTableCaption">
    <w:name w:val="Figure or Table Caption"/>
    <w:basedOn w:val="a"/>
    <w:rsid w:val="008A6077"/>
    <w:pPr>
      <w:keepNext/>
      <w:spacing w:before="240"/>
      <w:outlineLvl w:val="0"/>
    </w:pPr>
    <w:rPr>
      <w:rFonts w:eastAsia="Times New Roman"/>
      <w:kern w:val="28"/>
      <w:sz w:val="24"/>
      <w:szCs w:val="24"/>
    </w:rPr>
  </w:style>
  <w:style w:type="character" w:customStyle="1" w:styleId="a6">
    <w:name w:val="页眉 字符"/>
    <w:basedOn w:val="a0"/>
    <w:link w:val="a5"/>
    <w:uiPriority w:val="99"/>
    <w:rsid w:val="000379AB"/>
    <w:rPr>
      <w:rFonts w:ascii="Times New Roman" w:eastAsia="Calibri" w:hAnsi="Times New Roman" w:cs="Times New Roman"/>
      <w:sz w:val="20"/>
      <w:szCs w:val="20"/>
    </w:rPr>
  </w:style>
  <w:style w:type="character" w:styleId="a7">
    <w:name w:val="Hyperlink"/>
    <w:rsid w:val="008A6077"/>
    <w:rPr>
      <w:color w:val="0000FF"/>
      <w:u w:val="single"/>
    </w:rPr>
  </w:style>
  <w:style w:type="paragraph" w:customStyle="1" w:styleId="Heading-Main">
    <w:name w:val="Heading-Main"/>
    <w:basedOn w:val="a"/>
    <w:rsid w:val="005358D5"/>
    <w:pPr>
      <w:keepNext/>
      <w:spacing w:before="240" w:after="120"/>
      <w:outlineLvl w:val="0"/>
    </w:pPr>
    <w:rPr>
      <w:rFonts w:eastAsia="Times New Roman"/>
      <w:b/>
      <w:bCs/>
      <w:kern w:val="28"/>
      <w:sz w:val="24"/>
      <w:szCs w:val="24"/>
    </w:rPr>
  </w:style>
  <w:style w:type="paragraph" w:customStyle="1" w:styleId="Affiliation">
    <w:name w:val="Affiliation"/>
    <w:basedOn w:val="Text"/>
    <w:qFormat/>
    <w:rsid w:val="00B719C8"/>
    <w:pPr>
      <w:ind w:firstLine="0"/>
    </w:pPr>
  </w:style>
  <w:style w:type="paragraph" w:customStyle="1" w:styleId="KeyPoints">
    <w:name w:val="Key Points"/>
    <w:basedOn w:val="a"/>
    <w:rsid w:val="008A6077"/>
    <w:pPr>
      <w:spacing w:before="120"/>
    </w:pPr>
    <w:rPr>
      <w:rFonts w:eastAsia="Times New Roman"/>
      <w:sz w:val="24"/>
      <w:szCs w:val="24"/>
    </w:rPr>
  </w:style>
  <w:style w:type="paragraph" w:customStyle="1" w:styleId="Abstract">
    <w:name w:val="Abstract"/>
    <w:basedOn w:val="a"/>
    <w:qFormat/>
    <w:rsid w:val="00400425"/>
    <w:pPr>
      <w:spacing w:before="120"/>
    </w:pPr>
    <w:rPr>
      <w:rFonts w:eastAsia="Times New Roman"/>
      <w:sz w:val="24"/>
      <w:szCs w:val="24"/>
    </w:rPr>
  </w:style>
  <w:style w:type="character" w:customStyle="1" w:styleId="a4">
    <w:name w:val="标题 字符"/>
    <w:basedOn w:val="a0"/>
    <w:link w:val="a3"/>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a"/>
    <w:qFormat/>
    <w:rsid w:val="0037466A"/>
    <w:pPr>
      <w:spacing w:before="240" w:after="240"/>
    </w:pPr>
    <w:rPr>
      <w:color w:val="00B0F0"/>
    </w:rPr>
  </w:style>
  <w:style w:type="paragraph" w:styleId="a8">
    <w:name w:val="Normal (Web)"/>
    <w:basedOn w:val="a"/>
    <w:uiPriority w:val="99"/>
    <w:semiHidden/>
    <w:unhideWhenUsed/>
    <w:rsid w:val="002F3B11"/>
    <w:rPr>
      <w:sz w:val="24"/>
      <w:szCs w:val="24"/>
    </w:rPr>
  </w:style>
  <w:style w:type="paragraph" w:styleId="a9">
    <w:name w:val="footer"/>
    <w:basedOn w:val="a"/>
    <w:link w:val="aa"/>
    <w:uiPriority w:val="99"/>
    <w:unhideWhenUsed/>
    <w:rsid w:val="000379AB"/>
    <w:pPr>
      <w:tabs>
        <w:tab w:val="center" w:pos="4680"/>
        <w:tab w:val="right" w:pos="9360"/>
      </w:tabs>
    </w:pPr>
  </w:style>
  <w:style w:type="character" w:customStyle="1" w:styleId="aa">
    <w:name w:val="页脚 字符"/>
    <w:basedOn w:val="a0"/>
    <w:link w:val="a9"/>
    <w:uiPriority w:val="99"/>
    <w:rsid w:val="000379AB"/>
    <w:rPr>
      <w:rFonts w:ascii="Times New Roman" w:eastAsia="Calibri" w:hAnsi="Times New Roman" w:cs="Times New Roman"/>
      <w:sz w:val="20"/>
      <w:szCs w:val="20"/>
    </w:rPr>
  </w:style>
  <w:style w:type="paragraph" w:styleId="ab">
    <w:name w:val="List Paragraph"/>
    <w:basedOn w:val="a"/>
    <w:uiPriority w:val="34"/>
    <w:qFormat/>
    <w:rsid w:val="00D810E5"/>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sid w:val="00B81C79"/>
    <w:rPr>
      <w:color w:val="808080"/>
      <w:shd w:val="clear" w:color="auto" w:fill="E6E6E6"/>
    </w:rPr>
  </w:style>
  <w:style w:type="paragraph" w:styleId="ac">
    <w:name w:val="Balloon Text"/>
    <w:basedOn w:val="a"/>
    <w:link w:val="ad"/>
    <w:uiPriority w:val="99"/>
    <w:semiHidden/>
    <w:unhideWhenUsed/>
    <w:rsid w:val="007B4B93"/>
    <w:rPr>
      <w:rFonts w:ascii="Segoe UI" w:hAnsi="Segoe UI" w:cs="Segoe UI"/>
      <w:sz w:val="18"/>
      <w:szCs w:val="18"/>
    </w:rPr>
  </w:style>
  <w:style w:type="character" w:customStyle="1" w:styleId="ad">
    <w:name w:val="批注框文本 字符"/>
    <w:basedOn w:val="a0"/>
    <w:link w:val="ac"/>
    <w:uiPriority w:val="99"/>
    <w:semiHidden/>
    <w:rsid w:val="007B4B93"/>
    <w:rPr>
      <w:rFonts w:ascii="Segoe UI" w:eastAsia="Calibri" w:hAnsi="Segoe UI" w:cs="Segoe UI"/>
      <w:sz w:val="18"/>
      <w:szCs w:val="18"/>
    </w:rPr>
  </w:style>
  <w:style w:type="character" w:styleId="ae">
    <w:name w:val="Emphasis"/>
    <w:basedOn w:val="a0"/>
    <w:uiPriority w:val="20"/>
    <w:qFormat/>
    <w:rsid w:val="007B4B93"/>
    <w:rPr>
      <w:i/>
      <w:iCs/>
    </w:rPr>
  </w:style>
  <w:style w:type="character" w:styleId="af">
    <w:name w:val="FollowedHyperlink"/>
    <w:basedOn w:val="a0"/>
    <w:uiPriority w:val="99"/>
    <w:semiHidden/>
    <w:unhideWhenUsed/>
    <w:rsid w:val="00F45E57"/>
    <w:rPr>
      <w:color w:val="954F72" w:themeColor="followedHyperlink"/>
      <w:u w:val="single"/>
    </w:rPr>
  </w:style>
  <w:style w:type="character" w:styleId="af0">
    <w:name w:val="line number"/>
    <w:basedOn w:val="a0"/>
    <w:uiPriority w:val="99"/>
    <w:semiHidden/>
    <w:unhideWhenUsed/>
    <w:rsid w:val="00BD47BB"/>
  </w:style>
  <w:style w:type="paragraph" w:styleId="af1">
    <w:name w:val="Revision"/>
    <w:hidden/>
    <w:uiPriority w:val="99"/>
    <w:semiHidden/>
    <w:rsid w:val="00D4077F"/>
    <w:rPr>
      <w:rFonts w:ascii="Times New Roman" w:eastAsia="Calibri" w:hAnsi="Times New Roman" w:cs="Times New Roman"/>
      <w:sz w:val="20"/>
      <w:szCs w:val="20"/>
    </w:rPr>
  </w:style>
  <w:style w:type="paragraph" w:styleId="af2">
    <w:name w:val="Bibliography"/>
    <w:basedOn w:val="a"/>
    <w:next w:val="a"/>
    <w:uiPriority w:val="37"/>
    <w:unhideWhenUsed/>
    <w:rsid w:val="002F2FF8"/>
    <w:pPr>
      <w:spacing w:line="480" w:lineRule="auto"/>
      <w:ind w:left="720" w:hanging="720"/>
    </w:pPr>
  </w:style>
  <w:style w:type="character" w:customStyle="1" w:styleId="40">
    <w:name w:val="标题 4 字符"/>
    <w:basedOn w:val="a0"/>
    <w:link w:val="4"/>
    <w:uiPriority w:val="9"/>
    <w:rsid w:val="003A2206"/>
    <w:rPr>
      <w:rFonts w:ascii="宋体" w:hAnsi="宋体" w:cs="宋体"/>
      <w:b/>
      <w:bCs/>
      <w:lang w:eastAsia="zh-CN"/>
    </w:rPr>
  </w:style>
  <w:style w:type="character" w:customStyle="1" w:styleId="ng-star-inserted">
    <w:name w:val="ng-star-inserted"/>
    <w:basedOn w:val="a0"/>
    <w:rsid w:val="003A2206"/>
  </w:style>
  <w:style w:type="character" w:customStyle="1" w:styleId="30">
    <w:name w:val="标题 3 字符"/>
    <w:basedOn w:val="a0"/>
    <w:link w:val="3"/>
    <w:uiPriority w:val="9"/>
    <w:semiHidden/>
    <w:rsid w:val="00E06257"/>
    <w:rPr>
      <w:rFonts w:ascii="Times New Roman" w:eastAsia="Calibri" w:hAnsi="Times New Roman" w:cs="Times New Roman"/>
      <w:b/>
      <w:bCs/>
      <w:sz w:val="32"/>
      <w:szCs w:val="32"/>
    </w:rPr>
  </w:style>
  <w:style w:type="character" w:customStyle="1" w:styleId="apple-converted-space">
    <w:name w:val="apple-converted-space"/>
    <w:basedOn w:val="a0"/>
    <w:rsid w:val="0052595E"/>
  </w:style>
  <w:style w:type="paragraph" w:styleId="HTML">
    <w:name w:val="HTML Preformatted"/>
    <w:basedOn w:val="a"/>
    <w:link w:val="HTML0"/>
    <w:uiPriority w:val="99"/>
    <w:unhideWhenUsed/>
    <w:rsid w:val="003A4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character" w:customStyle="1" w:styleId="HTML0">
    <w:name w:val="HTML 预设格式 字符"/>
    <w:basedOn w:val="a0"/>
    <w:link w:val="HTML"/>
    <w:uiPriority w:val="99"/>
    <w:rsid w:val="003A4C42"/>
    <w:rPr>
      <w:rFonts w:ascii="宋体" w:hAnsi="宋体" w:cs="宋体"/>
      <w:lang w:eastAsia="zh-CN"/>
    </w:rPr>
  </w:style>
  <w:style w:type="character" w:customStyle="1" w:styleId="ng-star-inserted1">
    <w:name w:val="ng-star-inserted1"/>
    <w:basedOn w:val="a0"/>
    <w:rsid w:val="0041018A"/>
  </w:style>
  <w:style w:type="character" w:styleId="af3">
    <w:name w:val="Unresolved Mention"/>
    <w:basedOn w:val="a0"/>
    <w:uiPriority w:val="99"/>
    <w:semiHidden/>
    <w:unhideWhenUsed/>
    <w:rsid w:val="000B3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28430273">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718357515">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946885367">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89233742">
      <w:bodyDiv w:val="1"/>
      <w:marLeft w:val="0"/>
      <w:marRight w:val="0"/>
      <w:marTop w:val="0"/>
      <w:marBottom w:val="0"/>
      <w:divBdr>
        <w:top w:val="none" w:sz="0" w:space="0" w:color="auto"/>
        <w:left w:val="none" w:sz="0" w:space="0" w:color="auto"/>
        <w:bottom w:val="none" w:sz="0" w:space="0" w:color="auto"/>
        <w:right w:val="none" w:sz="0" w:space="0" w:color="auto"/>
      </w:divBdr>
    </w:div>
    <w:div w:id="1165588899">
      <w:bodyDiv w:val="1"/>
      <w:marLeft w:val="0"/>
      <w:marRight w:val="0"/>
      <w:marTop w:val="0"/>
      <w:marBottom w:val="0"/>
      <w:divBdr>
        <w:top w:val="none" w:sz="0" w:space="0" w:color="auto"/>
        <w:left w:val="none" w:sz="0" w:space="0" w:color="auto"/>
        <w:bottom w:val="none" w:sz="0" w:space="0" w:color="auto"/>
        <w:right w:val="none" w:sz="0" w:space="0" w:color="auto"/>
      </w:divBdr>
    </w:div>
    <w:div w:id="1216313229">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579680295">
      <w:bodyDiv w:val="1"/>
      <w:marLeft w:val="0"/>
      <w:marRight w:val="0"/>
      <w:marTop w:val="0"/>
      <w:marBottom w:val="0"/>
      <w:divBdr>
        <w:top w:val="none" w:sz="0" w:space="0" w:color="auto"/>
        <w:left w:val="none" w:sz="0" w:space="0" w:color="auto"/>
        <w:bottom w:val="none" w:sz="0" w:space="0" w:color="auto"/>
        <w:right w:val="none" w:sz="0" w:space="0" w:color="auto"/>
      </w:divBdr>
    </w:div>
    <w:div w:id="158213344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56713947">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73490973">
      <w:bodyDiv w:val="1"/>
      <w:marLeft w:val="0"/>
      <w:marRight w:val="0"/>
      <w:marTop w:val="0"/>
      <w:marBottom w:val="0"/>
      <w:divBdr>
        <w:top w:val="none" w:sz="0" w:space="0" w:color="auto"/>
        <w:left w:val="none" w:sz="0" w:space="0" w:color="auto"/>
        <w:bottom w:val="none" w:sz="0" w:space="0" w:color="auto"/>
        <w:right w:val="none" w:sz="0" w:space="0" w:color="auto"/>
      </w:divBdr>
    </w:div>
    <w:div w:id="2018728519">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s://www2.mmm.ucar.edu/wrf/users/download/get_source.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hyperlink" Target="https://www.ncei.noaa.gov/products/weather-climate-models/global-forecast" TargetMode="External"/><Relationship Id="rId2" Type="http://schemas.openxmlformats.org/officeDocument/2006/relationships/styles" Target="styles.xml"/><Relationship Id="rId16" Type="http://schemas.openxmlformats.org/officeDocument/2006/relationships/hyperlink" Target="https://www.ecmwf.int/en/forecasts/datasets/set-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github.com/Xiax24/ExtendedProfile-WindPower-Forecasting" TargetMode="External"/><Relationship Id="rId10" Type="http://schemas.openxmlformats.org/officeDocument/2006/relationships/hyperlink" Target="mailto:Yongluo@tsinghua.edu.cn" TargetMode="External"/><Relationship Id="rId19" Type="http://schemas.openxmlformats.org/officeDocument/2006/relationships/hyperlink" Target="https://github.com/microsoft/LightGB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doi.org/10.5281/zenodo.186719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2025</TotalTime>
  <Pages>17</Pages>
  <Words>19009</Words>
  <Characters>108353</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xiaxin</cp:lastModifiedBy>
  <cp:revision>467</cp:revision>
  <dcterms:created xsi:type="dcterms:W3CDTF">2025-09-03T18:11:00Z</dcterms:created>
  <dcterms:modified xsi:type="dcterms:W3CDTF">2026-02-22T15:30:00Z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id="4mXcdwIR"/&gt;&lt;style id="http://www.zotero.org/styles/american-geophysical-union" hasBibliography="1" bibliographyStyleHasBeenSet="1"/&gt;&lt;prefs&gt;&lt;pref name="fieldType" value="Field"/&gt;&lt;/prefs&gt;&lt;/data&gt;</vt:lpwstr>
  </property>
</Properties>
</file>