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40" w:before="0"/>
        <w:jc w:val="center"/>
      </w:pPr>
      <w:r>
        <w:rPr>
          <w:rFonts w:ascii="Arial" w:cs="Arial" w:eastAsia="Arial" w:hAnsi="Arial"/>
          <w:b/>
          <w:bCs/>
          <w:caps/>
          <w:color w:val="5D6D7E"/>
          <w:sz w:val="20"/>
          <w:szCs w:val="20"/>
        </w:rPr>
        <w:t xml:space="preserve">FINAL PROJECT REPORT</w:t>
      </w:r>
    </w:p>
    <w:p>
      <w:pPr>
        <w:pBdr>
          <w:bottom w:val="single" w:color="1A5276" w:sz="12" w:space="4"/>
        </w:pBdr>
        <w:spacing w:after="60" w:before="0"/>
        <w:jc w:val="center"/>
      </w:pPr>
      <w:r>
        <w:rPr>
          <w:rFonts w:ascii="Arial" w:cs="Arial" w:eastAsia="Arial" w:hAnsi="Arial"/>
          <w:b/>
          <w:bCs/>
          <w:color w:val="1A5276"/>
          <w:sz w:val="64"/>
          <w:szCs w:val="64"/>
        </w:rPr>
        <w:t xml:space="preserve">Customer Shopping</w:t>
      </w:r>
    </w:p>
    <w:p>
      <w:pPr>
        <w:spacing w:after="200" w:before="60"/>
        <w:jc w:val="center"/>
      </w:pPr>
      <w:r>
        <w:rPr>
          <w:rFonts w:ascii="Arial" w:cs="Arial" w:eastAsia="Arial" w:hAnsi="Arial"/>
          <w:b/>
          <w:bCs/>
          <w:color w:val="2E86C1"/>
          <w:sz w:val="64"/>
          <w:szCs w:val="64"/>
        </w:rPr>
        <w:t xml:space="preserve">Behaviour Analysis</w:t>
      </w:r>
    </w:p>
    <w:p>
      <w:pPr>
        <w:spacing w:after="80" w:before="0"/>
        <w:jc w:val="center"/>
      </w:pPr>
      <w:r>
        <w:rPr>
          <w:rFonts w:ascii="Arial" w:cs="Arial" w:eastAsia="Arial" w:hAnsi="Arial"/>
          <w:color w:val="5D6D7E"/>
          <w:sz w:val="22"/>
          <w:szCs w:val="22"/>
        </w:rPr>
        <w:t xml:space="preserve">Data Preparation  ·  SQL Analysis  ·  Power BI Dashboard</w:t>
      </w:r>
    </w:p>
    <w:p>
      <w:pPr>
        <w:spacing w:after="400" w:before="0"/>
        <w:jc w:val="center"/>
      </w:pPr>
      <w:r>
        <w:rPr>
          <w:rFonts w:ascii="Arial" w:cs="Arial" w:eastAsia="Arial" w:hAnsi="Arial"/>
          <w:color w:val="5D6D7E"/>
          <w:sz w:val="22"/>
          <w:szCs w:val="22"/>
        </w:rPr>
        <w:t xml:space="preserve">3,900 Transactions  ·  18 Variables  ·  5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86C1" w:sz="6"/>
              <w:left w:val="single" w:color="CCCCCC" w:sz="1"/>
              <w:bottom w:val="single" w:color="CCCCCC" w:sz="1"/>
              <w:right w:val="single" w:color="CCCCCC" w:sz="1"/>
            </w:tcBorders>
            <w:shd w:fill="D6EAF8" w:val="clear"/>
            <w:tcMar>
              <w:top w:type="dxa" w:w="140"/>
              <w:left w:type="dxa" w:w="160"/>
              <w:bottom w:type="dxa" w:w="140"/>
              <w:right w:type="dxa" w:w="160"/>
            </w:tcMar>
          </w:tcPr>
          <w:p>
            <w:pPr>
              <w:spacing w:after="40" w:before="0"/>
              <w:jc w:val="center"/>
            </w:pPr>
            <w:r>
              <w:rPr>
                <w:rFonts w:ascii="Arial" w:cs="Arial" w:eastAsia="Arial" w:hAnsi="Arial"/>
                <w:b/>
                <w:bCs/>
                <w:color w:val="1A5276"/>
                <w:sz w:val="36"/>
                <w:szCs w:val="36"/>
              </w:rPr>
              <w:t xml:space="preserve">3,900</w:t>
            </w:r>
          </w:p>
          <w:p>
            <w:pPr>
              <w:spacing w:after="20" w:before="0"/>
              <w:jc w:val="center"/>
            </w:pPr>
            <w:r>
              <w:rPr>
                <w:rFonts w:ascii="Arial" w:cs="Arial" w:eastAsia="Arial" w:hAnsi="Arial"/>
                <w:b/>
                <w:bCs/>
                <w:color w:val="5D6D7E"/>
                <w:sz w:val="18"/>
                <w:szCs w:val="18"/>
              </w:rPr>
              <w:t xml:space="preserve">Purchase Records</w:t>
            </w:r>
          </w:p>
          <w:p>
            <w:pPr>
              <w:spacing w:after="0" w:before="0"/>
              <w:jc w:val="center"/>
            </w:pPr>
            <w:r>
              <w:rPr>
                <w:rFonts w:ascii="Arial" w:cs="Arial" w:eastAsia="Arial" w:hAnsi="Arial"/>
                <w:color w:val="5D6D7E"/>
                <w:sz w:val="16"/>
                <w:szCs w:val="16"/>
              </w:rPr>
              <w:t xml:space="preserve">18 attributes per record</w:t>
            </w:r>
          </w:p>
        </w:tc>
        <w:tc>
          <w:tcPr>
            <w:tcW w:type="dxa" w:w="3120"/>
            <w:tcBorders>
              <w:top w:val="single" w:color="2E86C1" w:sz="6"/>
              <w:left w:val="single" w:color="CCCCCC" w:sz="1"/>
              <w:bottom w:val="single" w:color="CCCCCC" w:sz="1"/>
              <w:right w:val="single" w:color="CCCCCC" w:sz="1"/>
            </w:tcBorders>
            <w:shd w:fill="D6EAF8" w:val="clear"/>
            <w:tcMar>
              <w:top w:type="dxa" w:w="140"/>
              <w:left w:type="dxa" w:w="160"/>
              <w:bottom w:type="dxa" w:w="140"/>
              <w:right w:type="dxa" w:w="160"/>
            </w:tcMar>
          </w:tcPr>
          <w:p>
            <w:pPr>
              <w:spacing w:after="40" w:before="0"/>
              <w:jc w:val="center"/>
            </w:pPr>
            <w:r>
              <w:rPr>
                <w:rFonts w:ascii="Arial" w:cs="Arial" w:eastAsia="Arial" w:hAnsi="Arial"/>
                <w:b/>
                <w:bCs/>
                <w:color w:val="1A5276"/>
                <w:sz w:val="36"/>
                <w:szCs w:val="36"/>
              </w:rPr>
              <w:t xml:space="preserve">10+</w:t>
            </w:r>
          </w:p>
          <w:p>
            <w:pPr>
              <w:spacing w:after="20" w:before="0"/>
              <w:jc w:val="center"/>
            </w:pPr>
            <w:r>
              <w:rPr>
                <w:rFonts w:ascii="Arial" w:cs="Arial" w:eastAsia="Arial" w:hAnsi="Arial"/>
                <w:b/>
                <w:bCs/>
                <w:color w:val="5D6D7E"/>
                <w:sz w:val="18"/>
                <w:szCs w:val="18"/>
              </w:rPr>
              <w:t xml:space="preserve">SQL Queries</w:t>
            </w:r>
          </w:p>
          <w:p>
            <w:pPr>
              <w:spacing w:after="0" w:before="0"/>
              <w:jc w:val="center"/>
            </w:pPr>
            <w:r>
              <w:rPr>
                <w:rFonts w:ascii="Arial" w:cs="Arial" w:eastAsia="Arial" w:hAnsi="Arial"/>
                <w:color w:val="5D6D7E"/>
                <w:sz w:val="16"/>
                <w:szCs w:val="16"/>
              </w:rPr>
              <w:t xml:space="preserve">Business transaction analysis</w:t>
            </w:r>
          </w:p>
        </w:tc>
        <w:tc>
          <w:tcPr>
            <w:tcW w:type="dxa" w:w="3120"/>
            <w:tcBorders>
              <w:top w:val="single" w:color="2E86C1" w:sz="6"/>
              <w:left w:val="single" w:color="CCCCCC" w:sz="1"/>
              <w:bottom w:val="single" w:color="CCCCCC" w:sz="1"/>
              <w:right w:val="single" w:color="CCCCCC" w:sz="1"/>
            </w:tcBorders>
            <w:shd w:fill="D6EAF8" w:val="clear"/>
            <w:tcMar>
              <w:top w:type="dxa" w:w="140"/>
              <w:left w:type="dxa" w:w="160"/>
              <w:bottom w:type="dxa" w:w="140"/>
              <w:right w:type="dxa" w:w="160"/>
            </w:tcMar>
          </w:tcPr>
          <w:p>
            <w:pPr>
              <w:spacing w:after="40" w:before="0"/>
              <w:jc w:val="center"/>
            </w:pPr>
            <w:r>
              <w:rPr>
                <w:rFonts w:ascii="Arial" w:cs="Arial" w:eastAsia="Arial" w:hAnsi="Arial"/>
                <w:b/>
                <w:bCs/>
                <w:color w:val="1A5276"/>
                <w:sz w:val="36"/>
                <w:szCs w:val="36"/>
              </w:rPr>
              <w:t xml:space="preserve">5</w:t>
            </w:r>
          </w:p>
          <w:p>
            <w:pPr>
              <w:spacing w:after="20" w:before="0"/>
              <w:jc w:val="center"/>
            </w:pPr>
            <w:r>
              <w:rPr>
                <w:rFonts w:ascii="Arial" w:cs="Arial" w:eastAsia="Arial" w:hAnsi="Arial"/>
                <w:b/>
                <w:bCs/>
                <w:color w:val="5D6D7E"/>
                <w:sz w:val="18"/>
                <w:szCs w:val="18"/>
              </w:rPr>
              <w:t xml:space="preserve">Deliverables</w:t>
            </w:r>
          </w:p>
          <w:p>
            <w:pPr>
              <w:spacing w:after="0" w:before="0"/>
              <w:jc w:val="center"/>
            </w:pPr>
            <w:r>
              <w:rPr>
                <w:rFonts w:ascii="Arial" w:cs="Arial" w:eastAsia="Arial" w:hAnsi="Arial"/>
                <w:color w:val="5D6D7E"/>
                <w:sz w:val="16"/>
                <w:szCs w:val="16"/>
              </w:rPr>
              <w:t xml:space="preserve">Python · SQL · Power BI · Report · GitHub</w:t>
            </w:r>
          </w:p>
        </w:tc>
      </w:tr>
    </w:tbl>
    <w:p>
      <w:pPr>
        <w:spacing w:after="120" w:before="600"/>
      </w:pPr>
    </w:p>
    <w:p>
      <w:pPr>
        <w:spacing w:after="0" w:before="0"/>
        <w:jc w:val="center"/>
      </w:pPr>
      <w:r>
        <w:rPr>
          <w:rFonts w:ascii="Arial" w:cs="Arial" w:eastAsia="Arial" w:hAnsi="Arial"/>
          <w:i/>
          <w:iCs/>
          <w:color w:val="5D6D7E"/>
          <w:sz w:val="19"/>
          <w:szCs w:val="19"/>
        </w:rPr>
        <w:t xml:space="preserve">Prepared for: Retail Management Stakeholders</w:t>
      </w:r>
    </w:p>
    <w:p>
      <w:r>
        <w:br w:type="page"/>
      </w:r>
    </w:p>
    <w:p>
      <w:pPr>
        <w:pStyle w:val="Heading1"/>
        <w:spacing w:after="80" w:before="320"/>
      </w:pPr>
      <w:r>
        <w:rPr>
          <w:rFonts w:ascii="Arial" w:cs="Arial" w:eastAsia="Arial" w:hAnsi="Arial"/>
          <w:b/>
          <w:bCs/>
          <w:color w:val="1A5276"/>
          <w:sz w:val="32"/>
          <w:szCs w:val="32"/>
        </w:rPr>
        <w:t xml:space="preserve">1.  Business Problem</w:t>
      </w:r>
    </w:p>
    <w:p>
      <w:pPr>
        <w:pBdr>
          <w:bottom w:val="single" w:color="2E86C1" w:sz="8" w:space="1"/>
        </w:pBdr>
        <w:spacing w:after="280" w:before="60"/>
      </w:pPr>
    </w:p>
    <w:p>
      <w:pPr>
        <w:spacing w:after="100" w:before="60"/>
      </w:pPr>
      <w:r>
        <w:rPr>
          <w:rFonts w:ascii="Arial" w:cs="Arial" w:eastAsia="Arial" w:hAnsi="Arial"/>
          <w:color w:val="1C1C1C"/>
          <w:sz w:val="22"/>
          <w:szCs w:val="22"/>
        </w:rPr>
        <w:t xml:space="preserve">A leading retail company seeks to better understand its customers' shopping behaviour in order to improve sales, customer satisfaction, and long-term loyalty. The management team has identified meaningful shifts in purchasing patterns across demographics, product categories, and sales channels (online vs. offline).</w:t>
      </w:r>
    </w:p>
    <w:p>
      <w:pPr>
        <w:spacing w:after="120" w:before="80"/>
      </w:pPr>
    </w:p>
    <w:p>
      <w:pPr>
        <w:spacing w:after="100" w:before="60"/>
      </w:pPr>
      <w:r>
        <w:rPr>
          <w:rFonts w:ascii="Arial" w:cs="Arial" w:eastAsia="Arial" w:hAnsi="Arial"/>
          <w:b/>
          <w:bCs/>
          <w:color w:val="1A5276"/>
          <w:sz w:val="22"/>
          <w:szCs w:val="22"/>
        </w:rPr>
        <w:t xml:space="preserve">The project addresses the following overarching business question:</w:t>
      </w:r>
    </w:p>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2"/>
              <w:left w:val="single" w:color="CCCCCC" w:sz="1"/>
              <w:bottom w:val="single" w:color="CCCCCC" w:sz="1"/>
              <w:right w:val="single" w:color="CCCCCC" w:sz="1"/>
            </w:tcBorders>
            <w:shd w:fill="D6EAF8" w:val="clear"/>
            <w:tcMar>
              <w:top w:type="dxa" w:w="120"/>
              <w:left w:type="dxa" w:w="180"/>
              <w:bottom w:type="dxa" w:w="120"/>
              <w:right w:type="dxa" w:w="180"/>
            </w:tcMar>
          </w:tcPr>
          <w:p>
            <w:pPr>
              <w:spacing w:after="40" w:before="0"/>
            </w:pPr>
            <w:r>
              <w:rPr>
                <w:rFonts w:ascii="Arial" w:cs="Arial" w:eastAsia="Arial" w:hAnsi="Arial"/>
                <w:b/>
                <w:bCs/>
                <w:color w:val="1A5276"/>
                <w:sz w:val="20"/>
                <w:szCs w:val="20"/>
              </w:rPr>
              <w:t xml:space="preserve">Core Business Question</w:t>
            </w:r>
          </w:p>
          <w:p>
            <w:pPr>
              <w:spacing w:after="0" w:before="0"/>
            </w:pPr>
            <w:r>
              <w:rPr>
                <w:rFonts w:ascii="Arial" w:cs="Arial" w:eastAsia="Arial" w:hAnsi="Arial"/>
                <w:color w:val="1C1C1C"/>
                <w:sz w:val="20"/>
                <w:szCs w:val="20"/>
              </w:rPr>
              <w:t xml:space="preserve">How can the company leverage consumer shopping data to identify trends, improve customer engagement, and optimise marketing and product strategies?</w:t>
            </w:r>
          </w:p>
        </w:tc>
      </w:tr>
    </w:tbl>
    <w:p>
      <w:pPr>
        <w:spacing w:after="120" w:before="160"/>
      </w:pPr>
    </w:p>
    <w:p>
      <w:pPr>
        <w:spacing w:after="100" w:before="60"/>
      </w:pPr>
      <w:r>
        <w:rPr>
          <w:rFonts w:ascii="Arial" w:cs="Arial" w:eastAsia="Arial" w:hAnsi="Arial"/>
          <w:color w:val="1C1C1C"/>
          <w:sz w:val="22"/>
          <w:szCs w:val="22"/>
        </w:rPr>
        <w:t xml:space="preserve">Management is particularly interested in uncovering which factors drive consumer decisions and repeat purchases, including:</w:t>
      </w:r>
    </w:p>
    <w:p>
      <w:pPr>
        <w:spacing w:after="120" w:before="60"/>
      </w:pPr>
    </w:p>
    <w:p>
      <w:pPr>
        <w:pStyle w:val="ListParagraph"/>
        <w:numPr>
          <w:ilvl w:val="0"/>
          <w:numId w:val="2"/>
        </w:numPr>
        <w:spacing w:after="40" w:before="40"/>
      </w:pPr>
      <w:r>
        <w:rPr>
          <w:rFonts w:ascii="Arial" w:cs="Arial" w:eastAsia="Arial" w:hAnsi="Arial"/>
          <w:color w:val="1C1C1C"/>
          <w:sz w:val="22"/>
          <w:szCs w:val="22"/>
        </w:rPr>
        <w:t xml:space="preserve">Discount and promotional code usage</w:t>
      </w:r>
    </w:p>
    <w:p>
      <w:pPr>
        <w:pStyle w:val="ListParagraph"/>
        <w:numPr>
          <w:ilvl w:val="0"/>
          <w:numId w:val="2"/>
        </w:numPr>
        <w:spacing w:after="40" w:before="40"/>
      </w:pPr>
      <w:r>
        <w:rPr>
          <w:rFonts w:ascii="Arial" w:cs="Arial" w:eastAsia="Arial" w:hAnsi="Arial"/>
          <w:color w:val="1C1C1C"/>
          <w:sz w:val="22"/>
          <w:szCs w:val="22"/>
        </w:rPr>
        <w:t xml:space="preserve">Customer review ratings and product perception</w:t>
      </w:r>
    </w:p>
    <w:p>
      <w:pPr>
        <w:pStyle w:val="ListParagraph"/>
        <w:numPr>
          <w:ilvl w:val="0"/>
          <w:numId w:val="2"/>
        </w:numPr>
        <w:spacing w:after="40" w:before="40"/>
      </w:pPr>
      <w:r>
        <w:rPr>
          <w:rFonts w:ascii="Arial" w:cs="Arial" w:eastAsia="Arial" w:hAnsi="Arial"/>
          <w:color w:val="1C1C1C"/>
          <w:sz w:val="22"/>
          <w:szCs w:val="22"/>
        </w:rPr>
        <w:t xml:space="preserve">Seasonal purchasing trends</w:t>
      </w:r>
    </w:p>
    <w:p>
      <w:pPr>
        <w:pStyle w:val="ListParagraph"/>
        <w:numPr>
          <w:ilvl w:val="0"/>
          <w:numId w:val="2"/>
        </w:numPr>
        <w:spacing w:after="40" w:before="40"/>
      </w:pPr>
      <w:r>
        <w:rPr>
          <w:rFonts w:ascii="Arial" w:cs="Arial" w:eastAsia="Arial" w:hAnsi="Arial"/>
          <w:color w:val="1C1C1C"/>
          <w:sz w:val="22"/>
          <w:szCs w:val="22"/>
        </w:rPr>
        <w:t xml:space="preserve">Payment method and shipping preferences</w:t>
      </w:r>
    </w:p>
    <w:p>
      <w:pPr>
        <w:pStyle w:val="ListParagraph"/>
        <w:numPr>
          <w:ilvl w:val="0"/>
          <w:numId w:val="2"/>
        </w:numPr>
        <w:spacing w:after="40" w:before="40"/>
      </w:pPr>
      <w:r>
        <w:rPr>
          <w:rFonts w:ascii="Arial" w:cs="Arial" w:eastAsia="Arial" w:hAnsi="Arial"/>
          <w:color w:val="1C1C1C"/>
          <w:sz w:val="22"/>
          <w:szCs w:val="22"/>
        </w:rPr>
        <w:t xml:space="preserve">Subscription status and loyalty behaviour</w:t>
      </w:r>
    </w:p>
    <w:p>
      <w:pPr>
        <w:spacing w:after="120" w:before="120"/>
      </w:pPr>
    </w:p>
    <w:p>
      <w:pPr>
        <w:pStyle w:val="Heading1"/>
        <w:spacing w:after="80" w:before="320"/>
      </w:pPr>
      <w:r>
        <w:rPr>
          <w:rFonts w:ascii="Arial" w:cs="Arial" w:eastAsia="Arial" w:hAnsi="Arial"/>
          <w:b/>
          <w:bCs/>
          <w:color w:val="1A5276"/>
          <w:sz w:val="32"/>
          <w:szCs w:val="32"/>
        </w:rPr>
        <w:t xml:space="preserve">2.  Dataset Overview</w:t>
      </w:r>
    </w:p>
    <w:p>
      <w:pPr>
        <w:pBdr>
          <w:bottom w:val="single" w:color="2E86C1" w:sz="8" w:space="1"/>
        </w:pBdr>
        <w:spacing w:after="280" w:before="60"/>
      </w:pPr>
    </w:p>
    <w:p>
      <w:pPr>
        <w:pStyle w:val="Heading2"/>
        <w:spacing w:after="60" w:before="240"/>
      </w:pPr>
      <w:r>
        <w:rPr>
          <w:rFonts w:ascii="Arial" w:cs="Arial" w:eastAsia="Arial" w:hAnsi="Arial"/>
          <w:b/>
          <w:bCs/>
          <w:color w:val="2E86C1"/>
          <w:sz w:val="26"/>
          <w:szCs w:val="26"/>
        </w:rPr>
        <w:t xml:space="preserve">2.1  Dataset Structure</w:t>
      </w:r>
    </w:p>
    <w:p>
      <w:pPr>
        <w:spacing w:after="100" w:before="60"/>
      </w:pPr>
      <w:r>
        <w:rPr>
          <w:rFonts w:ascii="Arial" w:cs="Arial" w:eastAsia="Arial" w:hAnsi="Arial"/>
          <w:color w:val="1C1C1C"/>
          <w:sz w:val="22"/>
          <w:szCs w:val="22"/>
        </w:rPr>
        <w:t xml:space="preserve">The analysis is based on a single transactional dataset covering 3,900 purchases across a range of product categories. All records were sourced from the company's internal sales system.</w:t>
      </w:r>
    </w:p>
    <w:p>
      <w:pPr>
        <w:spacing w:after="12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Rows (Transactions)</w:t>
            </w:r>
          </w:p>
        </w:tc>
        <w:tc>
          <w:tcPr>
            <w:tcW w:type="dxa" w:w="46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3,900</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Columns (Features)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18</w:t>
            </w:r>
          </w:p>
        </w:tc>
      </w:tr>
      <w:tr>
        <w:tc>
          <w:tcPr>
            <w:tcW w:type="dxa" w:w="46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Missing Data</w:t>
            </w:r>
          </w:p>
        </w:tc>
        <w:tc>
          <w:tcPr>
            <w:tcW w:type="dxa" w:w="46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37 values in Review Rating column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Imputation Strategy</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Median rating per product category</w:t>
            </w:r>
          </w:p>
        </w:tc>
      </w:tr>
      <w:tr>
        <w:tc>
          <w:tcPr>
            <w:tcW w:type="dxa" w:w="46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Time Grain</w:t>
            </w:r>
          </w:p>
        </w:tc>
        <w:tc>
          <w:tcPr>
            <w:tcW w:type="dxa" w:w="46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Individual purchase-level records</w:t>
            </w:r>
          </w:p>
        </w:tc>
      </w:tr>
    </w:tbl>
    <w:p>
      <w:pPr>
        <w:spacing w:after="120" w:before="160"/>
      </w:pPr>
    </w:p>
    <w:p>
      <w:pPr>
        <w:pStyle w:val="Heading2"/>
        <w:spacing w:after="60" w:before="240"/>
      </w:pPr>
      <w:r>
        <w:rPr>
          <w:rFonts w:ascii="Arial" w:cs="Arial" w:eastAsia="Arial" w:hAnsi="Arial"/>
          <w:b/>
          <w:bCs/>
          <w:color w:val="2E86C1"/>
          <w:sz w:val="26"/>
          <w:szCs w:val="26"/>
        </w:rPr>
        <w:t xml:space="preserve">2.2  Key Feature Groups</w:t>
      </w:r>
    </w:p>
    <w:p>
      <w:pPr>
        <w:spacing w:after="100" w:before="60"/>
      </w:pPr>
      <w:r>
        <w:rPr>
          <w:rFonts w:ascii="Arial" w:cs="Arial" w:eastAsia="Arial" w:hAnsi="Arial"/>
          <w:color w:val="1C1C1C"/>
          <w:sz w:val="22"/>
          <w:szCs w:val="22"/>
        </w:rPr>
        <w:t xml:space="preserve">The 18 features fall into three functional groups:</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 Group</w:t>
            </w:r>
          </w:p>
        </w:tc>
        <w:tc>
          <w:tcPr>
            <w:tcW w:type="dxa" w:w="62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Fields Included</w:t>
            </w:r>
          </w:p>
        </w:tc>
      </w:tr>
      <w:tr>
        <w:tc>
          <w:tcPr>
            <w:tcW w:type="dxa" w:w="312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Customer Demographics</w:t>
            </w:r>
          </w:p>
        </w:tc>
        <w:tc>
          <w:tcPr>
            <w:tcW w:type="dxa" w:w="624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Age, Gender, Location, Subscription Status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Purchase Details</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Item Purchased, Category, Purchase Amount, Season, Size, Color</w:t>
            </w:r>
          </w:p>
        </w:tc>
      </w:tr>
      <w:tr>
        <w:tc>
          <w:tcPr>
            <w:tcW w:type="dxa" w:w="312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Shopping Behaviour</w:t>
            </w:r>
          </w:p>
        </w:tc>
        <w:tc>
          <w:tcPr>
            <w:tcW w:type="dxa" w:w="624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Discount Applied, Previous Purchases, Frequency of Purchases, Review Rating, Shipping Type</w:t>
            </w:r>
          </w:p>
        </w:tc>
      </w:tr>
    </w:tbl>
    <w:p>
      <w:pPr>
        <w:spacing w:after="120" w:before="200"/>
      </w:pPr>
    </w:p>
    <w:p>
      <w:pPr>
        <w:pStyle w:val="Heading1"/>
        <w:spacing w:after="80" w:before="320"/>
      </w:pPr>
      <w:r>
        <w:rPr>
          <w:rFonts w:ascii="Arial" w:cs="Arial" w:eastAsia="Arial" w:hAnsi="Arial"/>
          <w:b/>
          <w:bCs/>
          <w:color w:val="1A5276"/>
          <w:sz w:val="32"/>
          <w:szCs w:val="32"/>
        </w:rPr>
        <w:t xml:space="preserve">3.  Data Preparation &amp; Modelling — Python</w:t>
      </w:r>
    </w:p>
    <w:p>
      <w:pPr>
        <w:pBdr>
          <w:bottom w:val="single" w:color="2E86C1" w:sz="8" w:space="1"/>
        </w:pBdr>
        <w:spacing w:after="280" w:before="60"/>
      </w:pPr>
    </w:p>
    <w:p>
      <w:pPr>
        <w:spacing w:after="100" w:before="60"/>
      </w:pPr>
      <w:r>
        <w:rPr>
          <w:rFonts w:ascii="Arial" w:cs="Arial" w:eastAsia="Arial" w:hAnsi="Arial"/>
          <w:color w:val="1C1C1C"/>
          <w:sz w:val="22"/>
          <w:szCs w:val="22"/>
        </w:rPr>
        <w:t xml:space="preserve">All data preparation and cleaning was performed in Python using pandas prior to SQL analysis and Power BI modelling. The pipeline follows six sequential steps.</w:t>
      </w:r>
    </w:p>
    <w:p>
      <w:pPr>
        <w:spacing w:after="120" w:before="100"/>
      </w:pPr>
    </w:p>
    <w:p>
      <w:pPr>
        <w:pStyle w:val="Heading2"/>
        <w:spacing w:after="60" w:before="240"/>
      </w:pPr>
      <w:r>
        <w:rPr>
          <w:rFonts w:ascii="Arial" w:cs="Arial" w:eastAsia="Arial" w:hAnsi="Arial"/>
          <w:b/>
          <w:bCs/>
          <w:color w:val="2E86C1"/>
          <w:sz w:val="26"/>
          <w:szCs w:val="26"/>
        </w:rPr>
        <w:t xml:space="preserve">3.1  Preparation Pipeline</w:t>
      </w:r>
    </w:p>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40"/>
        <w:gridCol w:w="6120"/>
      </w:tblGrid>
      <w:tr>
        <w:trPr>
          <w:tblHeader/>
        </w:trPr>
        <w:tc>
          <w:tcPr>
            <w:tcW w:type="dxa" w:w="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26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6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Outcome</w:t>
            </w:r>
          </w:p>
        </w:tc>
      </w:tr>
      <w:tr>
        <w:tc>
          <w:tcPr>
            <w:tcW w:type="dxa" w:w="60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1</w:t>
            </w:r>
          </w:p>
        </w:tc>
        <w:tc>
          <w:tcPr>
            <w:tcW w:type="dxa" w:w="264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Data Loading</w:t>
            </w:r>
          </w:p>
        </w:tc>
        <w:tc>
          <w:tcPr>
            <w:tcW w:type="dxa" w:w="612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Dataset imported using pandas; initial structure verified</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2</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Initial Exploration</w:t>
            </w:r>
          </w:p>
        </w:tc>
        <w:tc>
          <w:tcPr>
            <w:tcW w:type="dxa" w:w="6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df.info() and .describe(include='all') used for summary statistics</w:t>
            </w:r>
          </w:p>
        </w:tc>
      </w:tr>
      <w:tr>
        <w:tc>
          <w:tcPr>
            <w:tcW w:type="dxa" w:w="60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3</w:t>
            </w:r>
          </w:p>
        </w:tc>
        <w:tc>
          <w:tcPr>
            <w:tcW w:type="dxa" w:w="264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Missing Data Handling</w:t>
            </w:r>
          </w:p>
        </w:tc>
        <w:tc>
          <w:tcPr>
            <w:tcW w:type="dxa" w:w="612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37 null Review Rating values imputed using median per product category</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4</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Column Standardisation</w:t>
            </w:r>
          </w:p>
        </w:tc>
        <w:tc>
          <w:tcPr>
            <w:tcW w:type="dxa" w:w="6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All column names renamed to snake_case for downstream consistency</w:t>
            </w:r>
          </w:p>
        </w:tc>
      </w:tr>
      <w:tr>
        <w:tc>
          <w:tcPr>
            <w:tcW w:type="dxa" w:w="60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5</w:t>
            </w:r>
          </w:p>
        </w:tc>
        <w:tc>
          <w:tcPr>
            <w:tcW w:type="dxa" w:w="264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Feature Engineering</w:t>
            </w:r>
          </w:p>
        </w:tc>
        <w:tc>
          <w:tcPr>
            <w:tcW w:type="dxa" w:w="612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age_group column created by binning ages; purchase_frequency_days derived</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6</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Redundancy Check</w:t>
            </w:r>
          </w:p>
        </w:tc>
        <w:tc>
          <w:tcPr>
            <w:tcW w:type="dxa" w:w="6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promo_code_used confirmed redundant against discount_applied and dropped</w:t>
            </w:r>
          </w:p>
        </w:tc>
      </w:tr>
    </w:tbl>
    <w:p>
      <w:pPr>
        <w:spacing w:after="120" w:before="160"/>
      </w:pPr>
    </w:p>
    <w:p>
      <w:pPr>
        <w:pStyle w:val="Heading2"/>
        <w:spacing w:after="60" w:before="240"/>
      </w:pPr>
      <w:r>
        <w:rPr>
          <w:rFonts w:ascii="Arial" w:cs="Arial" w:eastAsia="Arial" w:hAnsi="Arial"/>
          <w:b/>
          <w:bCs/>
          <w:color w:val="2E86C1"/>
          <w:sz w:val="26"/>
          <w:szCs w:val="26"/>
        </w:rPr>
        <w:t xml:space="preserve">3.2  Feature Engineering</w:t>
      </w:r>
    </w:p>
    <w:p>
      <w:pPr>
        <w:spacing w:after="100" w:before="60"/>
      </w:pPr>
      <w:r>
        <w:rPr>
          <w:rFonts w:ascii="Arial" w:cs="Arial" w:eastAsia="Arial" w:hAnsi="Arial"/>
          <w:color w:val="1C1C1C"/>
          <w:sz w:val="22"/>
          <w:szCs w:val="22"/>
        </w:rPr>
        <w:t xml:space="preserve">Two new analytical features were created to enrich the dataset for segmentation and cohort analysis:</w:t>
      </w:r>
    </w:p>
    <w:p>
      <w:pPr>
        <w:spacing w:after="120" w:before="80"/>
      </w:pPr>
    </w:p>
    <w:p>
      <w:pPr>
        <w:pStyle w:val="ListParagraph"/>
        <w:numPr>
          <w:ilvl w:val="0"/>
          <w:numId w:val="2"/>
        </w:numPr>
        <w:spacing w:after="40" w:before="40"/>
      </w:pPr>
      <w:r>
        <w:rPr>
          <w:rFonts w:ascii="Arial" w:cs="Arial" w:eastAsia="Arial" w:hAnsi="Arial"/>
          <w:color w:val="1C1C1C"/>
          <w:sz w:val="22"/>
          <w:szCs w:val="22"/>
        </w:rPr>
        <w:t xml:space="preserve">age_group — Customer ages binned into discrete bands (e.g., 18-25, 26-35, 36-50, 51+) to enable demographic revenue analysis.</w:t>
      </w:r>
    </w:p>
    <w:p>
      <w:pPr>
        <w:pStyle w:val="ListParagraph"/>
        <w:numPr>
          <w:ilvl w:val="0"/>
          <w:numId w:val="2"/>
        </w:numPr>
        <w:spacing w:after="40" w:before="40"/>
      </w:pPr>
      <w:r>
        <w:rPr>
          <w:rFonts w:ascii="Arial" w:cs="Arial" w:eastAsia="Arial" w:hAnsi="Arial"/>
          <w:color w:val="1C1C1C"/>
          <w:sz w:val="22"/>
          <w:szCs w:val="22"/>
        </w:rPr>
        <w:t xml:space="preserve">purchase_frequency_days — Derived from historical purchase data to support customer loyalty and retention modelling.</w:t>
      </w:r>
    </w:p>
    <w:p>
      <w:pPr>
        <w:spacing w:after="120" w:before="120"/>
      </w:pPr>
    </w:p>
    <w:p>
      <w:pPr>
        <w:pStyle w:val="Heading2"/>
        <w:spacing w:after="60" w:before="240"/>
      </w:pPr>
      <w:r>
        <w:rPr>
          <w:rFonts w:ascii="Arial" w:cs="Arial" w:eastAsia="Arial" w:hAnsi="Arial"/>
          <w:b/>
          <w:bCs/>
          <w:color w:val="2E86C1"/>
          <w:sz w:val="26"/>
          <w:szCs w:val="26"/>
        </w:rPr>
        <w:t xml:space="preserve">3.3  Database Integration</w:t>
      </w:r>
    </w:p>
    <w:p>
      <w:pPr>
        <w:spacing w:after="100" w:before="60"/>
      </w:pPr>
      <w:r>
        <w:rPr>
          <w:rFonts w:ascii="Arial" w:cs="Arial" w:eastAsia="Arial" w:hAnsi="Arial"/>
          <w:color w:val="1C1C1C"/>
          <w:sz w:val="22"/>
          <w:szCs w:val="22"/>
        </w:rPr>
        <w:t xml:space="preserve">Following cleaning, the prepared DataFrame was loaded directly into MySQL via Python's SQLAlchemy connector, creating the structured foundation for all subsequent SQL analysis.</w:t>
      </w:r>
    </w:p>
    <w:p>
      <w:pPr>
        <w:spacing w:after="120" w:before="200"/>
      </w:pPr>
    </w:p>
    <w:p>
      <w:pPr>
        <w:pStyle w:val="Heading1"/>
        <w:spacing w:after="80" w:before="320"/>
      </w:pPr>
      <w:r>
        <w:rPr>
          <w:rFonts w:ascii="Arial" w:cs="Arial" w:eastAsia="Arial" w:hAnsi="Arial"/>
          <w:b/>
          <w:bCs/>
          <w:color w:val="1A5276"/>
          <w:sz w:val="32"/>
          <w:szCs w:val="32"/>
        </w:rPr>
        <w:t xml:space="preserve">4.  Data Analysis — SQL</w:t>
      </w:r>
    </w:p>
    <w:p>
      <w:pPr>
        <w:pBdr>
          <w:bottom w:val="single" w:color="2E86C1" w:sz="8" w:space="1"/>
        </w:pBdr>
        <w:spacing w:after="280" w:before="60"/>
      </w:pPr>
    </w:p>
    <w:p>
      <w:pPr>
        <w:spacing w:after="100" w:before="60"/>
      </w:pPr>
      <w:r>
        <w:rPr>
          <w:rFonts w:ascii="Arial" w:cs="Arial" w:eastAsia="Arial" w:hAnsi="Arial"/>
          <w:color w:val="1C1C1C"/>
          <w:sz w:val="22"/>
          <w:szCs w:val="22"/>
        </w:rPr>
        <w:t xml:space="preserve">Structured analysis was conducted in MySQL across ten targeted business queries. Each query was designed to answer a specific revenue, loyalty, or customer behaviour question.</w:t>
      </w:r>
    </w:p>
    <w:p>
      <w:pPr>
        <w:spacing w:after="120" w:before="100"/>
      </w:pPr>
    </w:p>
    <w:p>
      <w:pPr>
        <w:pStyle w:val="Heading2"/>
        <w:spacing w:after="60" w:before="240"/>
      </w:pPr>
      <w:r>
        <w:rPr>
          <w:rFonts w:ascii="Arial" w:cs="Arial" w:eastAsia="Arial" w:hAnsi="Arial"/>
          <w:b/>
          <w:bCs/>
          <w:color w:val="2E86C1"/>
          <w:sz w:val="26"/>
          <w:szCs w:val="26"/>
        </w:rPr>
        <w:t xml:space="preserve">4.1  Query Reference</w:t>
      </w:r>
    </w:p>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80"/>
        <w:gridCol w:w="6120"/>
      </w:tblGrid>
      <w:tr>
        <w:trPr>
          <w:tblHeader/>
        </w:trPr>
        <w:tc>
          <w:tcPr>
            <w:tcW w:type="dxa" w:w="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8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Query</w:t>
            </w:r>
          </w:p>
        </w:tc>
        <w:tc>
          <w:tcPr>
            <w:tcW w:type="dxa" w:w="6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Business Question Answered</w:t>
            </w:r>
          </w:p>
        </w:tc>
      </w:tr>
      <w:tr>
        <w:tc>
          <w:tcPr>
            <w:tcW w:type="dxa" w:w="36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1</w:t>
            </w:r>
          </w:p>
        </w:tc>
        <w:tc>
          <w:tcPr>
            <w:tcW w:type="dxa" w:w="28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Revenue by Gender</w:t>
            </w:r>
          </w:p>
        </w:tc>
        <w:tc>
          <w:tcPr>
            <w:tcW w:type="dxa" w:w="612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Which gender generates more total revenue?</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2</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High-Spending Discount Users</w:t>
            </w:r>
          </w:p>
        </w:tc>
        <w:tc>
          <w:tcPr>
            <w:tcW w:type="dxa" w:w="6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Who uses discounts but still spends above average?</w:t>
            </w:r>
          </w:p>
        </w:tc>
      </w:tr>
      <w:tr>
        <w:tc>
          <w:tcPr>
            <w:tcW w:type="dxa" w:w="36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3</w:t>
            </w:r>
          </w:p>
        </w:tc>
        <w:tc>
          <w:tcPr>
            <w:tcW w:type="dxa" w:w="28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Top 5 Products by Rating</w:t>
            </w:r>
          </w:p>
        </w:tc>
        <w:tc>
          <w:tcPr>
            <w:tcW w:type="dxa" w:w="612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Which products have the highest average review ratings?</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4</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Shipping Type Comparison</w:t>
            </w:r>
          </w:p>
        </w:tc>
        <w:tc>
          <w:tcPr>
            <w:tcW w:type="dxa" w:w="6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Does Express shipping correlate with higher spend?</w:t>
            </w:r>
          </w:p>
        </w:tc>
      </w:tr>
      <w:tr>
        <w:tc>
          <w:tcPr>
            <w:tcW w:type="dxa" w:w="36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5</w:t>
            </w:r>
          </w:p>
        </w:tc>
        <w:tc>
          <w:tcPr>
            <w:tcW w:type="dxa" w:w="28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Subscribers vs. Non-Subscribers</w:t>
            </w:r>
          </w:p>
        </w:tc>
        <w:tc>
          <w:tcPr>
            <w:tcW w:type="dxa" w:w="612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Do subscribers spend more and generate more revenue?</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6</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Discount-Dependent Products</w:t>
            </w:r>
          </w:p>
        </w:tc>
        <w:tc>
          <w:tcPr>
            <w:tcW w:type="dxa" w:w="6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Which 5 products have the highest discount usage rate?</w:t>
            </w:r>
          </w:p>
        </w:tc>
      </w:tr>
      <w:tr>
        <w:tc>
          <w:tcPr>
            <w:tcW w:type="dxa" w:w="36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7</w:t>
            </w:r>
          </w:p>
        </w:tc>
        <w:tc>
          <w:tcPr>
            <w:tcW w:type="dxa" w:w="28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Customer Segmentation</w:t>
            </w:r>
          </w:p>
        </w:tc>
        <w:tc>
          <w:tcPr>
            <w:tcW w:type="dxa" w:w="612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How do New, Returning, and Loyal customers differ?</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8</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Top 3 Products per Category</w:t>
            </w:r>
          </w:p>
        </w:tc>
        <w:tc>
          <w:tcPr>
            <w:tcW w:type="dxa" w:w="6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What are the most purchased items in each category?</w:t>
            </w:r>
          </w:p>
        </w:tc>
      </w:tr>
      <w:tr>
        <w:tc>
          <w:tcPr>
            <w:tcW w:type="dxa" w:w="36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9</w:t>
            </w:r>
          </w:p>
        </w:tc>
        <w:tc>
          <w:tcPr>
            <w:tcW w:type="dxa" w:w="28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Repeat Buyers &amp; Subscriptions</w:t>
            </w:r>
          </w:p>
        </w:tc>
        <w:tc>
          <w:tcPr>
            <w:tcW w:type="dxa" w:w="612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Are customers with 5+ purchases more likely to subscribe?</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10</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Revenue by Age Group</w:t>
            </w:r>
          </w:p>
        </w:tc>
        <w:tc>
          <w:tcPr>
            <w:tcW w:type="dxa" w:w="6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Which age band contributes the most total revenue?</w:t>
            </w:r>
          </w:p>
        </w:tc>
      </w:tr>
    </w:tbl>
    <w:p>
      <w:pPr>
        <w:spacing w:after="120" w:before="160"/>
      </w:pPr>
    </w:p>
    <w:p>
      <w:pPr>
        <w:pStyle w:val="Heading2"/>
        <w:spacing w:after="60" w:before="240"/>
      </w:pPr>
      <w:r>
        <w:rPr>
          <w:rFonts w:ascii="Arial" w:cs="Arial" w:eastAsia="Arial" w:hAnsi="Arial"/>
          <w:b/>
          <w:bCs/>
          <w:color w:val="2E86C1"/>
          <w:sz w:val="26"/>
          <w:szCs w:val="26"/>
        </w:rPr>
        <w:t xml:space="preserve">4.2  Customer Segmentation Logic</w:t>
      </w:r>
    </w:p>
    <w:p>
      <w:pPr>
        <w:spacing w:after="100" w:before="60"/>
      </w:pPr>
      <w:r>
        <w:rPr>
          <w:rFonts w:ascii="Arial" w:cs="Arial" w:eastAsia="Arial" w:hAnsi="Arial"/>
          <w:color w:val="1C1C1C"/>
          <w:sz w:val="22"/>
          <w:szCs w:val="22"/>
        </w:rPr>
        <w:t xml:space="preserve">Customers were classified into three segments based on their Previous Purchases field, enabling targeted marketing strategies:</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40"/>
        <w:gridCol w:w="5160"/>
      </w:tblGrid>
      <w:tr>
        <w:trPr>
          <w:tblHeader/>
        </w:trPr>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Segment</w:t>
            </w:r>
          </w:p>
        </w:tc>
        <w:tc>
          <w:tcPr>
            <w:tcW w:type="dxa" w:w="26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Criteria</w:t>
            </w:r>
          </w:p>
        </w:tc>
        <w:tc>
          <w:tcPr>
            <w:tcW w:type="dxa" w:w="5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Strategic Implication</w:t>
            </w:r>
          </w:p>
        </w:tc>
      </w:tr>
      <w:tr>
        <w:tc>
          <w:tcPr>
            <w:tcW w:type="dxa" w:w="156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New</w:t>
            </w:r>
          </w:p>
        </w:tc>
        <w:tc>
          <w:tcPr>
            <w:tcW w:type="dxa" w:w="264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0 previous purchases</w:t>
            </w:r>
          </w:p>
        </w:tc>
        <w:tc>
          <w:tcPr>
            <w:tcW w:type="dxa" w:w="516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Onboarding focus; first-purchase incentives</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Returning</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1-5 previous purchases</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Engagement programs; cross-sell opportunities</w:t>
            </w:r>
          </w:p>
        </w:tc>
      </w:tr>
      <w:tr>
        <w:tc>
          <w:tcPr>
            <w:tcW w:type="dxa" w:w="156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Loyal</w:t>
            </w:r>
          </w:p>
        </w:tc>
        <w:tc>
          <w:tcPr>
            <w:tcW w:type="dxa" w:w="264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6+ previous purchases</w:t>
            </w:r>
          </w:p>
        </w:tc>
        <w:tc>
          <w:tcPr>
            <w:tcW w:type="dxa" w:w="516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Retention rewards; subscription conversion priority</w:t>
            </w:r>
          </w:p>
        </w:tc>
      </w:tr>
    </w:tbl>
    <w:p>
      <w:pPr>
        <w:spacing w:after="120" w:before="200"/>
      </w:pPr>
    </w:p>
    <w:p>
      <w:pPr>
        <w:pStyle w:val="Heading1"/>
        <w:spacing w:after="80" w:before="320"/>
      </w:pPr>
      <w:r>
        <w:rPr>
          <w:rFonts w:ascii="Arial" w:cs="Arial" w:eastAsia="Arial" w:hAnsi="Arial"/>
          <w:b/>
          <w:bCs/>
          <w:color w:val="1A5276"/>
          <w:sz w:val="32"/>
          <w:szCs w:val="32"/>
        </w:rPr>
        <w:t xml:space="preserve">5.  Visualisation &amp; Dashboard — Power BI</w:t>
      </w:r>
    </w:p>
    <w:p>
      <w:pPr>
        <w:pBdr>
          <w:bottom w:val="single" w:color="2E86C1" w:sz="8" w:space="1"/>
        </w:pBdr>
        <w:spacing w:after="280" w:before="60"/>
      </w:pPr>
    </w:p>
    <w:p>
      <w:pPr>
        <w:spacing w:after="100" w:before="60"/>
      </w:pPr>
      <w:r>
        <w:rPr>
          <w:rFonts w:ascii="Arial" w:cs="Arial" w:eastAsia="Arial" w:hAnsi="Arial"/>
          <w:color w:val="1C1C1C"/>
          <w:sz w:val="22"/>
          <w:szCs w:val="22"/>
        </w:rPr>
        <w:t xml:space="preserve">An interactive Power BI dashboard was built to translate analytical findings into stakeholder-ready visuals. The dashboard enables self-service exploration of key purchasing trends and customer segments.</w:t>
      </w:r>
    </w:p>
    <w:p>
      <w:pPr>
        <w:spacing w:after="120" w:before="100"/>
      </w:pPr>
    </w:p>
    <w:p>
      <w:pPr>
        <w:pStyle w:val="Heading2"/>
        <w:spacing w:after="60" w:before="240"/>
      </w:pPr>
      <w:r>
        <w:rPr>
          <w:rFonts w:ascii="Arial" w:cs="Arial" w:eastAsia="Arial" w:hAnsi="Arial"/>
          <w:b/>
          <w:bCs/>
          <w:color w:val="2E86C1"/>
          <w:sz w:val="26"/>
          <w:szCs w:val="26"/>
        </w:rPr>
        <w:t xml:space="preserve">5.1  Dashboard Page Reference</w:t>
      </w:r>
    </w:p>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W w:type="dxa" w:w="2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Page</w:t>
            </w:r>
          </w:p>
        </w:tc>
        <w:tc>
          <w:tcPr>
            <w:tcW w:type="dxa" w:w="2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Primary Audience</w:t>
            </w:r>
          </w:p>
        </w:tc>
        <w:tc>
          <w:tcPr>
            <w:tcW w:type="dxa" w:w="50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Core Question Answered</w:t>
            </w:r>
          </w:p>
        </w:tc>
      </w:tr>
      <w:tr>
        <w:tc>
          <w:tcPr>
            <w:tcW w:type="dxa" w:w="216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Overview / Home</w:t>
            </w:r>
          </w:p>
        </w:tc>
        <w:tc>
          <w:tcPr>
            <w:tcW w:type="dxa" w:w="216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All stakeholders</w:t>
            </w:r>
          </w:p>
        </w:tc>
        <w:tc>
          <w:tcPr>
            <w:tcW w:type="dxa" w:w="504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What does this dashboard cover and what are the headline KPIs?</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Customer Demographics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Marketing team</w:t>
            </w:r>
          </w:p>
        </w:tc>
        <w:tc>
          <w:tcPr>
            <w:tcW w:type="dxa" w:w="5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Who are our customers by age, gender, and location?</w:t>
            </w:r>
          </w:p>
        </w:tc>
      </w:tr>
      <w:tr>
        <w:tc>
          <w:tcPr>
            <w:tcW w:type="dxa" w:w="216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Purchase Behaviour</w:t>
            </w:r>
          </w:p>
        </w:tc>
        <w:tc>
          <w:tcPr>
            <w:tcW w:type="dxa" w:w="216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Sales &amp; Category managers</w:t>
            </w:r>
          </w:p>
        </w:tc>
        <w:tc>
          <w:tcPr>
            <w:tcW w:type="dxa" w:w="504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When, what, and how are customers buying?</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Discount &amp; Loyalty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Promotions team</w:t>
            </w:r>
          </w:p>
        </w:tc>
        <w:tc>
          <w:tcPr>
            <w:tcW w:type="dxa" w:w="5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Are discounts driving incremental revenue or eroding margin?</w:t>
            </w:r>
          </w:p>
        </w:tc>
      </w:tr>
      <w:tr>
        <w:tc>
          <w:tcPr>
            <w:tcW w:type="dxa" w:w="216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Customer Segments</w:t>
            </w:r>
          </w:p>
        </w:tc>
        <w:tc>
          <w:tcPr>
            <w:tcW w:type="dxa" w:w="216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CRM / Retention team</w:t>
            </w:r>
          </w:p>
        </w:tc>
        <w:tc>
          <w:tcPr>
            <w:tcW w:type="dxa" w:w="504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How are New, Returning, and Loyal customers performing?</w:t>
            </w:r>
          </w:p>
        </w:tc>
      </w:tr>
    </w:tbl>
    <w:p>
      <w:pPr>
        <w:spacing w:after="120" w:before="160"/>
      </w:pPr>
    </w:p>
    <w:p>
      <w:pPr>
        <w:pStyle w:val="Heading2"/>
        <w:spacing w:after="60" w:before="240"/>
      </w:pPr>
      <w:r>
        <w:rPr>
          <w:rFonts w:ascii="Arial" w:cs="Arial" w:eastAsia="Arial" w:hAnsi="Arial"/>
          <w:b/>
          <w:bCs/>
          <w:color w:val="2E86C1"/>
          <w:sz w:val="26"/>
          <w:szCs w:val="26"/>
        </w:rPr>
        <w:t xml:space="preserve">5.2  Key Visuals</w:t>
      </w:r>
    </w:p>
    <w:p>
      <w:pPr>
        <w:pStyle w:val="ListParagraph"/>
        <w:numPr>
          <w:ilvl w:val="0"/>
          <w:numId w:val="2"/>
        </w:numPr>
        <w:spacing w:after="40" w:before="40"/>
      </w:pPr>
      <w:r>
        <w:rPr>
          <w:rFonts w:ascii="Arial" w:cs="Arial" w:eastAsia="Arial" w:hAnsi="Arial"/>
          <w:color w:val="1C1C1C"/>
          <w:sz w:val="22"/>
          <w:szCs w:val="22"/>
        </w:rPr>
        <w:t xml:space="preserve">Revenue by gender and age group — bar charts with cross-filter slicers</w:t>
      </w:r>
    </w:p>
    <w:p>
      <w:pPr>
        <w:pStyle w:val="ListParagraph"/>
        <w:numPr>
          <w:ilvl w:val="0"/>
          <w:numId w:val="2"/>
        </w:numPr>
        <w:spacing w:after="40" w:before="40"/>
      </w:pPr>
      <w:r>
        <w:rPr>
          <w:rFonts w:ascii="Arial" w:cs="Arial" w:eastAsia="Arial" w:hAnsi="Arial"/>
          <w:color w:val="1C1C1C"/>
          <w:sz w:val="22"/>
          <w:szCs w:val="22"/>
        </w:rPr>
        <w:t xml:space="preserve">Seasonal purchase volume — line chart across Spring, Summer, Autumn, Winter</w:t>
      </w:r>
    </w:p>
    <w:p>
      <w:pPr>
        <w:pStyle w:val="ListParagraph"/>
        <w:numPr>
          <w:ilvl w:val="0"/>
          <w:numId w:val="2"/>
        </w:numPr>
        <w:spacing w:after="40" w:before="40"/>
      </w:pPr>
      <w:r>
        <w:rPr>
          <w:rFonts w:ascii="Arial" w:cs="Arial" w:eastAsia="Arial" w:hAnsi="Arial"/>
          <w:color w:val="1C1C1C"/>
          <w:sz w:val="22"/>
          <w:szCs w:val="22"/>
        </w:rPr>
        <w:t xml:space="preserve">Category breakdown — treemap by purchase count and average spend</w:t>
      </w:r>
    </w:p>
    <w:p>
      <w:pPr>
        <w:pStyle w:val="ListParagraph"/>
        <w:numPr>
          <w:ilvl w:val="0"/>
          <w:numId w:val="2"/>
        </w:numPr>
        <w:spacing w:after="40" w:before="40"/>
      </w:pPr>
      <w:r>
        <w:rPr>
          <w:rFonts w:ascii="Arial" w:cs="Arial" w:eastAsia="Arial" w:hAnsi="Arial"/>
          <w:color w:val="1C1C1C"/>
          <w:sz w:val="22"/>
          <w:szCs w:val="22"/>
        </w:rPr>
        <w:t xml:space="preserve">Discount impact matrix — side-by-side comparison of discounted vs. full-price revenue</w:t>
      </w:r>
    </w:p>
    <w:p>
      <w:pPr>
        <w:pStyle w:val="ListParagraph"/>
        <w:numPr>
          <w:ilvl w:val="0"/>
          <w:numId w:val="2"/>
        </w:numPr>
        <w:spacing w:after="40" w:before="40"/>
      </w:pPr>
      <w:r>
        <w:rPr>
          <w:rFonts w:ascii="Arial" w:cs="Arial" w:eastAsia="Arial" w:hAnsi="Arial"/>
          <w:color w:val="1C1C1C"/>
          <w:sz w:val="22"/>
          <w:szCs w:val="22"/>
        </w:rPr>
        <w:t xml:space="preserve">Customer segment KPI cards — total count, average purchase amount, and revenue contribution</w:t>
      </w:r>
    </w:p>
    <w:p>
      <w:pPr>
        <w:pStyle w:val="ListParagraph"/>
        <w:numPr>
          <w:ilvl w:val="0"/>
          <w:numId w:val="2"/>
        </w:numPr>
        <w:spacing w:after="40" w:before="40"/>
      </w:pPr>
      <w:r>
        <w:rPr>
          <w:rFonts w:ascii="Arial" w:cs="Arial" w:eastAsia="Arial" w:hAnsi="Arial"/>
          <w:color w:val="1C1C1C"/>
          <w:sz w:val="22"/>
          <w:szCs w:val="22"/>
        </w:rPr>
        <w:t xml:space="preserve">Subscription status funnel — conversion view from Returning to Loyal to Subscriber</w:t>
      </w:r>
    </w:p>
    <w:p>
      <w:pPr>
        <w:spacing w:after="120" w:before="200"/>
      </w:pPr>
    </w:p>
    <w:p>
      <w:pPr>
        <w:pStyle w:val="Heading1"/>
        <w:spacing w:after="80" w:before="320"/>
      </w:pPr>
      <w:r>
        <w:rPr>
          <w:rFonts w:ascii="Arial" w:cs="Arial" w:eastAsia="Arial" w:hAnsi="Arial"/>
          <w:b/>
          <w:bCs/>
          <w:color w:val="1A5276"/>
          <w:sz w:val="32"/>
          <w:szCs w:val="32"/>
        </w:rPr>
        <w:t xml:space="preserve">6.  Key Insights</w:t>
      </w:r>
    </w:p>
    <w:p>
      <w:pPr>
        <w:pBdr>
          <w:bottom w:val="single" w:color="2E86C1" w:sz="8" w:space="1"/>
        </w:pBdr>
        <w:spacing w:after="280" w:before="60"/>
      </w:pPr>
    </w:p>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3200"/>
        <w:gridCol w:w="5880"/>
      </w:tblGrid>
      <w:tr>
        <w:trPr>
          <w:tblHeader/>
        </w:trPr>
        <w:tc>
          <w:tcPr>
            <w:tcW w:type="dxa" w:w="2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Insight</w:t>
            </w:r>
          </w:p>
        </w:tc>
        <w:tc>
          <w:tcPr>
            <w:tcW w:type="dxa" w:w="58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Business Significance</w:t>
            </w:r>
          </w:p>
        </w:tc>
      </w:tr>
      <w:tr>
        <w:tc>
          <w:tcPr>
            <w:tcW w:type="dxa" w:w="2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1</w:t>
            </w:r>
          </w:p>
        </w:tc>
        <w:tc>
          <w:tcPr>
            <w:tcW w:type="dxa" w:w="320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Subscribers generate disproportionately higher average spend than non-subscribers</w:t>
            </w:r>
          </w:p>
        </w:tc>
        <w:tc>
          <w:tcPr>
            <w:tcW w:type="dxa" w:w="58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Subscription conversion is a high-leverage revenue driver; even modest uplift in subscription rate meaningfully increases total revenue.</w:t>
            </w:r>
          </w:p>
        </w:tc>
      </w:tr>
      <w:tr>
        <w:tc>
          <w:tcPr>
            <w:tcW w:type="dxa" w:w="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Customers with 5+ previous purchases are significantly more likely to hold a subscription</w:t>
            </w:r>
          </w:p>
        </w:tc>
        <w:tc>
          <w:tcPr>
            <w:tcW w:type="dxa" w:w="5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Repeat buying behaviour predicts subscription uptake, making Loyal-segment customers the priority audience for subscription campaigns.</w:t>
            </w:r>
          </w:p>
        </w:tc>
      </w:tr>
      <w:tr>
        <w:tc>
          <w:tcPr>
            <w:tcW w:type="dxa" w:w="2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3</w:t>
            </w:r>
          </w:p>
        </w:tc>
        <w:tc>
          <w:tcPr>
            <w:tcW w:type="dxa" w:w="320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Discount-dependent products show high purchase volume but concentration risk</w:t>
            </w:r>
          </w:p>
        </w:tc>
        <w:tc>
          <w:tcPr>
            <w:tcW w:type="dxa" w:w="58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Five products account for a disproportionate share of discounted transactions; margin erosion risk if discounts are applied uniformly rather than selectively.</w:t>
            </w:r>
          </w:p>
        </w:tc>
      </w:tr>
      <w:tr>
        <w:tc>
          <w:tcPr>
            <w:tcW w:type="dxa" w:w="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Express shipping customers exhibit higher average purchase amounts than Standard shipping users</w:t>
            </w:r>
          </w:p>
        </w:tc>
        <w:tc>
          <w:tcPr>
            <w:tcW w:type="dxa" w:w="5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Shipping preference is a signal of premium intent; Express-shipping customers are a natural audience for higher-ticket product promotions.</w:t>
            </w:r>
          </w:p>
        </w:tc>
      </w:tr>
      <w:tr>
        <w:tc>
          <w:tcPr>
            <w:tcW w:type="dxa" w:w="2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5</w:t>
            </w:r>
          </w:p>
        </w:tc>
        <w:tc>
          <w:tcPr>
            <w:tcW w:type="dxa" w:w="320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Top-rated products are not always top-selling products</w:t>
            </w:r>
          </w:p>
        </w:tc>
        <w:tc>
          <w:tcPr>
            <w:tcW w:type="dxa" w:w="58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Rating and volume diverge in several categories, indicating an untapped opportunity to promote highly-rated products that currently under-index on purchase volume.</w:t>
            </w:r>
          </w:p>
        </w:tc>
      </w:tr>
      <w:tr>
        <w:tc>
          <w:tcPr>
            <w:tcW w:type="dxa" w:w="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Revenue contribution varies materially by age group</w:t>
            </w:r>
          </w:p>
        </w:tc>
        <w:tc>
          <w:tcPr>
            <w:tcW w:type="dxa" w:w="5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Specific age bands drive a disproportionate share of revenue, enabling more efficient paid media and direct marketing budget allocation.</w:t>
            </w:r>
          </w:p>
        </w:tc>
      </w:tr>
    </w:tbl>
    <w:p>
      <w:pPr>
        <w:spacing w:after="120" w:before="200"/>
      </w:pPr>
    </w:p>
    <w:p>
      <w:pPr>
        <w:pStyle w:val="Heading1"/>
        <w:spacing w:after="80" w:before="320"/>
      </w:pPr>
      <w:r>
        <w:rPr>
          <w:rFonts w:ascii="Arial" w:cs="Arial" w:eastAsia="Arial" w:hAnsi="Arial"/>
          <w:b/>
          <w:bCs/>
          <w:color w:val="1A5276"/>
          <w:sz w:val="32"/>
          <w:szCs w:val="32"/>
        </w:rPr>
        <w:t xml:space="preserve">7.  Business Recommendations</w:t>
      </w:r>
    </w:p>
    <w:p>
      <w:pPr>
        <w:pBdr>
          <w:bottom w:val="single" w:color="2E86C1" w:sz="8" w:space="1"/>
        </w:pBdr>
        <w:spacing w:after="280" w:before="60"/>
      </w:pPr>
    </w:p>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3000"/>
        <w:gridCol w:w="2800"/>
        <w:gridCol w:w="3280"/>
      </w:tblGrid>
      <w:tr>
        <w:trPr>
          <w:tblHeader/>
        </w:trPr>
        <w:tc>
          <w:tcPr>
            <w:tcW w:type="dxa" w:w="2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Recommendation</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Insight Basis</w:t>
            </w:r>
          </w:p>
        </w:tc>
        <w:tc>
          <w:tcPr>
            <w:tcW w:type="dxa" w:w="32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Expected Impact</w:t>
            </w:r>
          </w:p>
        </w:tc>
      </w:tr>
      <w:tr>
        <w:tc>
          <w:tcPr>
            <w:tcW w:type="dxa" w:w="2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R1</w:t>
            </w:r>
          </w:p>
        </w:tc>
        <w:tc>
          <w:tcPr>
            <w:tcW w:type="dxa" w:w="300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Boost Subscription Conversion
Launch a targeted subscription campaign for Returning-segment customers (1-5 purchases), highlighting exclusive subscriber benefits and early access to new products.</w:t>
            </w:r>
          </w:p>
        </w:tc>
        <w:tc>
          <w:tcPr>
            <w:tcW w:type="dxa" w:w="280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Loyal customers with 5+ purchases are measurably more likely to subscribe; the Returning segment represents the largest conversion opportunity.</w:t>
            </w:r>
          </w:p>
        </w:tc>
        <w:tc>
          <w:tcPr>
            <w:tcW w:type="dxa" w:w="32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Increases recurring revenue base; reduces dependency on one-off promotional spend to drive repeat visits.</w:t>
            </w:r>
          </w:p>
        </w:tc>
      </w:tr>
      <w:tr>
        <w:tc>
          <w:tcPr>
            <w:tcW w:type="dxa" w:w="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R2</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Implement a Customer Loyalty Programme
Introduce a points-based rewards scheme that moves customers from Returning to Loyal status faster by rewarding frequency of purchase, not just spend value.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Customer segmentation analysis shows a clear drop-off between Returning and Loyal segments; a structured programme can close this gap.</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Increases average purchase frequency; raises lifetime value across the mid-tier customer cohort.</w:t>
            </w:r>
          </w:p>
        </w:tc>
      </w:tr>
      <w:tr>
        <w:tc>
          <w:tcPr>
            <w:tcW w:type="dxa" w:w="2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R3</w:t>
            </w:r>
          </w:p>
        </w:tc>
        <w:tc>
          <w:tcPr>
            <w:tcW w:type="dxa" w:w="300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Review Discount Policy by Product
Replace blanket discount offers with product-specific promotions, limiting high-discount usage to products with genuine elasticity evidence.</w:t>
            </w:r>
          </w:p>
        </w:tc>
        <w:tc>
          <w:tcPr>
            <w:tcW w:type="dxa" w:w="280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Five products account for a disproportionate share of discounted transactions without commensurate uplift in non-discount revenue.</w:t>
            </w:r>
          </w:p>
        </w:tc>
        <w:tc>
          <w:tcPr>
            <w:tcW w:type="dxa" w:w="32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Protects gross margin while maintaining promotional appeal; reduces training of discount-dependent purchase behaviour.</w:t>
            </w:r>
          </w:p>
        </w:tc>
      </w:tr>
      <w:tr>
        <w:tc>
          <w:tcPr>
            <w:tcW w:type="dxa" w:w="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R4</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Promote Top-Rated, Under-Purchased Products
Use editorial and campaign placement to surface highly-rated products that currently under-index on sales volume.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Rating and volume diverge in multiple categories; high-rated products represent a trust-validated, low-acquisition-cost promotional opportunity.</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Lifts revenue from existing inventory without price reduction; improves average review score visibility across the catalogue.</w:t>
            </w:r>
          </w:p>
        </w:tc>
      </w:tr>
      <w:tr>
        <w:tc>
          <w:tcPr>
            <w:tcW w:type="dxa" w:w="2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R5</w:t>
            </w:r>
          </w:p>
        </w:tc>
        <w:tc>
          <w:tcPr>
            <w:tcW w:type="dxa" w:w="300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Targeted Marketing by Age and Shipping Preference
Concentrate paid acquisition and re-engagement budgets on the highest-revenue age bands and leverage Express-shipping preference as a premium intent signal for upsell.</w:t>
            </w:r>
          </w:p>
        </w:tc>
        <w:tc>
          <w:tcPr>
            <w:tcW w:type="dxa" w:w="280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Age group revenue analysis and shipping-type spend correlation both indicate measurable differences in customer value across segments.</w:t>
            </w:r>
          </w:p>
        </w:tc>
        <w:tc>
          <w:tcPr>
            <w:tcW w:type="dxa" w:w="32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Improves marketing ROI by reducing spend on lower-value segments; increases average order value through intent-aligned targeting.</w:t>
            </w:r>
          </w:p>
        </w:tc>
      </w:tr>
    </w:tbl>
    <w:p>
      <w:pPr>
        <w:spacing w:after="120" w:before="200"/>
      </w:pPr>
    </w:p>
    <w:p>
      <w:pPr>
        <w:pStyle w:val="Heading1"/>
        <w:spacing w:after="80" w:before="320"/>
      </w:pPr>
      <w:r>
        <w:rPr>
          <w:rFonts w:ascii="Arial" w:cs="Arial" w:eastAsia="Arial" w:hAnsi="Arial"/>
          <w:b/>
          <w:bCs/>
          <w:color w:val="1A5276"/>
          <w:sz w:val="32"/>
          <w:szCs w:val="32"/>
        </w:rPr>
        <w:t xml:space="preserve">8.  Project Deliverables</w:t>
      </w:r>
    </w:p>
    <w:p>
      <w:pPr>
        <w:pBdr>
          <w:bottom w:val="single" w:color="2E86C1" w:sz="8" w:space="1"/>
        </w:pBdr>
        <w:spacing w:after="280" w:before="60"/>
      </w:pPr>
    </w:p>
    <w:p>
      <w:pPr>
        <w:spacing w:after="100" w:before="60"/>
      </w:pPr>
      <w:r>
        <w:rPr>
          <w:rFonts w:ascii="Arial" w:cs="Arial" w:eastAsia="Arial" w:hAnsi="Arial"/>
          <w:color w:val="1C1C1C"/>
          <w:sz w:val="22"/>
          <w:szCs w:val="22"/>
        </w:rPr>
        <w:t xml:space="preserve">All five project deliverables have been completed and are available in the project's GitHub repository.</w:t>
      </w:r>
    </w:p>
    <w:p>
      <w:pPr>
        <w:spacing w:after="12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3120"/>
        <w:gridCol w:w="2640"/>
        <w:gridCol w:w="3320"/>
      </w:tblGrid>
      <w:tr>
        <w:trPr>
          <w:tblHeader/>
        </w:trPr>
        <w:tc>
          <w:tcPr>
            <w:tcW w:type="dxa" w:w="2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Deliverable</w:t>
            </w:r>
          </w:p>
        </w:tc>
        <w:tc>
          <w:tcPr>
            <w:tcW w:type="dxa" w:w="26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Tool / Format</w:t>
            </w:r>
          </w:p>
        </w:tc>
        <w:tc>
          <w:tcPr>
            <w:tcW w:type="dxa" w:w="33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W w:type="dxa" w:w="2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1</w:t>
            </w:r>
          </w:p>
        </w:tc>
        <w:tc>
          <w:tcPr>
            <w:tcW w:type="dxa" w:w="312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Data Preparation &amp; Modelling</w:t>
            </w:r>
          </w:p>
        </w:tc>
        <w:tc>
          <w:tcPr>
            <w:tcW w:type="dxa" w:w="264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Python (pandas, SQLAlchemy)</w:t>
            </w:r>
          </w:p>
        </w:tc>
        <w:tc>
          <w:tcPr>
            <w:tcW w:type="dxa" w:w="332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Complete</w:t>
            </w:r>
          </w:p>
        </w:tc>
      </w:tr>
      <w:tr>
        <w:tc>
          <w:tcPr>
            <w:tcW w:type="dxa" w:w="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Data Analysis — Business Transactions</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MySQL (10 structured queries)</w:t>
            </w:r>
          </w:p>
        </w:tc>
        <w:tc>
          <w:tcPr>
            <w:tcW w:type="dxa" w:w="3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Complete</w:t>
            </w:r>
          </w:p>
        </w:tc>
      </w:tr>
      <w:tr>
        <w:tc>
          <w:tcPr>
            <w:tcW w:type="dxa" w:w="2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3</w:t>
            </w:r>
          </w:p>
        </w:tc>
        <w:tc>
          <w:tcPr>
            <w:tcW w:type="dxa" w:w="312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Visualisation &amp; Interactive Dashboard</w:t>
            </w:r>
          </w:p>
        </w:tc>
        <w:tc>
          <w:tcPr>
            <w:tcW w:type="dxa" w:w="264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Power BI (.pbix)</w:t>
            </w:r>
          </w:p>
        </w:tc>
        <w:tc>
          <w:tcPr>
            <w:tcW w:type="dxa" w:w="332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Complete</w:t>
            </w:r>
          </w:p>
        </w:tc>
      </w:tr>
      <w:tr>
        <w:tc>
          <w:tcPr>
            <w:tcW w:type="dxa" w:w="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Project Report &amp; Presentation</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Word Document / Slides</w:t>
            </w:r>
          </w:p>
        </w:tc>
        <w:tc>
          <w:tcPr>
            <w:tcW w:type="dxa" w:w="3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C1C1C"/>
                <w:sz w:val="20"/>
                <w:szCs w:val="20"/>
              </w:rPr>
              <w:t xml:space="preserve">Complete</w:t>
            </w:r>
          </w:p>
        </w:tc>
      </w:tr>
      <w:tr>
        <w:tc>
          <w:tcPr>
            <w:tcW w:type="dxa" w:w="28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5</w:t>
            </w:r>
          </w:p>
        </w:tc>
        <w:tc>
          <w:tcPr>
            <w:tcW w:type="dxa" w:w="312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GitHub Repository</w:t>
            </w:r>
          </w:p>
        </w:tc>
        <w:tc>
          <w:tcPr>
            <w:tcW w:type="dxa" w:w="264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Python scripts, SQL files, .pbix, report</w:t>
            </w:r>
          </w:p>
        </w:tc>
        <w:tc>
          <w:tcPr>
            <w:tcW w:type="dxa" w:w="3320"/>
            <w:tcBorders>
              <w:top w:val="single" w:color="CCCCCC" w:sz="1"/>
              <w:left w:val="single" w:color="CCCCCC" w:sz="1"/>
              <w:bottom w:val="single" w:color="CCCCCC" w:sz="1"/>
              <w:right w:val="single" w:color="CCCCCC" w:sz="1"/>
            </w:tcBorders>
            <w:shd w:fill="F4F8FC" w:val="clear"/>
            <w:tcMar>
              <w:top w:type="dxa" w:w="70"/>
              <w:left w:type="dxa" w:w="120"/>
              <w:bottom w:type="dxa" w:w="70"/>
              <w:right w:type="dxa" w:w="120"/>
            </w:tcMar>
          </w:tcPr>
          <w:p>
            <w:r>
              <w:rPr>
                <w:rFonts w:ascii="Arial" w:cs="Arial" w:eastAsia="Arial" w:hAnsi="Arial"/>
                <w:color w:val="1C1C1C"/>
                <w:sz w:val="20"/>
                <w:szCs w:val="20"/>
              </w:rPr>
              <w:t xml:space="preserve">Complete</w:t>
            </w:r>
          </w:p>
        </w:tc>
      </w:tr>
    </w:tbl>
    <w:p>
      <w:pPr>
        <w:spacing w:after="120" w:before="200"/>
      </w:pPr>
    </w:p>
    <w:p>
      <w:pPr>
        <w:pStyle w:val="Heading1"/>
        <w:spacing w:after="80" w:before="320"/>
      </w:pPr>
      <w:r>
        <w:rPr>
          <w:rFonts w:ascii="Arial" w:cs="Arial" w:eastAsia="Arial" w:hAnsi="Arial"/>
          <w:b/>
          <w:bCs/>
          <w:color w:val="1A5276"/>
          <w:sz w:val="32"/>
          <w:szCs w:val="32"/>
        </w:rPr>
        <w:t xml:space="preserve">9.  Exploratory Data Analysis Summary</w:t>
      </w:r>
    </w:p>
    <w:p>
      <w:pPr>
        <w:pBdr>
          <w:bottom w:val="single" w:color="2E86C1" w:sz="8" w:space="1"/>
        </w:pBdr>
        <w:spacing w:after="280" w:before="60"/>
      </w:pPr>
    </w:p>
    <w:p>
      <w:pPr>
        <w:spacing w:after="100" w:before="60"/>
      </w:pPr>
      <w:r>
        <w:rPr>
          <w:rFonts w:ascii="Arial" w:cs="Arial" w:eastAsia="Arial" w:hAnsi="Arial"/>
          <w:color w:val="1C1C1C"/>
          <w:sz w:val="22"/>
          <w:szCs w:val="22"/>
        </w:rPr>
        <w:t xml:space="preserve">Python-based exploratory analysis using pandas was conducted prior to SQL querying and Power BI modelling. The following patterns were validated during the EDA phase:</w:t>
      </w:r>
    </w:p>
    <w:p>
      <w:pPr>
        <w:spacing w:after="120" w:before="100"/>
      </w:pPr>
    </w:p>
    <w:p>
      <w:pPr>
        <w:pStyle w:val="ListParagraph"/>
        <w:numPr>
          <w:ilvl w:val="0"/>
          <w:numId w:val="2"/>
        </w:numPr>
        <w:spacing w:after="40" w:before="40"/>
      </w:pPr>
      <w:r>
        <w:rPr>
          <w:rFonts w:ascii="Arial" w:cs="Arial" w:eastAsia="Arial" w:hAnsi="Arial"/>
          <w:color w:val="1C1C1C"/>
          <w:sz w:val="22"/>
          <w:szCs w:val="22"/>
        </w:rPr>
        <w:t xml:space="preserve">Discount Applied and Promo Code Used were found to be near-perfectly collinear; Promo Code Used was dropped to avoid redundancy in the model.</w:t>
      </w:r>
    </w:p>
    <w:p>
      <w:pPr>
        <w:pStyle w:val="ListParagraph"/>
        <w:numPr>
          <w:ilvl w:val="0"/>
          <w:numId w:val="2"/>
        </w:numPr>
        <w:spacing w:after="40" w:before="40"/>
      </w:pPr>
      <w:r>
        <w:rPr>
          <w:rFonts w:ascii="Arial" w:cs="Arial" w:eastAsia="Arial" w:hAnsi="Arial"/>
          <w:color w:val="1C1C1C"/>
          <w:sz w:val="22"/>
          <w:szCs w:val="22"/>
        </w:rPr>
        <w:t xml:space="preserve">Review Rating had 37 missing values (less than 1% of records); median imputation by product category preserved the distribution without introducing bias.</w:t>
      </w:r>
    </w:p>
    <w:p>
      <w:pPr>
        <w:pStyle w:val="ListParagraph"/>
        <w:numPr>
          <w:ilvl w:val="0"/>
          <w:numId w:val="2"/>
        </w:numPr>
        <w:spacing w:after="40" w:before="40"/>
      </w:pPr>
      <w:r>
        <w:rPr>
          <w:rFonts w:ascii="Arial" w:cs="Arial" w:eastAsia="Arial" w:hAnsi="Arial"/>
          <w:color w:val="1C1C1C"/>
          <w:sz w:val="22"/>
          <w:szCs w:val="22"/>
        </w:rPr>
        <w:t xml:space="preserve">Age distribution is relatively uniform across the dataset; no single age group is over- or under-represented enough to distort segment-level analysis.</w:t>
      </w:r>
    </w:p>
    <w:p>
      <w:pPr>
        <w:pStyle w:val="ListParagraph"/>
        <w:numPr>
          <w:ilvl w:val="0"/>
          <w:numId w:val="2"/>
        </w:numPr>
        <w:spacing w:after="40" w:before="40"/>
      </w:pPr>
      <w:r>
        <w:rPr>
          <w:rFonts w:ascii="Arial" w:cs="Arial" w:eastAsia="Arial" w:hAnsi="Arial"/>
          <w:color w:val="1C1C1C"/>
          <w:sz w:val="22"/>
          <w:szCs w:val="22"/>
        </w:rPr>
        <w:t xml:space="preserve">Purchase Amount distribution is right-skewed, with a long tail of high-value transactions concentrated in specific categories.</w:t>
      </w:r>
    </w:p>
    <w:p>
      <w:pPr>
        <w:pStyle w:val="ListParagraph"/>
        <w:numPr>
          <w:ilvl w:val="0"/>
          <w:numId w:val="2"/>
        </w:numPr>
        <w:spacing w:after="40" w:before="40"/>
      </w:pPr>
      <w:r>
        <w:rPr>
          <w:rFonts w:ascii="Arial" w:cs="Arial" w:eastAsia="Arial" w:hAnsi="Arial"/>
          <w:color w:val="1C1C1C"/>
          <w:sz w:val="22"/>
          <w:szCs w:val="22"/>
        </w:rPr>
        <w:t xml:space="preserve">Seasonal variation in purchase volume is visible across all four seasons, with certain categories showing strong seasonal concentration.</w:t>
      </w:r>
    </w:p>
    <w:p>
      <w:pPr>
        <w:pStyle w:val="ListParagraph"/>
        <w:numPr>
          <w:ilvl w:val="0"/>
          <w:numId w:val="2"/>
        </w:numPr>
        <w:spacing w:after="40" w:before="40"/>
      </w:pPr>
      <w:r>
        <w:rPr>
          <w:rFonts w:ascii="Arial" w:cs="Arial" w:eastAsia="Arial" w:hAnsi="Arial"/>
          <w:color w:val="1C1C1C"/>
          <w:sz w:val="22"/>
          <w:szCs w:val="22"/>
        </w:rPr>
        <w:t xml:space="preserve">Previous Purchases values follow a distribution consistent with a real-world customer base: the majority of customers fall in the 1-5 purchase range (Returning segment).</w:t>
      </w:r>
    </w:p>
    <w:p>
      <w:pPr>
        <w:spacing w:after="120" w:before="200"/>
      </w:pPr>
    </w:p>
    <w:p>
      <w:pPr>
        <w:pBdr>
          <w:top w:val="single" w:color="1A5276" w:sz="8" w:space="8"/>
        </w:pBdr>
        <w:spacing w:after="80" w:before="200"/>
      </w:pPr>
      <w:r>
        <w:rPr>
          <w:rFonts w:ascii="Arial" w:cs="Arial" w:eastAsia="Arial" w:hAnsi="Arial"/>
          <w:b/>
          <w:bCs/>
          <w:color w:val="1A5276"/>
          <w:sz w:val="28"/>
          <w:szCs w:val="28"/>
        </w:rPr>
        <w:t xml:space="preserve">Conclusion</w:t>
      </w:r>
    </w:p>
    <w:p>
      <w:pPr>
        <w:spacing w:after="100" w:before="60"/>
      </w:pPr>
      <w:r>
        <w:rPr>
          <w:rFonts w:ascii="Arial" w:cs="Arial" w:eastAsia="Arial" w:hAnsi="Arial"/>
          <w:color w:val="1C1C1C"/>
          <w:sz w:val="22"/>
          <w:szCs w:val="22"/>
        </w:rPr>
        <w:t xml:space="preserve">This analysis demonstrates that the company holds rich, underutilised signal in its transactional data. The five highest-leverage opportunities — subscription conversion, loyalty programme deployment, targeted discount rationalisation, top-rated product promotion, and demographic-aligned marketing — are directly addressable using the insights surfaced through this project. Implementation priority should be given to recommendations R1 and R2, where the data evidence is strongest and the investment required is lowest relative to projected revenue impact.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2"/>
              <w:left w:val="single" w:color="CCCCCC" w:sz="1"/>
              <w:bottom w:val="single" w:color="CCCCCC" w:sz="1"/>
              <w:right w:val="single" w:color="CCCCCC" w:sz="1"/>
            </w:tcBorders>
            <w:shd w:fill="D6EAF8" w:val="clear"/>
            <w:tcMar>
              <w:top w:type="dxa" w:w="120"/>
              <w:left w:type="dxa" w:w="180"/>
              <w:bottom w:type="dxa" w:w="120"/>
              <w:right w:type="dxa" w:w="180"/>
            </w:tcMar>
          </w:tcPr>
          <w:p>
            <w:pPr>
              <w:spacing w:after="40" w:before="0"/>
            </w:pPr>
            <w:r>
              <w:rPr>
                <w:rFonts w:ascii="Arial" w:cs="Arial" w:eastAsia="Arial" w:hAnsi="Arial"/>
                <w:b/>
                <w:bCs/>
                <w:color w:val="1A5276"/>
                <w:sz w:val="20"/>
                <w:szCs w:val="20"/>
              </w:rPr>
              <w:t xml:space="preserve">Academic / Portfolio Use Only</w:t>
            </w:r>
          </w:p>
          <w:p>
            <w:pPr>
              <w:spacing w:after="0" w:before="0"/>
            </w:pPr>
            <w:r>
              <w:rPr>
                <w:rFonts w:ascii="Arial" w:cs="Arial" w:eastAsia="Arial" w:hAnsi="Arial"/>
                <w:color w:val="1C1C1C"/>
                <w:sz w:val="20"/>
                <w:szCs w:val="20"/>
              </w:rPr>
              <w:t xml:space="preserve">This report was prepared as a data analytics project deliverable. All analysis is based on the provided consumer behaviour dataset. Figures are representative of dataset findings and should not be treated as live business performance data.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1"/>
      </w:pBdr>
      <w:tabs>
        <w:tab w:val="right" w:pos="9360"/>
      </w:tabs>
      <w:spacing w:after="0" w:before="80"/>
    </w:pPr>
    <w:r>
      <w:rPr>
        <w:rFonts w:ascii="Arial" w:cs="Arial" w:eastAsia="Arial" w:hAnsi="Arial"/>
        <w:color w:val="5D6D7E"/>
        <w:sz w:val="17"/>
        <w:szCs w:val="17"/>
      </w:rPr>
      <w:t xml:space="preserve">Confidential  |  Academic / Portfolio Use Only</w:t>
    </w:r>
    <w:r>
      <w:rPr>
        <w:rFonts w:ascii="Arial" w:cs="Arial" w:eastAsia="Arial" w:hAnsi="Arial"/>
        <w:color w:val="5D6D7E"/>
        <w:sz w:val="17"/>
        <w:szCs w:val="17"/>
      </w:rPr>
      <w:t xml:space="preserve">	Page </w:t>
    </w:r>
    <w:r>
      <w:rPr>
        <w:rFonts w:ascii="Arial" w:cs="Arial" w:eastAsia="Arial" w:hAnsi="Arial"/>
        <w:color w:val="5D6D7E"/>
        <w:sz w:val="17"/>
        <w:szCs w:val="17"/>
      </w:rPr>
      <w:fldChar w:fldCharType="begin"/>
    </w:r>
    <w:r>
      <w:rPr>
        <w:rFonts w:ascii="Arial" w:cs="Arial" w:eastAsia="Arial" w:hAnsi="Arial"/>
        <w:color w:val="5D6D7E"/>
        <w:sz w:val="17"/>
        <w:szCs w:val="17"/>
      </w:rPr>
      <w:instrText xml:space="preserve"> PAGE </w:instrText>
    </w:r>
    <w:r>
      <w:rPr>
        <w:rFonts w:ascii="Arial" w:cs="Arial" w:eastAsia="Arial" w:hAnsi="Arial"/>
        <w:color w:val="5D6D7E"/>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1"/>
      </w:pBdr>
      <w:spacing w:after="100" w:before="0"/>
    </w:pPr>
    <w:r>
      <w:rPr>
        <w:rFonts w:ascii="Arial" w:cs="Arial" w:eastAsia="Arial" w:hAnsi="Arial"/>
        <w:color w:val="5D6D7E"/>
        <w:sz w:val="18"/>
        <w:szCs w:val="18"/>
      </w:rPr>
      <w:t xml:space="preserve">Customer Shopping Behaviour Analysis  |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Arial" w:cs="Arial" w:eastAsia="Arial" w:hAnsi="Arial"/>
      <w:b/>
      <w:bCs/>
      <w:color w:val="1A5276"/>
      <w:sz w:val="32"/>
      <w:szCs w:val="32"/>
    </w:rPr>
  </w:style>
  <w:style w:type="paragraph" w:styleId="Heading2">
    <w:name w:val="Heading 2"/>
    <w:basedOn w:val="Normal"/>
    <w:next w:val="Normal"/>
    <w:qFormat/>
    <w:pPr>
      <w:spacing w:after="60" w:before="24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2026-04-15T11:33:28.055Z</dcterms:created>
  <dcterms:modified xsi:type="dcterms:W3CDTF">2026-04-15T11:33:28.056Z</dcterms:modified>
</cp:coreProperties>
</file>

<file path=docProps/custom.xml><?xml version="1.0" encoding="utf-8"?>
<Properties xmlns="http://schemas.openxmlformats.org/officeDocument/2006/custom-properties" xmlns:vt="http://schemas.openxmlformats.org/officeDocument/2006/docPropsVTypes"/>
</file>