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rPr>
          <w:rFonts w:ascii="Arial" w:cs="Arial" w:eastAsia="Arial" w:hAnsi="Arial"/>
        </w:rPr>
        <w:t xml:space="preserve"/>
      </w:r>
    </w:p>
    <w:p>
      <w:pPr>
        <w:spacing w:after="80" w:before="0"/>
        <w:jc w:val="center"/>
      </w:pPr>
      <w:r>
        <w:rPr>
          <w:rFonts w:ascii="Arial" w:cs="Arial" w:eastAsia="Arial" w:hAnsi="Arial"/>
          <w:b/>
          <w:bCs/>
          <w:color w:val="E8611A"/>
          <w:sz w:val="64"/>
          <w:szCs w:val="64"/>
        </w:rPr>
        <w:t xml:space="preserve">SWIGGY SALES ANALYTICS</w:t>
      </w:r>
    </w:p>
    <w:p>
      <w:pPr>
        <w:spacing w:after="80" w:before="0"/>
        <w:jc w:val="center"/>
      </w:pPr>
      <w:r>
        <w:rPr>
          <w:rFonts w:ascii="Arial" w:cs="Arial" w:eastAsia="Arial" w:hAnsi="Arial"/>
          <w:i/>
          <w:iCs/>
          <w:color w:val="1A1A2E"/>
          <w:sz w:val="28"/>
          <w:szCs w:val="28"/>
        </w:rPr>
        <w:t xml:space="preserve">End-to-End Data Pipeline using Microsoft Fabric, SQL &amp; Power BI</w:t>
      </w:r>
    </w:p>
    <w:p>
      <w:pPr>
        <w:pBdr>
          <w:bottom w:val="single" w:color="E8611A" w:sz="8" w:space="1"/>
        </w:pBdr>
        <w:spacing w:after="60" w:before="60"/>
      </w:pPr>
      <w:r>
        <w:rPr>
          <w:rFonts w:ascii="Arial" w:cs="Arial" w:eastAsia="Arial" w:hAnsi="Arial"/>
        </w:rPr>
        <w:t xml:space="preserve"/>
      </w:r>
    </w:p>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8611A" w:sz="1"/>
              <w:left w:val="single" w:color="E8611A" w:sz="1"/>
              <w:bottom w:val="single" w:color="E8611A" w:sz="1"/>
              <w:right w:val="single" w:color="E8611A" w:sz="1"/>
            </w:tcBorders>
            <w:shd w:fill="E8611A" w:val="clear"/>
            <w:tcMar>
              <w:top w:type="dxa" w:w="200"/>
              <w:left w:type="dxa" w:w="160"/>
              <w:bottom w:type="dxa" w:w="200"/>
              <w:right w:type="dxa" w:w="160"/>
            </w:tcMar>
            <w:vAlign w:val="center"/>
          </w:tcPr>
          <w:p>
            <w:pPr>
              <w:jc w:val="center"/>
            </w:pPr>
            <w:r>
              <w:rPr>
                <w:rFonts w:ascii="Arial" w:cs="Arial" w:eastAsia="Arial" w:hAnsi="Arial"/>
                <w:b/>
                <w:bCs/>
                <w:color w:val="FFFFFF"/>
                <w:sz w:val="40"/>
                <w:szCs w:val="40"/>
              </w:rPr>
              <w:t xml:space="preserve">197,430</w:t>
            </w:r>
          </w:p>
          <w:p>
            <w:pPr>
              <w:jc w:val="center"/>
            </w:pPr>
            <w:r>
              <w:rPr>
                <w:rFonts w:ascii="Arial" w:cs="Arial" w:eastAsia="Arial" w:hAnsi="Arial"/>
                <w:color w:val="FFFFFF"/>
                <w:sz w:val="19"/>
                <w:szCs w:val="19"/>
              </w:rPr>
              <w:t xml:space="preserve">Total Orders</w:t>
            </w:r>
          </w:p>
        </w:tc>
        <w:tc>
          <w:tcPr>
            <w:tcW w:type="dxa" w:w="2340"/>
            <w:tcBorders>
              <w:top w:val="single" w:color="E8611A" w:sz="1"/>
              <w:left w:val="single" w:color="E8611A" w:sz="1"/>
              <w:bottom w:val="single" w:color="E8611A" w:sz="1"/>
              <w:right w:val="single" w:color="E8611A" w:sz="1"/>
            </w:tcBorders>
            <w:shd w:fill="1A1A2E" w:val="clear"/>
            <w:tcMar>
              <w:top w:type="dxa" w:w="200"/>
              <w:left w:type="dxa" w:w="160"/>
              <w:bottom w:type="dxa" w:w="200"/>
              <w:right w:type="dxa" w:w="160"/>
            </w:tcMar>
            <w:vAlign w:val="center"/>
          </w:tcPr>
          <w:p>
            <w:pPr>
              <w:jc w:val="center"/>
            </w:pPr>
            <w:r>
              <w:rPr>
                <w:rFonts w:ascii="Arial" w:cs="Arial" w:eastAsia="Arial" w:hAnsi="Arial"/>
                <w:b/>
                <w:bCs/>
                <w:color w:val="FFFFFF"/>
                <w:sz w:val="40"/>
                <w:szCs w:val="40"/>
              </w:rPr>
              <w:t xml:space="preserve">₹5.3 Cr</w:t>
            </w:r>
          </w:p>
          <w:p>
            <w:pPr>
              <w:jc w:val="center"/>
            </w:pPr>
            <w:r>
              <w:rPr>
                <w:rFonts w:ascii="Arial" w:cs="Arial" w:eastAsia="Arial" w:hAnsi="Arial"/>
                <w:color w:val="FFFFFF"/>
                <w:sz w:val="19"/>
                <w:szCs w:val="19"/>
              </w:rPr>
              <w:t xml:space="preserve">Total Revenue</w:t>
            </w:r>
          </w:p>
        </w:tc>
        <w:tc>
          <w:tcPr>
            <w:tcW w:type="dxa" w:w="2340"/>
            <w:tcBorders>
              <w:top w:val="single" w:color="E8611A" w:sz="1"/>
              <w:left w:val="single" w:color="E8611A" w:sz="1"/>
              <w:bottom w:val="single" w:color="E8611A" w:sz="1"/>
              <w:right w:val="single" w:color="E8611A" w:sz="1"/>
            </w:tcBorders>
            <w:shd w:fill="E8611A" w:val="clear"/>
            <w:tcMar>
              <w:top w:type="dxa" w:w="200"/>
              <w:left w:type="dxa" w:w="160"/>
              <w:bottom w:type="dxa" w:w="200"/>
              <w:right w:type="dxa" w:w="160"/>
            </w:tcMar>
            <w:vAlign w:val="center"/>
          </w:tcPr>
          <w:p>
            <w:pPr>
              <w:jc w:val="center"/>
            </w:pPr>
            <w:r>
              <w:rPr>
                <w:rFonts w:ascii="Arial" w:cs="Arial" w:eastAsia="Arial" w:hAnsi="Arial"/>
                <w:b/>
                <w:bCs/>
                <w:color w:val="FFFFFF"/>
                <w:sz w:val="40"/>
                <w:szCs w:val="40"/>
              </w:rPr>
              <w:t xml:space="preserve">₹268.5</w:t>
            </w:r>
          </w:p>
          <w:p>
            <w:pPr>
              <w:jc w:val="center"/>
            </w:pPr>
            <w:r>
              <w:rPr>
                <w:rFonts w:ascii="Arial" w:cs="Arial" w:eastAsia="Arial" w:hAnsi="Arial"/>
                <w:color w:val="FFFFFF"/>
                <w:sz w:val="19"/>
                <w:szCs w:val="19"/>
              </w:rPr>
              <w:t xml:space="preserve">Avg Order Value</w:t>
            </w:r>
          </w:p>
        </w:tc>
        <w:tc>
          <w:tcPr>
            <w:tcW w:type="dxa" w:w="2340"/>
            <w:tcBorders>
              <w:top w:val="single" w:color="E8611A" w:sz="1"/>
              <w:left w:val="single" w:color="E8611A" w:sz="1"/>
              <w:bottom w:val="single" w:color="E8611A" w:sz="1"/>
              <w:right w:val="single" w:color="E8611A" w:sz="1"/>
            </w:tcBorders>
            <w:shd w:fill="1A1A2E" w:val="clear"/>
            <w:tcMar>
              <w:top w:type="dxa" w:w="200"/>
              <w:left w:type="dxa" w:w="160"/>
              <w:bottom w:type="dxa" w:w="200"/>
              <w:right w:type="dxa" w:w="160"/>
            </w:tcMar>
            <w:vAlign w:val="center"/>
          </w:tcPr>
          <w:p>
            <w:pPr>
              <w:jc w:val="center"/>
            </w:pPr>
            <w:r>
              <w:rPr>
                <w:rFonts w:ascii="Arial" w:cs="Arial" w:eastAsia="Arial" w:hAnsi="Arial"/>
                <w:b/>
                <w:bCs/>
                <w:color w:val="FFFFFF"/>
                <w:sz w:val="40"/>
                <w:szCs w:val="40"/>
              </w:rPr>
              <w:t xml:space="preserve">8 Months</w:t>
            </w:r>
          </w:p>
          <w:p>
            <w:pPr>
              <w:jc w:val="center"/>
            </w:pPr>
            <w:r>
              <w:rPr>
                <w:rFonts w:ascii="Arial" w:cs="Arial" w:eastAsia="Arial" w:hAnsi="Arial"/>
                <w:color w:val="FFFFFF"/>
                <w:sz w:val="19"/>
                <w:szCs w:val="19"/>
              </w:rPr>
              <w:t xml:space="preserve">Data Coverage</w:t>
            </w:r>
          </w:p>
        </w:tc>
      </w:tr>
    </w:tbl>
    <w:p>
      <w:pPr>
        <w:spacing w:after="200" w:before="0"/>
      </w:pPr>
      <w:r>
        <w:rPr>
          <w:rFonts w:ascii="Arial" w:cs="Arial" w:eastAsia="Arial" w:hAnsi="Arial"/>
        </w:rPr>
        <w:t xml:space="preserve"/>
      </w:r>
    </w:p>
    <w:p>
      <w:pPr>
        <w:spacing w:after="60" w:before="0"/>
        <w:jc w:val="center"/>
      </w:pPr>
      <w:r>
        <w:rPr>
          <w:rFonts w:ascii="Arial" w:cs="Arial" w:eastAsia="Arial" w:hAnsi="Arial"/>
          <w:color w:val="666666"/>
          <w:sz w:val="20"/>
          <w:szCs w:val="20"/>
        </w:rPr>
        <w:t xml:space="preserve">Capstone Project  |  Data Analyst Portfolio</w:t>
      </w:r>
    </w:p>
    <w:p>
      <w:pPr>
        <w:spacing w:after="0" w:before="0"/>
        <w:jc w:val="center"/>
      </w:pPr>
      <w:r>
        <w:rPr>
          <w:rFonts w:ascii="Arial" w:cs="Arial" w:eastAsia="Arial" w:hAnsi="Arial"/>
          <w:color w:val="E8611A"/>
          <w:sz w:val="20"/>
          <w:szCs w:val="20"/>
        </w:rPr>
        <w:t xml:space="preserve">Microsoft Fabric  ·  Lakehouse  ·  Data Warehouse  ·  Power BI  ·  Star Schema  ·  DAX</w:t>
      </w:r>
    </w:p>
    <w:p>
      <w:pPr>
        <w:spacing w:after="400" w:before="0"/>
      </w:pPr>
      <w:r>
        <w:rPr>
          <w:rFonts w:ascii="Arial" w:cs="Arial" w:eastAsia="Arial" w:hAnsi="Arial"/>
        </w:rPr>
        <w:t xml:space="preserve"/>
      </w:r>
    </w:p>
    <w:p>
      <w:r>
        <w:br w:type="page"/>
      </w:r>
    </w:p>
    <w:p>
      <w:pPr>
        <w:pStyle w:val="Heading1"/>
        <w:spacing w:after="120" w:before="320"/>
      </w:pPr>
      <w:r>
        <w:rPr>
          <w:rFonts w:ascii="Arial" w:cs="Arial" w:eastAsia="Arial" w:hAnsi="Arial"/>
          <w:b/>
          <w:bCs/>
          <w:color w:val="E8611A"/>
          <w:sz w:val="32"/>
          <w:szCs w:val="32"/>
        </w:rPr>
        <w:t xml:space="preserve">1. Business Scenario</w:t>
      </w:r>
    </w:p>
    <w:p>
      <w:pPr>
        <w:spacing w:after="80" w:before="80"/>
        <w:jc w:val="left"/>
      </w:pPr>
      <w:r>
        <w:rPr>
          <w:rFonts w:ascii="Arial" w:cs="Arial" w:eastAsia="Arial" w:hAnsi="Arial"/>
          <w:b w:val="false"/>
          <w:bCs w:val="false"/>
          <w:i w:val="false"/>
          <w:iCs w:val="false"/>
          <w:color w:val="1A1A2E"/>
          <w:sz w:val="22"/>
          <w:szCs w:val="22"/>
        </w:rPr>
        <w:t xml:space="preserve">Swiggy is one of India's largest online food delivery platforms, connecting customers, restaurants, and delivery partners across multiple cities. Thousands of orders are placed daily through the platform, generating large volumes of operational data spanning customer behaviour, restaurant performance, order fulfilment, and payment flows.</w:t>
      </w:r>
    </w:p>
    <w:p>
      <w:pPr>
        <w:spacing w:after="80" w:before="0"/>
      </w:pPr>
      <w:r>
        <w:rPr>
          <w:rFonts w:ascii="Arial" w:cs="Arial" w:eastAsia="Arial" w:hAnsi="Arial"/>
        </w:rPr>
        <w:t xml:space="preserve"/>
      </w:r>
    </w:p>
    <w:p>
      <w:pPr>
        <w:spacing w:after="80" w:before="80"/>
        <w:jc w:val="left"/>
      </w:pPr>
      <w:r>
        <w:rPr>
          <w:rFonts w:ascii="Arial" w:cs="Arial" w:eastAsia="Arial" w:hAnsi="Arial"/>
          <w:b w:val="false"/>
          <w:bCs w:val="false"/>
          <w:i w:val="false"/>
          <w:iCs w:val="false"/>
          <w:color w:val="1A1A2E"/>
          <w:sz w:val="22"/>
          <w:szCs w:val="22"/>
        </w:rPr>
        <w:t xml:space="preserve">Swiggy's leadership identified a critical need: raw transactional data was accumulating without a structured analytical layer to derive value from it. Business teams could not reliably answer questions such as which restaurants drove the most revenue, how order volumes trended across months, or which food categories were growing fastest.</w:t>
      </w:r>
    </w:p>
    <w:p>
      <w:pPr>
        <w:spacing w:after="80" w:before="0"/>
      </w:pPr>
      <w:r>
        <w:rPr>
          <w:rFonts w:ascii="Arial" w:cs="Arial" w:eastAsia="Arial" w:hAnsi="Arial"/>
        </w:rPr>
        <w:t xml:space="preserve"/>
      </w:r>
    </w:p>
    <w:p>
      <w:pPr>
        <w:spacing w:after="80" w:before="80"/>
        <w:jc w:val="left"/>
      </w:pPr>
      <w:r>
        <w:rPr>
          <w:rFonts w:ascii="Arial" w:cs="Arial" w:eastAsia="Arial" w:hAnsi="Arial"/>
          <w:b w:val="false"/>
          <w:bCs w:val="false"/>
          <w:i w:val="false"/>
          <w:iCs w:val="false"/>
          <w:color w:val="1A1A2E"/>
          <w:sz w:val="22"/>
          <w:szCs w:val="22"/>
        </w:rPr>
        <w:t xml:space="preserve">To address this, the company initiated a modern data analytics programme built on Microsoft Fabric — a unified analytics platform combining data engineering, data warehousing, and business intelligence in a single environment.</w:t>
      </w:r>
    </w:p>
    <w:p>
      <w:pPr>
        <w:spacing w:after="80" w:before="0"/>
      </w:pPr>
      <w:r>
        <w:rPr>
          <w:rFonts w:ascii="Arial" w:cs="Arial" w:eastAsia="Arial" w:hAnsi="Arial"/>
        </w:rPr>
        <w:t xml:space="preserve"/>
      </w:r>
    </w:p>
    <w:p>
      <w:pPr>
        <w:spacing w:after="80" w:before="80"/>
        <w:jc w:val="left"/>
      </w:pPr>
      <w:r>
        <w:rPr>
          <w:rFonts w:ascii="Arial" w:cs="Arial" w:eastAsia="Arial" w:hAnsi="Arial"/>
          <w:b w:val="false"/>
          <w:bCs w:val="false"/>
          <w:i w:val="false"/>
          <w:iCs w:val="false"/>
          <w:color w:val="1A1A2E"/>
          <w:sz w:val="22"/>
          <w:szCs w:val="22"/>
        </w:rPr>
        <w:t xml:space="preserve">As the Data Analyst on this project, the mandate was to design and deliver an end-to-end solution: ingest raw CSV data into a Lakehouse, clean and validate it using SQL, model it into a star schema Data Warehouse, build a semantic model with DAX measures, and publish an interactive Power BI dashboard for business stakeholders.</w:t>
      </w:r>
    </w:p>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2. Project Objective</w:t>
      </w:r>
    </w:p>
    <w:p>
      <w:pPr>
        <w:spacing w:after="80" w:before="80"/>
        <w:jc w:val="left"/>
      </w:pPr>
      <w:r>
        <w:rPr>
          <w:rFonts w:ascii="Arial" w:cs="Arial" w:eastAsia="Arial" w:hAnsi="Arial"/>
          <w:b w:val="false"/>
          <w:bCs w:val="false"/>
          <w:i w:val="false"/>
          <w:iCs w:val="false"/>
          <w:color w:val="1A1A2E"/>
          <w:sz w:val="22"/>
          <w:szCs w:val="22"/>
        </w:rPr>
        <w:t xml:space="preserve">The objective was to build a complete data analytics pipeline that transforms raw Swiggy operational data into actionable business intelligence — covering sales performance, restaurant rankings, dish-level trends, and temporal order patterns.</w:t>
      </w:r>
    </w:p>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Pipeline Stage</w:t>
            </w:r>
          </w:p>
        </w:tc>
        <w:tc>
          <w:tcPr>
            <w:tcW w:type="dxa" w:w="71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Deliverable</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Data Ingestion</w:t>
            </w:r>
          </w:p>
        </w:tc>
        <w:tc>
          <w:tcPr>
            <w:tcW w:type="dxa" w:w="7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Raw CSV files uploaded to Microsoft Fabric Lakehouse (Raw_Data folder)</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Data Cleaning</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SQL-based validation: duplicates removed, date formats corrected, referential integrity checks</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Data Modelling</w:t>
            </w:r>
          </w:p>
        </w:tc>
        <w:tc>
          <w:tcPr>
            <w:tcW w:type="dxa" w:w="7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Star schema Data Warehouse: 4 dimension tables + 1 fact table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Semantic Layer</w:t>
            </w:r>
          </w:p>
        </w:tc>
        <w:tc>
          <w:tcPr>
            <w:tcW w:type="dxa" w:w="71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Power BI Semantic Model with relationships, DAX measures, and KPIs</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Visualisation</w:t>
            </w:r>
          </w:p>
        </w:tc>
        <w:tc>
          <w:tcPr>
            <w:tcW w:type="dxa" w:w="71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Interactive Power BI dashboard published to Fabric workspace</w:t>
            </w:r>
          </w:p>
        </w:tc>
      </w:tr>
    </w:tbl>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3.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Layer</w:t>
            </w:r>
          </w:p>
        </w:tc>
        <w:tc>
          <w:tcPr>
            <w:tcW w:type="dxa" w:w="312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Technology</w:t>
            </w:r>
          </w:p>
        </w:tc>
        <w:tc>
          <w:tcPr>
            <w:tcW w:type="dxa" w:w="312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Purpose</w:t>
            </w:r>
          </w:p>
        </w:tc>
      </w:tr>
      <w:tr>
        <w:tc>
          <w:tcPr>
            <w:tcW w:type="dxa" w:w="312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Data Storage</w:t>
            </w:r>
          </w:p>
        </w:tc>
        <w:tc>
          <w:tcPr>
            <w:tcW w:type="dxa" w:w="312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Microsoft Fabric Lakehouse</w:t>
            </w:r>
          </w:p>
        </w:tc>
        <w:tc>
          <w:tcPr>
            <w:tcW w:type="dxa" w:w="312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Raw CSV ingestion and file storage</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Data Cleaning &amp; Validation</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Fabric SQL Analytics Endpoint</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Deduplication, type correction, integrity checks</w:t>
            </w:r>
          </w:p>
        </w:tc>
      </w:tr>
      <w:tr>
        <w:tc>
          <w:tcPr>
            <w:tcW w:type="dxa" w:w="312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Data Warehousing</w:t>
            </w:r>
          </w:p>
        </w:tc>
        <w:tc>
          <w:tcPr>
            <w:tcW w:type="dxa" w:w="312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Fabric Data Warehouse</w:t>
            </w:r>
          </w:p>
        </w:tc>
        <w:tc>
          <w:tcPr>
            <w:tcW w:type="dxa" w:w="312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Star schema modelling — fact and dimension tables</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Data Pipeline</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Fabric Data Pipelines</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Orchestrated ingestion from Lakehouse to Warehouse</w:t>
            </w:r>
          </w:p>
        </w:tc>
      </w:tr>
      <w:tr>
        <w:tc>
          <w:tcPr>
            <w:tcW w:type="dxa" w:w="312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Semantic Layer</w:t>
            </w:r>
          </w:p>
        </w:tc>
        <w:tc>
          <w:tcPr>
            <w:tcW w:type="dxa" w:w="312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Power BI Semantic Model</w:t>
            </w:r>
          </w:p>
        </w:tc>
        <w:tc>
          <w:tcPr>
            <w:tcW w:type="dxa" w:w="312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DAX measures, KPIs, and table relationships</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Visualisation</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Power BI Reports</w:t>
            </w:r>
          </w:p>
        </w:tc>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Interactive dashboards for business stakeholders</w:t>
            </w:r>
          </w:p>
        </w:tc>
      </w:tr>
    </w:tbl>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4. Data Architecture</w:t>
      </w:r>
    </w:p>
    <w:p>
      <w:pPr>
        <w:pStyle w:val="Heading2"/>
        <w:spacing w:after="80" w:before="200"/>
      </w:pPr>
      <w:r>
        <w:rPr>
          <w:rFonts w:ascii="Arial" w:cs="Arial" w:eastAsia="Arial" w:hAnsi="Arial"/>
          <w:b/>
          <w:bCs/>
          <w:color w:val="1A1A2E"/>
          <w:sz w:val="26"/>
          <w:szCs w:val="26"/>
        </w:rPr>
        <w:t xml:space="preserve">4.1  Workspace Structure</w:t>
      </w:r>
    </w:p>
    <w:p>
      <w:pPr>
        <w:spacing w:after="80" w:before="80"/>
        <w:jc w:val="left"/>
      </w:pPr>
      <w:r>
        <w:rPr>
          <w:rFonts w:ascii="Arial" w:cs="Arial" w:eastAsia="Arial" w:hAnsi="Arial"/>
          <w:b w:val="false"/>
          <w:bCs w:val="false"/>
          <w:i w:val="false"/>
          <w:iCs w:val="false"/>
          <w:color w:val="1A1A2E"/>
          <w:sz w:val="22"/>
          <w:szCs w:val="22"/>
        </w:rPr>
        <w:t xml:space="preserve">A dedicated Fabric workspace named Swiggy Analytics Project was created to house all solution components in a single governed environment. The workspace contains the Lakehouse (raw data layer), Data Warehouse (modelled layer), Data Pipelines (orchestration), Power BI Semantic Model, and the published Power BI Report.</w:t>
      </w:r>
    </w:p>
    <w:p>
      <w:pPr>
        <w:spacing w:after="80" w:before="0"/>
      </w:pPr>
      <w:r>
        <w:rPr>
          <w:rFonts w:ascii="Arial" w:cs="Arial" w:eastAsia="Arial" w:hAnsi="Arial"/>
        </w:rPr>
        <w:t xml:space="preserve"/>
      </w:r>
    </w:p>
    <w:p>
      <w:pPr>
        <w:pStyle w:val="Heading2"/>
        <w:spacing w:after="80" w:before="200"/>
      </w:pPr>
      <w:r>
        <w:rPr>
          <w:rFonts w:ascii="Arial" w:cs="Arial" w:eastAsia="Arial" w:hAnsi="Arial"/>
          <w:b/>
          <w:bCs/>
          <w:color w:val="1A1A2E"/>
          <w:sz w:val="26"/>
          <w:szCs w:val="26"/>
        </w:rPr>
        <w:t xml:space="preserve">4.2  Data Ingestion — Lakehouse</w:t>
      </w:r>
    </w:p>
    <w:p>
      <w:pPr>
        <w:spacing w:after="80" w:before="80"/>
        <w:jc w:val="left"/>
      </w:pPr>
      <w:r>
        <w:rPr>
          <w:rFonts w:ascii="Arial" w:cs="Arial" w:eastAsia="Arial" w:hAnsi="Arial"/>
          <w:b w:val="false"/>
          <w:bCs w:val="false"/>
          <w:i w:val="false"/>
          <w:iCs w:val="false"/>
          <w:color w:val="1A1A2E"/>
          <w:sz w:val="22"/>
          <w:szCs w:val="22"/>
        </w:rPr>
        <w:t xml:space="preserve">Raw source data was uploaded to the Lakehouse under a structured folder hierarchy to maintain clear separation between raw and processed layers:</w:t>
      </w:r>
    </w:p>
    <w:p>
      <w:pPr>
        <w:spacing w:after="40" w:before="0"/>
      </w:pPr>
      <w:r>
        <w:rPr>
          <w:rFonts w:ascii="Arial" w:cs="Arial" w:eastAsia="Arial" w:hAnsi="Arial"/>
        </w:rPr>
        <w:t xml:space="preserve"/>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5000"/>
      </w:tblGrid>
      <w:tr>
        <w:tc>
          <w:tcPr>
            <w:tcW w:type="dxa" w:w="5000"/>
            <w:tcBorders>
              <w:top w:val="single" w:color="E8611A" w:sz="1"/>
              <w:left w:val="single" w:color="E8611A" w:sz="1"/>
              <w:bottom w:val="single" w:color="E8611A" w:sz="1"/>
              <w:right w:val="single" w:color="E8611A" w:sz="1"/>
            </w:tcBorders>
            <w:shd w:fill="1A1A1A" w:val="clear"/>
            <w:tcMar>
              <w:top w:type="dxa" w:w="120"/>
              <w:left w:type="dxa" w:w="200"/>
              <w:bottom w:type="dxa" w:w="120"/>
              <w:right w:type="dxa" w:w="200"/>
            </w:tcMar>
          </w:tcPr>
          <w:p>
            <w:r>
              <w:rPr>
                <w:rFonts w:ascii="Courier New" w:cs="Courier New" w:eastAsia="Courier New" w:hAnsi="Courier New"/>
                <w:color w:val="AAFFAA"/>
                <w:sz w:val="20"/>
                <w:szCs w:val="20"/>
              </w:rPr>
              <w:t xml:space="preserve">Files/</w:t>
            </w:r>
          </w:p>
          <w:p>
            <w:r>
              <w:rPr>
                <w:rFonts w:ascii="Courier New" w:cs="Courier New" w:eastAsia="Courier New" w:hAnsi="Courier New"/>
                <w:color w:val="AAFFAA"/>
                <w:sz w:val="20"/>
                <w:szCs w:val="20"/>
              </w:rPr>
              <w:t xml:space="preserve">  Raw_Data/</w:t>
            </w:r>
          </w:p>
          <w:p>
            <w:r>
              <w:rPr>
                <w:rFonts w:ascii="Courier New" w:cs="Courier New" w:eastAsia="Courier New" w:hAnsi="Courier New"/>
                <w:color w:val="88CCFF"/>
                <w:sz w:val="20"/>
                <w:szCs w:val="20"/>
              </w:rPr>
              <w:t xml:space="preserve">    customers.csv</w:t>
            </w:r>
          </w:p>
          <w:p>
            <w:r>
              <w:rPr>
                <w:rFonts w:ascii="Courier New" w:cs="Courier New" w:eastAsia="Courier New" w:hAnsi="Courier New"/>
                <w:color w:val="88CCFF"/>
                <w:sz w:val="20"/>
                <w:szCs w:val="20"/>
              </w:rPr>
              <w:t xml:space="preserve">    restaurants.csv</w:t>
            </w:r>
          </w:p>
          <w:p>
            <w:r>
              <w:rPr>
                <w:rFonts w:ascii="Courier New" w:cs="Courier New" w:eastAsia="Courier New" w:hAnsi="Courier New"/>
                <w:color w:val="88CCFF"/>
                <w:sz w:val="20"/>
                <w:szCs w:val="20"/>
              </w:rPr>
              <w:t xml:space="preserve">    orders.csv</w:t>
            </w:r>
          </w:p>
          <w:p>
            <w:r>
              <w:rPr>
                <w:rFonts w:ascii="Courier New" w:cs="Courier New" w:eastAsia="Courier New" w:hAnsi="Courier New"/>
                <w:color w:val="88CCFF"/>
                <w:sz w:val="20"/>
                <w:szCs w:val="20"/>
              </w:rPr>
              <w:t xml:space="preserve">    delivery_partners.csv</w:t>
            </w:r>
          </w:p>
          <w:p>
            <w:r>
              <w:rPr>
                <w:rFonts w:ascii="Courier New" w:cs="Courier New" w:eastAsia="Courier New" w:hAnsi="Courier New"/>
                <w:color w:val="88CCFF"/>
                <w:sz w:val="20"/>
                <w:szCs w:val="20"/>
              </w:rPr>
              <w:t xml:space="preserve">    deliveries.csv</w:t>
            </w:r>
          </w:p>
        </w:tc>
      </w:tr>
    </w:tbl>
    <w:p>
      <w:pPr>
        <w:spacing w:after="100" w:before="0"/>
      </w:pPr>
      <w:r>
        <w:rPr>
          <w:rFonts w:ascii="Arial" w:cs="Arial" w:eastAsia="Arial" w:hAnsi="Arial"/>
        </w:rPr>
        <w:t xml:space="preserve"/>
      </w:r>
    </w:p>
    <w:p>
      <w:pPr>
        <w:pStyle w:val="Heading2"/>
        <w:spacing w:after="80" w:before="200"/>
      </w:pPr>
      <w:r>
        <w:rPr>
          <w:rFonts w:ascii="Arial" w:cs="Arial" w:eastAsia="Arial" w:hAnsi="Arial"/>
          <w:b/>
          <w:bCs/>
          <w:color w:val="1A1A2E"/>
          <w:sz w:val="26"/>
          <w:szCs w:val="26"/>
        </w:rPr>
        <w:t xml:space="preserve">4.3  Data Cleaning &amp; Validation — SQL</w:t>
      </w:r>
    </w:p>
    <w:p>
      <w:pPr>
        <w:spacing w:after="80" w:before="80"/>
        <w:jc w:val="left"/>
      </w:pPr>
      <w:r>
        <w:rPr>
          <w:rFonts w:ascii="Arial" w:cs="Arial" w:eastAsia="Arial" w:hAnsi="Arial"/>
          <w:b w:val="false"/>
          <w:bCs w:val="false"/>
          <w:i w:val="false"/>
          <w:iCs w:val="false"/>
          <w:color w:val="1A1A2E"/>
          <w:sz w:val="22"/>
          <w:szCs w:val="22"/>
        </w:rPr>
        <w:t xml:space="preserve">SQL queries were executed against the Lakehouse SQL Analytics Endpoint to validate and clean raw data before loading into the Data Warehouse. Key validation tasks performed:</w:t>
      </w:r>
    </w:p>
    <w:p>
      <w:pPr>
        <w:spacing w:after="40" w:before="0"/>
      </w:pPr>
      <w:r>
        <w:rPr>
          <w:rFonts w:ascii="Arial" w:cs="Arial" w:eastAsia="Arial" w:hAnsi="Arial"/>
        </w:rPr>
        <w:t xml:space="preserve"/>
      </w:r>
    </w:p>
    <w:p>
      <w:pPr>
        <w:pStyle w:val="ListParagraph"/>
        <w:numPr>
          <w:ilvl w:val="0"/>
          <w:numId w:val="2"/>
        </w:numPr>
        <w:spacing w:after="60" w:before="60"/>
      </w:pPr>
      <w:r>
        <w:rPr>
          <w:rFonts w:ascii="Arial" w:cs="Arial" w:eastAsia="Arial" w:hAnsi="Arial"/>
          <w:color w:val="1A1A2E"/>
          <w:sz w:val="22"/>
          <w:szCs w:val="22"/>
        </w:rPr>
        <w:t xml:space="preserve">Removal of duplicate records on primary key columns</w:t>
      </w:r>
    </w:p>
    <w:p>
      <w:pPr>
        <w:pStyle w:val="ListParagraph"/>
        <w:numPr>
          <w:ilvl w:val="0"/>
          <w:numId w:val="2"/>
        </w:numPr>
        <w:spacing w:after="60" w:before="60"/>
      </w:pPr>
      <w:r>
        <w:rPr>
          <w:rFonts w:ascii="Arial" w:cs="Arial" w:eastAsia="Arial" w:hAnsi="Arial"/>
          <w:color w:val="1A1A2E"/>
          <w:sz w:val="22"/>
          <w:szCs w:val="22"/>
        </w:rPr>
        <w:t xml:space="preserve">Handling of NULL values in critical fields (order amount, date, restaurant ID)</w:t>
      </w:r>
    </w:p>
    <w:p>
      <w:pPr>
        <w:pStyle w:val="ListParagraph"/>
        <w:numPr>
          <w:ilvl w:val="0"/>
          <w:numId w:val="2"/>
        </w:numPr>
        <w:spacing w:after="60" w:before="60"/>
      </w:pPr>
      <w:r>
        <w:rPr>
          <w:rFonts w:ascii="Arial" w:cs="Arial" w:eastAsia="Arial" w:hAnsi="Arial"/>
          <w:color w:val="1A1A2E"/>
          <w:sz w:val="22"/>
          <w:szCs w:val="22"/>
        </w:rPr>
        <w:t xml:space="preserve">Correction of invalid date formats — order_date normalised from string to DateTime</w:t>
      </w:r>
    </w:p>
    <w:p>
      <w:pPr>
        <w:pStyle w:val="ListParagraph"/>
        <w:numPr>
          <w:ilvl w:val="0"/>
          <w:numId w:val="2"/>
        </w:numPr>
        <w:spacing w:after="60" w:before="60"/>
      </w:pPr>
      <w:r>
        <w:rPr>
          <w:rFonts w:ascii="Arial" w:cs="Arial" w:eastAsia="Arial" w:hAnsi="Arial"/>
          <w:color w:val="1A1A2E"/>
          <w:sz w:val="22"/>
          <w:szCs w:val="22"/>
        </w:rPr>
        <w:t xml:space="preserve">Validation of order amounts — negative values flagged and excluded</w:t>
      </w:r>
    </w:p>
    <w:p>
      <w:pPr>
        <w:pStyle w:val="ListParagraph"/>
        <w:numPr>
          <w:ilvl w:val="0"/>
          <w:numId w:val="2"/>
        </w:numPr>
        <w:spacing w:after="60" w:before="60"/>
      </w:pPr>
      <w:r>
        <w:rPr>
          <w:rFonts w:ascii="Arial" w:cs="Arial" w:eastAsia="Arial" w:hAnsi="Arial"/>
          <w:color w:val="1A1A2E"/>
          <w:sz w:val="22"/>
          <w:szCs w:val="22"/>
        </w:rPr>
        <w:t xml:space="preserve">Referential integrity checks — orders without matching customers or restaurants identified</w:t>
      </w:r>
    </w:p>
    <w:p>
      <w:pPr>
        <w:pStyle w:val="ListParagraph"/>
        <w:numPr>
          <w:ilvl w:val="0"/>
          <w:numId w:val="2"/>
        </w:numPr>
        <w:spacing w:after="60" w:before="60"/>
      </w:pPr>
      <w:r>
        <w:rPr>
          <w:rFonts w:ascii="Arial" w:cs="Arial" w:eastAsia="Arial" w:hAnsi="Arial"/>
          <w:color w:val="1A1A2E"/>
          <w:sz w:val="22"/>
          <w:szCs w:val="22"/>
        </w:rPr>
        <w:t xml:space="preserve">Standardisation of city names for consistent geographic grouping</w:t>
      </w:r>
    </w:p>
    <w:p>
      <w:pPr>
        <w:spacing w:after="100" w:before="0"/>
      </w:pPr>
      <w:r>
        <w:rPr>
          <w:rFonts w:ascii="Arial" w:cs="Arial" w:eastAsia="Arial" w:hAnsi="Arial"/>
        </w:rPr>
        <w:t xml:space="preserve"/>
      </w:r>
    </w:p>
    <w:p>
      <w:pPr>
        <w:pStyle w:val="Heading2"/>
        <w:spacing w:after="80" w:before="200"/>
      </w:pPr>
      <w:r>
        <w:rPr>
          <w:rFonts w:ascii="Arial" w:cs="Arial" w:eastAsia="Arial" w:hAnsi="Arial"/>
          <w:b/>
          <w:bCs/>
          <w:color w:val="1A1A2E"/>
          <w:sz w:val="26"/>
          <w:szCs w:val="26"/>
        </w:rPr>
        <w:t xml:space="preserve">4.4  Star Schema Data Model</w:t>
      </w:r>
    </w:p>
    <w:p>
      <w:pPr>
        <w:spacing w:after="80" w:before="80"/>
        <w:jc w:val="left"/>
      </w:pPr>
      <w:r>
        <w:rPr>
          <w:rFonts w:ascii="Arial" w:cs="Arial" w:eastAsia="Arial" w:hAnsi="Arial"/>
          <w:b w:val="false"/>
          <w:bCs w:val="false"/>
          <w:i w:val="false"/>
          <w:iCs w:val="false"/>
          <w:color w:val="1A1A2E"/>
          <w:sz w:val="22"/>
          <w:szCs w:val="22"/>
        </w:rPr>
        <w:t xml:space="preserve">The Data Warehouse was modelled as a star schema — a design pattern that optimises query performance for analytical workloads by separating measurable facts from descriptive dimensions. The model contains one fact table and four dimension tables connected via surrogate integer keys.</w:t>
      </w:r>
    </w:p>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rPr>
          <w:tblHeader/>
        </w:trPr>
        <w:tc>
          <w:tcPr>
            <w:tcW w:type="dxa" w:w="18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Table</w:t>
            </w:r>
          </w:p>
        </w:tc>
        <w:tc>
          <w:tcPr>
            <w:tcW w:type="dxa" w:w="20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Type</w:t>
            </w:r>
          </w:p>
        </w:tc>
        <w:tc>
          <w:tcPr>
            <w:tcW w:type="dxa" w:w="55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Key Columns</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fact_orders</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Fact</w:t>
            </w:r>
          </w:p>
        </w:tc>
        <w:tc>
          <w:tcPr>
            <w:tcW w:type="dxa" w:w="5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order_id, date_id, location_id, restaurant_id, food_id, price, rating, rating_count</w:t>
            </w:r>
          </w:p>
        </w:tc>
      </w:tr>
      <w:tr>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dim_date</w:t>
            </w:r>
          </w:p>
        </w:tc>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Dimension</w:t>
            </w:r>
          </w:p>
        </w:tc>
        <w:tc>
          <w:tcPr>
            <w:tcW w:type="dxa" w:w="5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date_id, order_date, Month, Month Number, Quarter, Day, Day Number</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dim_restaurant</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Dimension</w:t>
            </w:r>
          </w:p>
        </w:tc>
        <w:tc>
          <w:tcPr>
            <w:tcW w:type="dxa" w:w="5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restaurant_id, restaurant_name</w:t>
            </w:r>
          </w:p>
        </w:tc>
      </w:tr>
      <w:tr>
        <w:tc>
          <w:tcPr>
            <w:tcW w:type="dxa" w:w="1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dim_dish</w:t>
            </w:r>
          </w:p>
        </w:tc>
        <w:tc>
          <w:tcPr>
            <w:tcW w:type="dxa" w:w="20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Dimension</w:t>
            </w:r>
          </w:p>
        </w:tc>
        <w:tc>
          <w:tcPr>
            <w:tcW w:type="dxa" w:w="5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dish_id, category, dish_name, Food Type (calculated)</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dim_location</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Dimension</w:t>
            </w:r>
          </w:p>
        </w:tc>
        <w:tc>
          <w:tcPr>
            <w:tcW w:type="dxa" w:w="5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location_id, state, city, location</w:t>
            </w:r>
          </w:p>
        </w:tc>
      </w:tr>
    </w:tbl>
    <w:p>
      <w:pPr>
        <w:spacing w:after="80" w:before="0"/>
      </w:pPr>
      <w:r>
        <w:rPr>
          <w:rFonts w:ascii="Arial" w:cs="Arial" w:eastAsia="Arial" w:hAnsi="Arial"/>
        </w:rPr>
        <w:t xml:space="preserve"/>
      </w:r>
    </w:p>
    <w:p>
      <w:pPr>
        <w:spacing w:after="80" w:before="80"/>
        <w:jc w:val="left"/>
      </w:pPr>
      <w:r>
        <w:rPr>
          <w:rFonts w:ascii="Arial" w:cs="Arial" w:eastAsia="Arial" w:hAnsi="Arial"/>
          <w:b w:val="false"/>
          <w:bCs w:val="false"/>
          <w:i w:val="false"/>
          <w:iCs w:val="false"/>
          <w:color w:val="1A1A2E"/>
          <w:sz w:val="22"/>
          <w:szCs w:val="22"/>
        </w:rPr>
        <w:t xml:space="preserve">All five tables are connected via DirectQuery to the Fabric Data Warehouse semantic model (swiggy_semantic), ensuring data freshness without import latency. The dim_date table includes calculated columns for Month, Quarter, Day, and sort-order integers to support time-intelligence slicing in Power BI.</w:t>
      </w:r>
    </w:p>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5. Semantic Model &amp; DAX Measures</w:t>
      </w:r>
    </w:p>
    <w:p>
      <w:pPr>
        <w:spacing w:after="80" w:before="80"/>
        <w:jc w:val="left"/>
      </w:pPr>
      <w:r>
        <w:rPr>
          <w:rFonts w:ascii="Arial" w:cs="Arial" w:eastAsia="Arial" w:hAnsi="Arial"/>
          <w:b w:val="false"/>
          <w:bCs w:val="false"/>
          <w:i w:val="false"/>
          <w:iCs w:val="false"/>
          <w:color w:val="1A1A2E"/>
          <w:sz w:val="22"/>
          <w:szCs w:val="22"/>
        </w:rPr>
        <w:t xml:space="preserve">A Power BI Semantic Model was created on top of the Data Warehouse, defining table relationships, calculated columns, and DAX measures. All relationships are single-direction (dimension to fact), preventing ambiguous cross-filter paths and following best-practice modelling conventions.</w:t>
      </w:r>
    </w:p>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Measure</w:t>
            </w:r>
          </w:p>
        </w:tc>
        <w:tc>
          <w:tcPr>
            <w:tcW w:type="dxa" w:w="33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DAX Expression (abbreviated)</w:t>
            </w:r>
          </w:p>
        </w:tc>
        <w:tc>
          <w:tcPr>
            <w:tcW w:type="dxa" w:w="36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Business Use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Total Sales</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SUM(fact_orders[price])</w:t>
            </w:r>
          </w:p>
        </w:tc>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Primary revenue KPI across all visuals</w:t>
            </w:r>
          </w:p>
        </w:tc>
      </w:tr>
      <w:tr>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Total Orders</w:t>
            </w:r>
          </w:p>
        </w:tc>
        <w:tc>
          <w:tcPr>
            <w:tcW w:type="dxa" w:w="33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COUNTROWS(fact_orders)</w:t>
            </w:r>
          </w:p>
        </w:tc>
        <w:tc>
          <w:tcPr>
            <w:tcW w:type="dxa" w:w="36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Order volume — denominator for averages</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Average Order Value</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DIVIDE([Total Sales], [Total Orders])</w:t>
            </w:r>
          </w:p>
        </w:tc>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Per-order revenue efficiency benchmark</w:t>
            </w:r>
          </w:p>
        </w:tc>
      </w:tr>
    </w:tbl>
    <w:p>
      <w:pPr>
        <w:spacing w:after="80" w:before="0"/>
      </w:pPr>
      <w:r>
        <w:rPr>
          <w:rFonts w:ascii="Arial" w:cs="Arial" w:eastAsia="Arial" w:hAnsi="Arial"/>
        </w:rPr>
        <w:t xml:space="preserve"/>
      </w:r>
    </w:p>
    <w:p>
      <w:pPr>
        <w:spacing w:after="80" w:before="80"/>
        <w:jc w:val="left"/>
      </w:pPr>
      <w:r>
        <w:rPr>
          <w:rFonts w:ascii="Arial" w:cs="Arial" w:eastAsia="Arial" w:hAnsi="Arial"/>
          <w:b w:val="false"/>
          <w:bCs w:val="false"/>
          <w:i w:val="false"/>
          <w:iCs w:val="false"/>
          <w:color w:val="1A1A2E"/>
          <w:sz w:val="22"/>
          <w:szCs w:val="22"/>
        </w:rPr>
        <w:t xml:space="preserve">Note: The semantic model was connected to the Fabric workspace (powerbi://api.powerbi.com/v1.0/myorg/Capstone, database: swiggy_semantic). Following the expiry of the Microsoft Fabric trial, the DirectQuery connection to the live service is no longer available. All metrics in this report reflect data captured during the active trial period.</w:t>
      </w:r>
    </w:p>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6. Dashboard — Portfolio Snapshot</w:t>
      </w:r>
    </w:p>
    <w:p>
      <w:pPr>
        <w:spacing w:after="80" w:before="80"/>
        <w:jc w:val="left"/>
      </w:pPr>
      <w:r>
        <w:rPr>
          <w:rFonts w:ascii="Arial" w:cs="Arial" w:eastAsia="Arial" w:hAnsi="Arial"/>
          <w:b w:val="false"/>
          <w:bCs w:val="false"/>
          <w:i w:val="false"/>
          <w:iCs w:val="false"/>
          <w:color w:val="1A1A2E"/>
          <w:sz w:val="22"/>
          <w:szCs w:val="22"/>
        </w:rPr>
        <w:t xml:space="preserve">The Power BI dashboard was built to provide business stakeholders with an interactive view of Swiggy's sales performance. The following metrics were captured from the live semantic model during the active trial period.</w:t>
      </w:r>
    </w:p>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8611A" w:sz="1"/>
              <w:left w:val="single" w:color="E8611A" w:sz="1"/>
              <w:bottom w:val="single" w:color="E8611A" w:sz="1"/>
              <w:right w:val="single" w:color="E8611A" w:sz="1"/>
            </w:tcBorders>
            <w:shd w:fill="E8611A" w:val="clear"/>
            <w:tcMar>
              <w:top w:type="dxa" w:w="180"/>
              <w:left w:type="dxa" w:w="200"/>
              <w:bottom w:type="dxa" w:w="180"/>
              <w:right w:type="dxa" w:w="200"/>
            </w:tcMar>
            <w:vAlign w:val="center"/>
          </w:tcPr>
          <w:p>
            <w:pPr>
              <w:jc w:val="center"/>
            </w:pPr>
            <w:r>
              <w:rPr>
                <w:rFonts w:ascii="Arial" w:cs="Arial" w:eastAsia="Arial" w:hAnsi="Arial"/>
                <w:b/>
                <w:bCs/>
                <w:color w:val="FFFFFF"/>
                <w:sz w:val="36"/>
                <w:szCs w:val="36"/>
              </w:rPr>
              <w:t xml:space="preserve">197,430</w:t>
            </w:r>
          </w:p>
          <w:p>
            <w:pPr>
              <w:jc w:val="center"/>
            </w:pPr>
            <w:r>
              <w:rPr>
                <w:rFonts w:ascii="Arial" w:cs="Arial" w:eastAsia="Arial" w:hAnsi="Arial"/>
                <w:color w:val="FFFFFF"/>
                <w:sz w:val="18"/>
                <w:szCs w:val="18"/>
              </w:rPr>
              <w:t xml:space="preserve">Total Orders</w:t>
            </w:r>
          </w:p>
        </w:tc>
        <w:tc>
          <w:tcPr>
            <w:tcW w:type="dxa" w:w="2340"/>
            <w:tcBorders>
              <w:top w:val="single" w:color="E8611A" w:sz="1"/>
              <w:left w:val="single" w:color="E8611A" w:sz="1"/>
              <w:bottom w:val="single" w:color="E8611A" w:sz="1"/>
              <w:right w:val="single" w:color="E8611A" w:sz="1"/>
            </w:tcBorders>
            <w:shd w:fill="1A1A2E" w:val="clear"/>
            <w:tcMar>
              <w:top w:type="dxa" w:w="180"/>
              <w:left w:type="dxa" w:w="200"/>
              <w:bottom w:type="dxa" w:w="180"/>
              <w:right w:type="dxa" w:w="200"/>
            </w:tcMar>
            <w:vAlign w:val="center"/>
          </w:tcPr>
          <w:p>
            <w:pPr>
              <w:jc w:val="center"/>
            </w:pPr>
            <w:r>
              <w:rPr>
                <w:rFonts w:ascii="Arial" w:cs="Arial" w:eastAsia="Arial" w:hAnsi="Arial"/>
                <w:b/>
                <w:bCs/>
                <w:color w:val="FFFFFF"/>
                <w:sz w:val="36"/>
                <w:szCs w:val="36"/>
              </w:rPr>
              <w:t xml:space="preserve">₹5.30 Cr</w:t>
            </w:r>
          </w:p>
          <w:p>
            <w:pPr>
              <w:jc w:val="center"/>
            </w:pPr>
            <w:r>
              <w:rPr>
                <w:rFonts w:ascii="Arial" w:cs="Arial" w:eastAsia="Arial" w:hAnsi="Arial"/>
                <w:color w:val="FFFFFF"/>
                <w:sz w:val="18"/>
                <w:szCs w:val="18"/>
              </w:rPr>
              <w:t xml:space="preserve">Total Revenue</w:t>
            </w:r>
          </w:p>
        </w:tc>
        <w:tc>
          <w:tcPr>
            <w:tcW w:type="dxa" w:w="2340"/>
            <w:tcBorders>
              <w:top w:val="single" w:color="E8611A" w:sz="1"/>
              <w:left w:val="single" w:color="E8611A" w:sz="1"/>
              <w:bottom w:val="single" w:color="E8611A" w:sz="1"/>
              <w:right w:val="single" w:color="E8611A" w:sz="1"/>
            </w:tcBorders>
            <w:shd w:fill="E8611A" w:val="clear"/>
            <w:tcMar>
              <w:top w:type="dxa" w:w="180"/>
              <w:left w:type="dxa" w:w="200"/>
              <w:bottom w:type="dxa" w:w="180"/>
              <w:right w:type="dxa" w:w="200"/>
            </w:tcMar>
            <w:vAlign w:val="center"/>
          </w:tcPr>
          <w:p>
            <w:pPr>
              <w:jc w:val="center"/>
            </w:pPr>
            <w:r>
              <w:rPr>
                <w:rFonts w:ascii="Arial" w:cs="Arial" w:eastAsia="Arial" w:hAnsi="Arial"/>
                <w:b/>
                <w:bCs/>
                <w:color w:val="FFFFFF"/>
                <w:sz w:val="36"/>
                <w:szCs w:val="36"/>
              </w:rPr>
              <w:t xml:space="preserve">₹268.51</w:t>
            </w:r>
          </w:p>
          <w:p>
            <w:pPr>
              <w:jc w:val="center"/>
            </w:pPr>
            <w:r>
              <w:rPr>
                <w:rFonts w:ascii="Arial" w:cs="Arial" w:eastAsia="Arial" w:hAnsi="Arial"/>
                <w:color w:val="FFFFFF"/>
                <w:sz w:val="18"/>
                <w:szCs w:val="18"/>
              </w:rPr>
              <w:t xml:space="preserve">Avg Order Value</w:t>
            </w:r>
          </w:p>
        </w:tc>
        <w:tc>
          <w:tcPr>
            <w:tcW w:type="dxa" w:w="2340"/>
            <w:tcBorders>
              <w:top w:val="single" w:color="E8611A" w:sz="1"/>
              <w:left w:val="single" w:color="E8611A" w:sz="1"/>
              <w:bottom w:val="single" w:color="E8611A" w:sz="1"/>
              <w:right w:val="single" w:color="E8611A" w:sz="1"/>
            </w:tcBorders>
            <w:shd w:fill="1A1A2E" w:val="clear"/>
            <w:tcMar>
              <w:top w:type="dxa" w:w="180"/>
              <w:left w:type="dxa" w:w="200"/>
              <w:bottom w:type="dxa" w:w="180"/>
              <w:right w:type="dxa" w:w="200"/>
            </w:tcMar>
            <w:vAlign w:val="center"/>
          </w:tcPr>
          <w:p>
            <w:pPr>
              <w:jc w:val="center"/>
            </w:pPr>
            <w:r>
              <w:rPr>
                <w:rFonts w:ascii="Arial" w:cs="Arial" w:eastAsia="Arial" w:hAnsi="Arial"/>
                <w:b/>
                <w:bCs/>
                <w:color w:val="FFFFFF"/>
                <w:sz w:val="36"/>
                <w:szCs w:val="36"/>
              </w:rPr>
              <w:t xml:space="preserve">Jan–Aug</w:t>
            </w:r>
          </w:p>
          <w:p>
            <w:pPr>
              <w:jc w:val="center"/>
            </w:pPr>
            <w:r>
              <w:rPr>
                <w:rFonts w:ascii="Arial" w:cs="Arial" w:eastAsia="Arial" w:hAnsi="Arial"/>
                <w:color w:val="FFFFFF"/>
                <w:sz w:val="18"/>
                <w:szCs w:val="18"/>
              </w:rPr>
              <w:t xml:space="preserve">Months Covered</w:t>
            </w:r>
          </w:p>
        </w:tc>
      </w:tr>
    </w:tbl>
    <w:p>
      <w:pPr>
        <w:spacing w:after="120" w:before="0"/>
      </w:pPr>
      <w:r>
        <w:rPr>
          <w:rFonts w:ascii="Arial" w:cs="Arial" w:eastAsia="Arial" w:hAnsi="Arial"/>
        </w:rPr>
        <w:t xml:space="preserve"/>
      </w:r>
    </w:p>
    <w:p>
      <w:pPr>
        <w:pStyle w:val="Heading2"/>
        <w:spacing w:after="80" w:before="200"/>
      </w:pPr>
      <w:r>
        <w:rPr>
          <w:rFonts w:ascii="Arial" w:cs="Arial" w:eastAsia="Arial" w:hAnsi="Arial"/>
          <w:b/>
          <w:bCs/>
          <w:color w:val="1A1A2E"/>
          <w:sz w:val="26"/>
          <w:szCs w:val="26"/>
        </w:rPr>
        <w:t xml:space="preserve">6.1  Top Restaurants by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Restaurant</w:t>
            </w:r>
          </w:p>
        </w:tc>
        <w:tc>
          <w:tcPr>
            <w:tcW w:type="dxa" w:w="234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Total Orders</w:t>
            </w:r>
          </w:p>
        </w:tc>
        <w:tc>
          <w:tcPr>
            <w:tcW w:type="dxa" w:w="234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Revenue (₹)</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KFC</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12,961</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42,46,952</w:t>
            </w:r>
          </w:p>
        </w:tc>
      </w:tr>
      <w:tr>
        <w:tc>
          <w:tcPr>
            <w:tcW w:type="dxa" w:w="468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McDonald's</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13,530</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33,43,095</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Pizza Hut</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6,529</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21,33,266</w:t>
            </w:r>
          </w:p>
        </w:tc>
      </w:tr>
      <w:tr>
        <w:tc>
          <w:tcPr>
            <w:tcW w:type="dxa" w:w="468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Burger King</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7,116</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19,00,817</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Domino's Pizza</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5,492</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18,34,022</w:t>
            </w:r>
          </w:p>
        </w:tc>
      </w:tr>
      <w:tr>
        <w:tc>
          <w:tcPr>
            <w:tcW w:type="dxa" w:w="468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Olio - The Wood Fired Pizzeria</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3,241</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12,36,369</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LunchBox - Meals and Thalis</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4,700</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11,01,141</w:t>
            </w:r>
          </w:p>
        </w:tc>
      </w:tr>
      <w:tr>
        <w:tc>
          <w:tcPr>
            <w:tcW w:type="dxa" w:w="468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Baskin Robbins</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4,197</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8,60,592</w:t>
            </w:r>
          </w:p>
        </w:tc>
      </w:tr>
      <w:tr>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Faasos - Wraps, Rolls &amp; Shawarma</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3,256</w:t>
            </w:r>
          </w:p>
        </w:tc>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7,80,215</w:t>
            </w:r>
          </w:p>
        </w:tc>
      </w:tr>
      <w:tr>
        <w:tc>
          <w:tcPr>
            <w:tcW w:type="dxa" w:w="468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The Good Bowl</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2,665</w:t>
            </w:r>
          </w:p>
        </w:tc>
        <w:tc>
          <w:tcPr>
            <w:tcW w:type="dxa" w:w="234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6,73,343</w:t>
            </w:r>
          </w:p>
        </w:tc>
      </w:tr>
    </w:tbl>
    <w:p>
      <w:pPr>
        <w:spacing w:after="80" w:before="0"/>
      </w:pPr>
      <w:r>
        <w:rPr>
          <w:rFonts w:ascii="Arial" w:cs="Arial" w:eastAsia="Arial" w:hAnsi="Arial"/>
        </w:rPr>
        <w:t xml:space="preserve"/>
      </w:r>
    </w:p>
    <w:p>
      <w:pPr>
        <w:spacing w:after="80" w:before="80"/>
        <w:jc w:val="left"/>
      </w:pPr>
      <w:r>
        <w:rPr>
          <w:rFonts w:ascii="Arial" w:cs="Arial" w:eastAsia="Arial" w:hAnsi="Arial"/>
          <w:b w:val="false"/>
          <w:bCs w:val="false"/>
          <w:i/>
          <w:iCs/>
          <w:color w:val="555555"/>
          <w:sz w:val="20"/>
          <w:szCs w:val="20"/>
        </w:rPr>
        <w:t xml:space="preserve">KFC leads by revenue (₹42.5L) despite ranking second in order volume — indicating a higher average order value relative to McDonald's, which leads on volume (13,530 orders). This revenue-volume divergence is a key insight for restaurant partnership strategy.</w:t>
      </w:r>
    </w:p>
    <w:p>
      <w:pPr>
        <w:spacing w:after="100" w:before="0"/>
      </w:pPr>
      <w:r>
        <w:rPr>
          <w:rFonts w:ascii="Arial" w:cs="Arial" w:eastAsia="Arial" w:hAnsi="Arial"/>
        </w:rPr>
        <w:t xml:space="preserve"/>
      </w:r>
    </w:p>
    <w:p>
      <w:pPr>
        <w:pStyle w:val="Heading2"/>
        <w:spacing w:after="80" w:before="200"/>
      </w:pPr>
      <w:r>
        <w:rPr>
          <w:rFonts w:ascii="Arial" w:cs="Arial" w:eastAsia="Arial" w:hAnsi="Arial"/>
          <w:b/>
          <w:bCs/>
          <w:color w:val="1A1A2E"/>
          <w:sz w:val="26"/>
          <w:szCs w:val="26"/>
        </w:rPr>
        <w:t xml:space="preserve">6.2  Monthly Revenue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Month</w:t>
            </w:r>
          </w:p>
        </w:tc>
        <w:tc>
          <w:tcPr>
            <w:tcW w:type="dxa" w:w="15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Orders</w:t>
            </w:r>
          </w:p>
        </w:tc>
        <w:tc>
          <w:tcPr>
            <w:tcW w:type="dxa" w:w="15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Revenue (₹)</w:t>
            </w:r>
          </w:p>
        </w:tc>
        <w:tc>
          <w:tcPr>
            <w:tcW w:type="dxa" w:w="15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Month</w:t>
            </w:r>
          </w:p>
        </w:tc>
        <w:tc>
          <w:tcPr>
            <w:tcW w:type="dxa" w:w="15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Orders</w:t>
            </w:r>
          </w:p>
        </w:tc>
        <w:tc>
          <w:tcPr>
            <w:tcW w:type="dxa" w:w="15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Revenue (₹)</w:t>
            </w:r>
          </w:p>
        </w:tc>
      </w:tr>
      <w:tr>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January</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25,398</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68,25,186</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May</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25,190</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67,93,558</w:t>
            </w:r>
          </w:p>
        </w:tc>
      </w:tr>
      <w:tr>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February</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23,296</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62,69,106</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June</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24,385</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65,14,183</w:t>
            </w:r>
          </w:p>
        </w:tc>
      </w:tr>
      <w:tr>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March</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24,402</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65,73,530</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July</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24,940</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66,50,966</w:t>
            </w:r>
          </w:p>
        </w:tc>
      </w:tr>
      <w:tr>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April</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24,588</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65,94,515</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August</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25,231</w:t>
            </w:r>
          </w:p>
        </w:tc>
        <w:tc>
          <w:tcPr>
            <w:tcW w:type="dxa" w:w="1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67,91,462</w:t>
            </w:r>
          </w:p>
        </w:tc>
      </w:tr>
    </w:tbl>
    <w:p>
      <w:pPr>
        <w:spacing w:after="80" w:before="0"/>
      </w:pPr>
      <w:r>
        <w:rPr>
          <w:rFonts w:ascii="Arial" w:cs="Arial" w:eastAsia="Arial" w:hAnsi="Arial"/>
        </w:rPr>
        <w:t xml:space="preserve"/>
      </w:r>
    </w:p>
    <w:p>
      <w:pPr>
        <w:spacing w:after="80" w:before="80"/>
        <w:jc w:val="left"/>
      </w:pPr>
      <w:r>
        <w:rPr>
          <w:rFonts w:ascii="Arial" w:cs="Arial" w:eastAsia="Arial" w:hAnsi="Arial"/>
          <w:b w:val="false"/>
          <w:bCs w:val="false"/>
          <w:i/>
          <w:iCs/>
          <w:color w:val="555555"/>
          <w:sz w:val="20"/>
          <w:szCs w:val="20"/>
        </w:rPr>
        <w:t xml:space="preserve">Order volumes remain remarkably stable across all 8 months (23K–25.4K), with February showing the only notable dip. Revenue tracks proportionally, ranging from ₹62.7L (February) to ₹68.3L (January). The absence of strong seasonal volatility suggests either consistent demand or a dataset that predates major promotional cycles.</w:t>
      </w:r>
    </w:p>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7. Key Insights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1</w:t>
            </w:r>
          </w:p>
        </w:tc>
        <w:tc>
          <w:tcPr>
            <w:tcW w:type="dxa" w:w="8760"/>
            <w:tcBorders>
              <w:top w:val="single" w:color="E8611A" w:sz="1"/>
              <w:left w:val="single" w:color="E8611A" w:sz="1"/>
              <w:bottom w:val="single" w:color="E8611A" w:sz="1"/>
              <w:right w:val="single" w:color="E8611A" w:sz="1"/>
            </w:tcBorders>
            <w:shd w:fill="FEF0E8" w:val="clear"/>
            <w:tcMar>
              <w:top w:type="dxa" w:w="100"/>
              <w:left w:type="dxa" w:w="140"/>
              <w:bottom w:type="dxa" w:w="100"/>
              <w:right w:type="dxa" w:w="140"/>
            </w:tcMar>
          </w:tcPr>
          <w:p>
            <w:r>
              <w:rPr>
                <w:rFonts w:ascii="Arial" w:cs="Arial" w:eastAsia="Arial" w:hAnsi="Arial"/>
                <w:b/>
                <w:bCs/>
                <w:color w:val="E8611A"/>
                <w:sz w:val="22"/>
                <w:szCs w:val="22"/>
              </w:rPr>
              <w:t xml:space="preserve">Revenue and Volume Leaders Are Different Restaurants</w:t>
            </w:r>
          </w:p>
          <w:p>
            <w:r>
              <w:rPr>
                <w:rFonts w:ascii="Arial" w:cs="Arial" w:eastAsia="Arial" w:hAnsi="Arial"/>
                <w:b/>
                <w:bCs/>
                <w:sz w:val="20"/>
                <w:szCs w:val="20"/>
              </w:rPr>
              <w:t xml:space="preserve">What: </w:t>
            </w:r>
            <w:r>
              <w:rPr>
                <w:rFonts w:ascii="Arial" w:cs="Arial" w:eastAsia="Arial" w:hAnsi="Arial"/>
                <w:sz w:val="20"/>
                <w:szCs w:val="20"/>
              </w:rPr>
              <w:t xml:space="preserve">KFC generates ₹42.5L revenue from 12,961 orders while McDonald's logs 13,530 orders but only ₹33.4L revenue.</w:t>
            </w:r>
          </w:p>
          <w:p>
            <w:r>
              <w:rPr>
                <w:rFonts w:ascii="Arial" w:cs="Arial" w:eastAsia="Arial" w:hAnsi="Arial"/>
                <w:b/>
                <w:bCs/>
                <w:sz w:val="20"/>
                <w:szCs w:val="20"/>
              </w:rPr>
              <w:t xml:space="preserve">Why it matters: </w:t>
            </w:r>
            <w:r>
              <w:rPr>
                <w:rFonts w:ascii="Arial" w:cs="Arial" w:eastAsia="Arial" w:hAnsi="Arial"/>
                <w:sz w:val="20"/>
                <w:szCs w:val="20"/>
              </w:rPr>
              <w:t xml:space="preserve">Revenue per order at KFC (~₹327) significantly exceeds McDonald's (~₹247). Volume leadership does not equal revenue leadership.</w:t>
            </w:r>
          </w:p>
          <w:p>
            <w:r>
              <w:rPr>
                <w:rFonts w:ascii="Arial" w:cs="Arial" w:eastAsia="Arial" w:hAnsi="Arial"/>
                <w:b/>
                <w:bCs/>
                <w:sz w:val="20"/>
                <w:szCs w:val="20"/>
              </w:rPr>
              <w:t xml:space="preserve">Implication: </w:t>
            </w:r>
            <w:r>
              <w:rPr>
                <w:rFonts w:ascii="Arial" w:cs="Arial" w:eastAsia="Arial" w:hAnsi="Arial"/>
                <w:sz w:val="20"/>
                <w:szCs w:val="20"/>
              </w:rPr>
              <w:t xml:space="preserve">Partnership and promotional investment should prioritise high-AOV restaurants, not just high-volume ones. KFC's premium positioning drives disproportionate revenue contribution.</w:t>
            </w:r>
          </w:p>
        </w:tc>
      </w:tr>
    </w:tbl>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2</w:t>
            </w:r>
          </w:p>
        </w:tc>
        <w:tc>
          <w:tcPr>
            <w:tcW w:type="dxa" w:w="8760"/>
            <w:tcBorders>
              <w:top w:val="single" w:color="E8611A" w:sz="1"/>
              <w:left w:val="single" w:color="E8611A" w:sz="1"/>
              <w:bottom w:val="single" w:color="E8611A" w:sz="1"/>
              <w:right w:val="single" w:color="E8611A" w:sz="1"/>
            </w:tcBorders>
            <w:shd w:fill="FEF0E8" w:val="clear"/>
            <w:tcMar>
              <w:top w:type="dxa" w:w="100"/>
              <w:left w:type="dxa" w:w="140"/>
              <w:bottom w:type="dxa" w:w="100"/>
              <w:right w:type="dxa" w:w="140"/>
            </w:tcMar>
          </w:tcPr>
          <w:p>
            <w:r>
              <w:rPr>
                <w:rFonts w:ascii="Arial" w:cs="Arial" w:eastAsia="Arial" w:hAnsi="Arial"/>
                <w:b/>
                <w:bCs/>
                <w:color w:val="E8611A"/>
                <w:sz w:val="22"/>
                <w:szCs w:val="22"/>
              </w:rPr>
              <w:t xml:space="preserve">Order Volume Is Exceptionally Stable Across Months</w:t>
            </w:r>
          </w:p>
          <w:p>
            <w:r>
              <w:rPr>
                <w:rFonts w:ascii="Arial" w:cs="Arial" w:eastAsia="Arial" w:hAnsi="Arial"/>
                <w:b/>
                <w:bCs/>
                <w:sz w:val="20"/>
                <w:szCs w:val="20"/>
              </w:rPr>
              <w:t xml:space="preserve">What: </w:t>
            </w:r>
            <w:r>
              <w:rPr>
                <w:rFonts w:ascii="Arial" w:cs="Arial" w:eastAsia="Arial" w:hAnsi="Arial"/>
                <w:sz w:val="20"/>
                <w:szCs w:val="20"/>
              </w:rPr>
              <w:t xml:space="preserve">Monthly orders range narrowly from 23,296 (February) to 25,398 (January) — a variance of under 9% across 8 months.</w:t>
            </w:r>
          </w:p>
          <w:p>
            <w:r>
              <w:rPr>
                <w:rFonts w:ascii="Arial" w:cs="Arial" w:eastAsia="Arial" w:hAnsi="Arial"/>
                <w:b/>
                <w:bCs/>
                <w:sz w:val="20"/>
                <w:szCs w:val="20"/>
              </w:rPr>
              <w:t xml:space="preserve">Why it matters: </w:t>
            </w:r>
            <w:r>
              <w:rPr>
                <w:rFonts w:ascii="Arial" w:cs="Arial" w:eastAsia="Arial" w:hAnsi="Arial"/>
                <w:sz w:val="20"/>
                <w:szCs w:val="20"/>
              </w:rPr>
              <w:t xml:space="preserve">This stability is unusual for a food delivery platform, where typical demand shows weekend spikes, seasonal dips, and campaign-driven surges.</w:t>
            </w:r>
          </w:p>
          <w:p>
            <w:r>
              <w:rPr>
                <w:rFonts w:ascii="Arial" w:cs="Arial" w:eastAsia="Arial" w:hAnsi="Arial"/>
                <w:b/>
                <w:bCs/>
                <w:sz w:val="20"/>
                <w:szCs w:val="20"/>
              </w:rPr>
              <w:t xml:space="preserve">Implication: </w:t>
            </w:r>
            <w:r>
              <w:rPr>
                <w:rFonts w:ascii="Arial" w:cs="Arial" w:eastAsia="Arial" w:hAnsi="Arial"/>
                <w:sz w:val="20"/>
                <w:szCs w:val="20"/>
              </w:rPr>
              <w:t xml:space="preserve">Either the dataset represents a smoothed or aggregated view, or Swiggy's subscription and loyalty programmes are effective demand stabilisers. In either case, supply-side planning (rider availability, restaurant capacity) can be executed with high confidence.</w:t>
            </w:r>
          </w:p>
        </w:tc>
      </w:tr>
    </w:tbl>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3</w:t>
            </w:r>
          </w:p>
        </w:tc>
        <w:tc>
          <w:tcPr>
            <w:tcW w:type="dxa" w:w="8760"/>
            <w:tcBorders>
              <w:top w:val="single" w:color="E8611A" w:sz="1"/>
              <w:left w:val="single" w:color="E8611A" w:sz="1"/>
              <w:bottom w:val="single" w:color="E8611A" w:sz="1"/>
              <w:right w:val="single" w:color="E8611A" w:sz="1"/>
            </w:tcBorders>
            <w:shd w:fill="FEF0E8" w:val="clear"/>
            <w:tcMar>
              <w:top w:type="dxa" w:w="100"/>
              <w:left w:type="dxa" w:w="140"/>
              <w:bottom w:type="dxa" w:w="100"/>
              <w:right w:type="dxa" w:w="140"/>
            </w:tcMar>
          </w:tcPr>
          <w:p>
            <w:r>
              <w:rPr>
                <w:rFonts w:ascii="Arial" w:cs="Arial" w:eastAsia="Arial" w:hAnsi="Arial"/>
                <w:b/>
                <w:bCs/>
                <w:color w:val="E8611A"/>
                <w:sz w:val="22"/>
                <w:szCs w:val="22"/>
              </w:rPr>
              <w:t xml:space="preserve">Quick Service Restaurants Dominate the Top 10</w:t>
            </w:r>
          </w:p>
          <w:p>
            <w:r>
              <w:rPr>
                <w:rFonts w:ascii="Arial" w:cs="Arial" w:eastAsia="Arial" w:hAnsi="Arial"/>
                <w:b/>
                <w:bCs/>
                <w:sz w:val="20"/>
                <w:szCs w:val="20"/>
              </w:rPr>
              <w:t xml:space="preserve">What: </w:t>
            </w:r>
            <w:r>
              <w:rPr>
                <w:rFonts w:ascii="Arial" w:cs="Arial" w:eastAsia="Arial" w:hAnsi="Arial"/>
                <w:sz w:val="20"/>
                <w:szCs w:val="20"/>
              </w:rPr>
              <w:t xml:space="preserve">The top 5 restaurants by revenue are all QSR chains (KFC, McDonald's, Pizza Hut, Burger King, Domino's), collectively accounting for an estimated 25%+ of total platform revenue.</w:t>
            </w:r>
          </w:p>
          <w:p>
            <w:r>
              <w:rPr>
                <w:rFonts w:ascii="Arial" w:cs="Arial" w:eastAsia="Arial" w:hAnsi="Arial"/>
                <w:b/>
                <w:bCs/>
                <w:sz w:val="20"/>
                <w:szCs w:val="20"/>
              </w:rPr>
              <w:t xml:space="preserve">Why it matters: </w:t>
            </w:r>
            <w:r>
              <w:rPr>
                <w:rFonts w:ascii="Arial" w:cs="Arial" w:eastAsia="Arial" w:hAnsi="Arial"/>
                <w:sz w:val="20"/>
                <w:szCs w:val="20"/>
              </w:rPr>
              <w:t xml:space="preserve">QSR chains have standardised menus, consistent pricing, and high brand recall — all factors that drive repeat ordering behaviour on delivery platforms.</w:t>
            </w:r>
          </w:p>
          <w:p>
            <w:r>
              <w:rPr>
                <w:rFonts w:ascii="Arial" w:cs="Arial" w:eastAsia="Arial" w:hAnsi="Arial"/>
                <w:b/>
                <w:bCs/>
                <w:sz w:val="20"/>
                <w:szCs w:val="20"/>
              </w:rPr>
              <w:t xml:space="preserve">Implication: </w:t>
            </w:r>
            <w:r>
              <w:rPr>
                <w:rFonts w:ascii="Arial" w:cs="Arial" w:eastAsia="Arial" w:hAnsi="Arial"/>
                <w:sz w:val="20"/>
                <w:szCs w:val="20"/>
              </w:rPr>
              <w:t xml:space="preserve">Swiggy's revenue concentration in QSR chains creates dependency risk. A partnership disruption or competitor exclusivity deal with any top-5 chain would have an outsized impact on platform GMV.</w:t>
            </w:r>
          </w:p>
        </w:tc>
      </w:tr>
    </w:tbl>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4</w:t>
            </w:r>
          </w:p>
        </w:tc>
        <w:tc>
          <w:tcPr>
            <w:tcW w:type="dxa" w:w="8760"/>
            <w:tcBorders>
              <w:top w:val="single" w:color="E8611A" w:sz="1"/>
              <w:left w:val="single" w:color="E8611A" w:sz="1"/>
              <w:bottom w:val="single" w:color="E8611A" w:sz="1"/>
              <w:right w:val="single" w:color="E8611A" w:sz="1"/>
            </w:tcBorders>
            <w:shd w:fill="FEF0E8" w:val="clear"/>
            <w:tcMar>
              <w:top w:type="dxa" w:w="100"/>
              <w:left w:type="dxa" w:w="140"/>
              <w:bottom w:type="dxa" w:w="100"/>
              <w:right w:type="dxa" w:w="140"/>
            </w:tcMar>
          </w:tcPr>
          <w:p>
            <w:r>
              <w:rPr>
                <w:rFonts w:ascii="Arial" w:cs="Arial" w:eastAsia="Arial" w:hAnsi="Arial"/>
                <w:b/>
                <w:bCs/>
                <w:color w:val="E8611A"/>
                <w:sz w:val="22"/>
                <w:szCs w:val="22"/>
              </w:rPr>
              <w:t xml:space="preserve">Rating Data Is Captured but Unanalysed</w:t>
            </w:r>
          </w:p>
          <w:p>
            <w:r>
              <w:rPr>
                <w:rFonts w:ascii="Arial" w:cs="Arial" w:eastAsia="Arial" w:hAnsi="Arial"/>
                <w:b/>
                <w:bCs/>
                <w:sz w:val="20"/>
                <w:szCs w:val="20"/>
              </w:rPr>
              <w:t xml:space="preserve">What: </w:t>
            </w:r>
            <w:r>
              <w:rPr>
                <w:rFonts w:ascii="Arial" w:cs="Arial" w:eastAsia="Arial" w:hAnsi="Arial"/>
                <w:sz w:val="20"/>
                <w:szCs w:val="20"/>
              </w:rPr>
              <w:t xml:space="preserve">fact_orders contains rating and rating_count columns for every order, but no measures or visuals were built on this data in the current dashboard.</w:t>
            </w:r>
          </w:p>
          <w:p>
            <w:r>
              <w:rPr>
                <w:rFonts w:ascii="Arial" w:cs="Arial" w:eastAsia="Arial" w:hAnsi="Arial"/>
                <w:b/>
                <w:bCs/>
                <w:sz w:val="20"/>
                <w:szCs w:val="20"/>
              </w:rPr>
              <w:t xml:space="preserve">Why it matters: </w:t>
            </w:r>
            <w:r>
              <w:rPr>
                <w:rFonts w:ascii="Arial" w:cs="Arial" w:eastAsia="Arial" w:hAnsi="Arial"/>
                <w:sz w:val="20"/>
                <w:szCs w:val="20"/>
              </w:rPr>
              <w:t xml:space="preserve">Restaurant rating is one of the primary drivers of customer reorder behaviour on food delivery platforms. Unanalysed rating data is an unrealised analytical asset.</w:t>
            </w:r>
          </w:p>
          <w:p>
            <w:r>
              <w:rPr>
                <w:rFonts w:ascii="Arial" w:cs="Arial" w:eastAsia="Arial" w:hAnsi="Arial"/>
                <w:b/>
                <w:bCs/>
                <w:sz w:val="20"/>
                <w:szCs w:val="20"/>
              </w:rPr>
              <w:t xml:space="preserve">Implication: </w:t>
            </w:r>
            <w:r>
              <w:rPr>
                <w:rFonts w:ascii="Arial" w:cs="Arial" w:eastAsia="Arial" w:hAnsi="Arial"/>
                <w:sz w:val="20"/>
                <w:szCs w:val="20"/>
              </w:rPr>
              <w:t xml:space="preserve">Adding average rating by restaurant and food category would allow Swiggy's operations team to identify quality risk early — before it impacts order volumes — and prioritise restaurant support interventions.</w:t>
            </w:r>
          </w:p>
        </w:tc>
      </w:tr>
    </w:tbl>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8. Business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1A2E" w:sz="1"/>
              <w:left w:val="single" w:color="1A1A2E" w:sz="1"/>
              <w:bottom w:val="single" w:color="1A1A2E" w:sz="1"/>
              <w:right w:val="single" w:color="1A1A2E" w:sz="1"/>
            </w:tcBorders>
            <w:shd w:fill="1A1A2E"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R1</w:t>
            </w:r>
          </w:p>
        </w:tc>
        <w:tc>
          <w:tcPr>
            <w:tcW w:type="dxa" w:w="8760"/>
            <w:tcBorders>
              <w:top w:val="single" w:color="1A1A2E" w:sz="1"/>
              <w:left w:val="single" w:color="1A1A2E" w:sz="1"/>
              <w:bottom w:val="single" w:color="1A1A2E" w:sz="1"/>
              <w:right w:val="single" w:color="1A1A2E" w:sz="1"/>
            </w:tcBorders>
            <w:shd w:fill="F5F5F5" w:val="clear"/>
            <w:tcMar>
              <w:top w:type="dxa" w:w="100"/>
              <w:left w:type="dxa" w:w="140"/>
              <w:bottom w:type="dxa" w:w="100"/>
              <w:right w:type="dxa" w:w="140"/>
            </w:tcMar>
          </w:tcPr>
          <w:p>
            <w:r>
              <w:rPr>
                <w:rFonts w:ascii="Arial" w:cs="Arial" w:eastAsia="Arial" w:hAnsi="Arial"/>
                <w:b/>
                <w:bCs/>
                <w:color w:val="1A1A2E"/>
                <w:sz w:val="22"/>
                <w:szCs w:val="22"/>
              </w:rPr>
              <w:t xml:space="preserve">Build a Revenue-per-Order KPI and segment restaurants by AOV tier</w:t>
            </w:r>
          </w:p>
          <w:p>
            <w:r>
              <w:rPr>
                <w:rFonts w:ascii="Arial" w:cs="Arial" w:eastAsia="Arial" w:hAnsi="Arial"/>
                <w:b/>
                <w:bCs/>
                <w:sz w:val="20"/>
                <w:szCs w:val="20"/>
              </w:rPr>
              <w:t xml:space="preserve">Insight Basis: </w:t>
            </w:r>
            <w:r>
              <w:rPr>
                <w:rFonts w:ascii="Arial" w:cs="Arial" w:eastAsia="Arial" w:hAnsi="Arial"/>
                <w:sz w:val="20"/>
                <w:szCs w:val="20"/>
              </w:rPr>
              <w:t xml:space="preserve">KFC's revenue-volume divergence from McDonald's reveals that aggregate order counts mask per-order value differences of up to 32%.</w:t>
            </w:r>
          </w:p>
          <w:p>
            <w:r>
              <w:rPr>
                <w:rFonts w:ascii="Arial" w:cs="Arial" w:eastAsia="Arial" w:hAnsi="Arial"/>
                <w:b/>
                <w:bCs/>
                <w:sz w:val="20"/>
                <w:szCs w:val="20"/>
              </w:rPr>
              <w:t xml:space="preserve">Expected Impact: </w:t>
            </w:r>
            <w:r>
              <w:rPr>
                <w:rFonts w:ascii="Arial" w:cs="Arial" w:eastAsia="Arial" w:hAnsi="Arial"/>
                <w:sz w:val="20"/>
                <w:szCs w:val="20"/>
              </w:rPr>
              <w:t xml:space="preserve">Identifies hidden revenue efficiency leaders; enables targeted investment in high-AOV restaurant partnerships and menu upsell campaigns.</w:t>
            </w:r>
          </w:p>
        </w:tc>
      </w:tr>
    </w:tbl>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1A2E" w:sz="1"/>
              <w:left w:val="single" w:color="1A1A2E" w:sz="1"/>
              <w:bottom w:val="single" w:color="1A1A2E" w:sz="1"/>
              <w:right w:val="single" w:color="1A1A2E" w:sz="1"/>
            </w:tcBorders>
            <w:shd w:fill="1A1A2E"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R2</w:t>
            </w:r>
          </w:p>
        </w:tc>
        <w:tc>
          <w:tcPr>
            <w:tcW w:type="dxa" w:w="8760"/>
            <w:tcBorders>
              <w:top w:val="single" w:color="1A1A2E" w:sz="1"/>
              <w:left w:val="single" w:color="1A1A2E" w:sz="1"/>
              <w:bottom w:val="single" w:color="1A1A2E" w:sz="1"/>
              <w:right w:val="single" w:color="1A1A2E" w:sz="1"/>
            </w:tcBorders>
            <w:shd w:fill="F5F5F5" w:val="clear"/>
            <w:tcMar>
              <w:top w:type="dxa" w:w="100"/>
              <w:left w:type="dxa" w:w="140"/>
              <w:bottom w:type="dxa" w:w="100"/>
              <w:right w:type="dxa" w:w="140"/>
            </w:tcMar>
          </w:tcPr>
          <w:p>
            <w:r>
              <w:rPr>
                <w:rFonts w:ascii="Arial" w:cs="Arial" w:eastAsia="Arial" w:hAnsi="Arial"/>
                <w:b/>
                <w:bCs/>
                <w:color w:val="1A1A2E"/>
                <w:sz w:val="22"/>
                <w:szCs w:val="22"/>
              </w:rPr>
              <w:t xml:space="preserve">Activate rating analytics as an early-warning system</w:t>
            </w:r>
          </w:p>
          <w:p>
            <w:r>
              <w:rPr>
                <w:rFonts w:ascii="Arial" w:cs="Arial" w:eastAsia="Arial" w:hAnsi="Arial"/>
                <w:b/>
                <w:bCs/>
                <w:sz w:val="20"/>
                <w:szCs w:val="20"/>
              </w:rPr>
              <w:t xml:space="preserve">Insight Basis: </w:t>
            </w:r>
            <w:r>
              <w:rPr>
                <w:rFonts w:ascii="Arial" w:cs="Arial" w:eastAsia="Arial" w:hAnsi="Arial"/>
                <w:sz w:val="20"/>
                <w:szCs w:val="20"/>
              </w:rPr>
              <w:t xml:space="preserve">rating and rating_count are captured at order level but produce no business insight in the current model.</w:t>
            </w:r>
          </w:p>
          <w:p>
            <w:r>
              <w:rPr>
                <w:rFonts w:ascii="Arial" w:cs="Arial" w:eastAsia="Arial" w:hAnsi="Arial"/>
                <w:b/>
                <w:bCs/>
                <w:sz w:val="20"/>
                <w:szCs w:val="20"/>
              </w:rPr>
              <w:t xml:space="preserve">Expected Impact: </w:t>
            </w:r>
            <w:r>
              <w:rPr>
                <w:rFonts w:ascii="Arial" w:cs="Arial" w:eastAsia="Arial" w:hAnsi="Arial"/>
                <w:sz w:val="20"/>
                <w:szCs w:val="20"/>
              </w:rPr>
              <w:t xml:space="preserve">Rating trend monitoring per restaurant enables proactive quality management — flagging declining restaurants before order volumes drop, reducing churn from disappointed customers.</w:t>
            </w:r>
          </w:p>
        </w:tc>
      </w:tr>
    </w:tbl>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1A2E" w:sz="1"/>
              <w:left w:val="single" w:color="1A1A2E" w:sz="1"/>
              <w:bottom w:val="single" w:color="1A1A2E" w:sz="1"/>
              <w:right w:val="single" w:color="1A1A2E" w:sz="1"/>
            </w:tcBorders>
            <w:shd w:fill="1A1A2E"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R3</w:t>
            </w:r>
          </w:p>
        </w:tc>
        <w:tc>
          <w:tcPr>
            <w:tcW w:type="dxa" w:w="8760"/>
            <w:tcBorders>
              <w:top w:val="single" w:color="1A1A2E" w:sz="1"/>
              <w:left w:val="single" w:color="1A1A2E" w:sz="1"/>
              <w:bottom w:val="single" w:color="1A1A2E" w:sz="1"/>
              <w:right w:val="single" w:color="1A1A2E" w:sz="1"/>
            </w:tcBorders>
            <w:shd w:fill="F5F5F5" w:val="clear"/>
            <w:tcMar>
              <w:top w:type="dxa" w:w="100"/>
              <w:left w:type="dxa" w:w="140"/>
              <w:bottom w:type="dxa" w:w="100"/>
              <w:right w:type="dxa" w:w="140"/>
            </w:tcMar>
          </w:tcPr>
          <w:p>
            <w:r>
              <w:rPr>
                <w:rFonts w:ascii="Arial" w:cs="Arial" w:eastAsia="Arial" w:hAnsi="Arial"/>
                <w:b/>
                <w:bCs/>
                <w:color w:val="1A1A2E"/>
                <w:sz w:val="22"/>
                <w:szCs w:val="22"/>
              </w:rPr>
              <w:t xml:space="preserve">Extend the data model to include customer and delivery dimensions</w:t>
            </w:r>
          </w:p>
          <w:p>
            <w:r>
              <w:rPr>
                <w:rFonts w:ascii="Arial" w:cs="Arial" w:eastAsia="Arial" w:hAnsi="Arial"/>
                <w:b/>
                <w:bCs/>
                <w:sz w:val="20"/>
                <w:szCs w:val="20"/>
              </w:rPr>
              <w:t xml:space="preserve">Insight Basis: </w:t>
            </w:r>
            <w:r>
              <w:rPr>
                <w:rFonts w:ascii="Arial" w:cs="Arial" w:eastAsia="Arial" w:hAnsi="Arial"/>
                <w:sz w:val="20"/>
                <w:szCs w:val="20"/>
              </w:rPr>
              <w:t xml:space="preserve">The current model captures what was ordered and when, but not who ordered or how it was delivered. Delivery performance (time, partner) and customer segmentation are absent.</w:t>
            </w:r>
          </w:p>
          <w:p>
            <w:r>
              <w:rPr>
                <w:rFonts w:ascii="Arial" w:cs="Arial" w:eastAsia="Arial" w:hAnsi="Arial"/>
                <w:b/>
                <w:bCs/>
                <w:sz w:val="20"/>
                <w:szCs w:val="20"/>
              </w:rPr>
              <w:t xml:space="preserve">Expected Impact: </w:t>
            </w:r>
            <w:r>
              <w:rPr>
                <w:rFonts w:ascii="Arial" w:cs="Arial" w:eastAsia="Arial" w:hAnsi="Arial"/>
                <w:sz w:val="20"/>
                <w:szCs w:val="20"/>
              </w:rPr>
              <w:t xml:space="preserve">Customer lifetime value segmentation and delivery SLA tracking are the two highest-impact analytical capabilities missing from the current solution — adding them would unlock retention and operational efficiency use cases.</w:t>
            </w:r>
          </w:p>
        </w:tc>
      </w:tr>
    </w:tbl>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1A2E" w:sz="1"/>
              <w:left w:val="single" w:color="1A1A2E" w:sz="1"/>
              <w:bottom w:val="single" w:color="1A1A2E" w:sz="1"/>
              <w:right w:val="single" w:color="1A1A2E" w:sz="1"/>
            </w:tcBorders>
            <w:shd w:fill="1A1A2E"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R4</w:t>
            </w:r>
          </w:p>
        </w:tc>
        <w:tc>
          <w:tcPr>
            <w:tcW w:type="dxa" w:w="8760"/>
            <w:tcBorders>
              <w:top w:val="single" w:color="1A1A2E" w:sz="1"/>
              <w:left w:val="single" w:color="1A1A2E" w:sz="1"/>
              <w:bottom w:val="single" w:color="1A1A2E" w:sz="1"/>
              <w:right w:val="single" w:color="1A1A2E" w:sz="1"/>
            </w:tcBorders>
            <w:shd w:fill="F5F5F5" w:val="clear"/>
            <w:tcMar>
              <w:top w:type="dxa" w:w="100"/>
              <w:left w:type="dxa" w:w="140"/>
              <w:bottom w:type="dxa" w:w="100"/>
              <w:right w:type="dxa" w:w="140"/>
            </w:tcMar>
          </w:tcPr>
          <w:p>
            <w:r>
              <w:rPr>
                <w:rFonts w:ascii="Arial" w:cs="Arial" w:eastAsia="Arial" w:hAnsi="Arial"/>
                <w:b/>
                <w:bCs/>
                <w:color w:val="1A1A2E"/>
                <w:sz w:val="22"/>
                <w:szCs w:val="22"/>
              </w:rPr>
              <w:t xml:space="preserve">Investigate the February dip and build a demand forecasting baseline</w:t>
            </w:r>
          </w:p>
          <w:p>
            <w:r>
              <w:rPr>
                <w:rFonts w:ascii="Arial" w:cs="Arial" w:eastAsia="Arial" w:hAnsi="Arial"/>
                <w:b/>
                <w:bCs/>
                <w:sz w:val="20"/>
                <w:szCs w:val="20"/>
              </w:rPr>
              <w:t xml:space="preserve">Insight Basis: </w:t>
            </w:r>
            <w:r>
              <w:rPr>
                <w:rFonts w:ascii="Arial" w:cs="Arial" w:eastAsia="Arial" w:hAnsi="Arial"/>
                <w:sz w:val="20"/>
                <w:szCs w:val="20"/>
              </w:rPr>
              <w:t xml:space="preserve">February shows the lowest order volume (23,296) and revenue (₹62.7L) of any month in the dataset, a ~8% decline vs January.</w:t>
            </w:r>
          </w:p>
          <w:p>
            <w:r>
              <w:rPr>
                <w:rFonts w:ascii="Arial" w:cs="Arial" w:eastAsia="Arial" w:hAnsi="Arial"/>
                <w:b/>
                <w:bCs/>
                <w:sz w:val="20"/>
                <w:szCs w:val="20"/>
              </w:rPr>
              <w:t xml:space="preserve">Expected Impact: </w:t>
            </w:r>
            <w:r>
              <w:rPr>
                <w:rFonts w:ascii="Arial" w:cs="Arial" w:eastAsia="Arial" w:hAnsi="Arial"/>
                <w:sz w:val="20"/>
                <w:szCs w:val="20"/>
              </w:rPr>
              <w:t xml:space="preserve">Understanding whether the February dip is structural (shorter month), behavioural (post-January spend reduction), or operational (data quality) informs whether promotional investment is needed to smooth demand.</w:t>
            </w:r>
          </w:p>
        </w:tc>
      </w:tr>
    </w:tbl>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9. Technical Challenges &amp; Learning</w:t>
      </w:r>
    </w:p>
    <w:p>
      <w:pPr>
        <w:pStyle w:val="Heading2"/>
        <w:spacing w:after="80" w:before="200"/>
      </w:pPr>
      <w:r>
        <w:rPr>
          <w:rFonts w:ascii="Arial" w:cs="Arial" w:eastAsia="Arial" w:hAnsi="Arial"/>
          <w:b/>
          <w:bCs/>
          <w:color w:val="1A1A2E"/>
          <w:sz w:val="26"/>
          <w:szCs w:val="26"/>
        </w:rPr>
        <w:t xml:space="preserve">9.1  Microsoft Fabric Trial Constraints</w:t>
      </w:r>
    </w:p>
    <w:p>
      <w:pPr>
        <w:spacing w:after="80" w:before="80"/>
        <w:jc w:val="left"/>
      </w:pPr>
      <w:r>
        <w:rPr>
          <w:rFonts w:ascii="Arial" w:cs="Arial" w:eastAsia="Arial" w:hAnsi="Arial"/>
          <w:b w:val="false"/>
          <w:bCs w:val="false"/>
          <w:i w:val="false"/>
          <w:iCs w:val="false"/>
          <w:color w:val="1A1A2E"/>
          <w:sz w:val="22"/>
          <w:szCs w:val="22"/>
        </w:rPr>
        <w:t xml:space="preserve">This project was built using a Microsoft Fabric free trial account. The trial environment introduced specific constraints that are important for reviewers to understand:</w:t>
      </w:r>
    </w:p>
    <w:p>
      <w:pPr>
        <w:spacing w:after="60" w:before="0"/>
      </w:pPr>
      <w:r>
        <w:rPr>
          <w:rFonts w:ascii="Arial" w:cs="Arial" w:eastAsia="Arial" w:hAnsi="Arial"/>
        </w:rPr>
        <w:t xml:space="preserve"/>
      </w:r>
    </w:p>
    <w:p>
      <w:pPr>
        <w:pStyle w:val="ListParagraph"/>
        <w:numPr>
          <w:ilvl w:val="0"/>
          <w:numId w:val="2"/>
        </w:numPr>
        <w:spacing w:after="60" w:before="60"/>
      </w:pPr>
      <w:r>
        <w:rPr>
          <w:rFonts w:ascii="Arial" w:cs="Arial" w:eastAsia="Arial" w:hAnsi="Arial"/>
          <w:color w:val="1A1A2E"/>
          <w:sz w:val="22"/>
          <w:szCs w:val="22"/>
        </w:rPr>
        <w:t xml:space="preserve">DirectQuery connections to the Fabric workspace (XMLA endpoint) expire with the trial, making the published Power BI report inaccessible after trial end</w:t>
      </w:r>
    </w:p>
    <w:p>
      <w:pPr>
        <w:pStyle w:val="ListParagraph"/>
        <w:numPr>
          <w:ilvl w:val="0"/>
          <w:numId w:val="2"/>
        </w:numPr>
        <w:spacing w:after="60" w:before="60"/>
      </w:pPr>
      <w:r>
        <w:rPr>
          <w:rFonts w:ascii="Arial" w:cs="Arial" w:eastAsia="Arial" w:hAnsi="Arial"/>
          <w:color w:val="1A1A2E"/>
          <w:sz w:val="22"/>
          <w:szCs w:val="22"/>
        </w:rPr>
        <w:t xml:space="preserve">The locally saved .pbix file retains the data model structure, DAX measures, and visual layout — but visuals render blank without an active Fabric connection</w:t>
      </w:r>
    </w:p>
    <w:p>
      <w:pPr>
        <w:pStyle w:val="ListParagraph"/>
        <w:numPr>
          <w:ilvl w:val="0"/>
          <w:numId w:val="2"/>
        </w:numPr>
        <w:spacing w:after="60" w:before="60"/>
      </w:pPr>
      <w:r>
        <w:rPr>
          <w:rFonts w:ascii="Arial" w:cs="Arial" w:eastAsia="Arial" w:hAnsi="Arial"/>
          <w:color w:val="1A1A2E"/>
          <w:sz w:val="22"/>
          <w:szCs w:val="22"/>
        </w:rPr>
        <w:t xml:space="preserve">This is an inherent constraint of the Fabric trial tier, not a project design flaw — all model metadata (schema, measures, relationships) is preserved in the .pbix file</w:t>
      </w:r>
    </w:p>
    <w:p>
      <w:pPr>
        <w:spacing w:after="80" w:before="0"/>
      </w:pPr>
      <w:r>
        <w:rPr>
          <w:rFonts w:ascii="Arial" w:cs="Arial" w:eastAsia="Arial" w:hAnsi="Arial"/>
        </w:rPr>
        <w:t xml:space="preserve"/>
      </w:r>
    </w:p>
    <w:p>
      <w:pPr>
        <w:spacing w:after="80" w:before="80"/>
        <w:jc w:val="left"/>
      </w:pPr>
      <w:r>
        <w:rPr>
          <w:rFonts w:ascii="Arial" w:cs="Arial" w:eastAsia="Arial" w:hAnsi="Arial"/>
          <w:b w:val="false"/>
          <w:bCs w:val="false"/>
          <w:i w:val="false"/>
          <w:iCs w:val="false"/>
          <w:color w:val="1A1A2E"/>
          <w:sz w:val="22"/>
          <w:szCs w:val="22"/>
        </w:rPr>
        <w:t xml:space="preserve">To address this for portfolio purposes, all data structures, DAX formulas, key metrics, and dashboard insights have been documented in this report. Screenshots of the live dashboard were captured during the trial period and are included in the GitHub repository.</w:t>
      </w:r>
    </w:p>
    <w:p>
      <w:pPr>
        <w:spacing w:after="80" w:before="0"/>
      </w:pPr>
      <w:r>
        <w:rPr>
          <w:rFonts w:ascii="Arial" w:cs="Arial" w:eastAsia="Arial" w:hAnsi="Arial"/>
        </w:rPr>
        <w:t xml:space="preserve"/>
      </w:r>
    </w:p>
    <w:p>
      <w:pPr>
        <w:pStyle w:val="Heading2"/>
        <w:spacing w:after="80" w:before="200"/>
      </w:pPr>
      <w:r>
        <w:rPr>
          <w:rFonts w:ascii="Arial" w:cs="Arial" w:eastAsia="Arial" w:hAnsi="Arial"/>
          <w:b/>
          <w:bCs/>
          <w:color w:val="1A1A2E"/>
          <w:sz w:val="26"/>
          <w:szCs w:val="26"/>
        </w:rPr>
        <w:t xml:space="preserve">9.2  Key Learning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Skill Area</w:t>
            </w:r>
          </w:p>
        </w:tc>
        <w:tc>
          <w:tcPr>
            <w:tcW w:type="dxa" w:w="65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Learning Outcome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Microsoft Fabric Architecture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Understood the unified analytics platform model: Lakehouse → Warehouse → Semantic Model → Report as a continuous pipeline</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Star Schema Design</w:t>
            </w:r>
          </w:p>
        </w:tc>
        <w:tc>
          <w:tcPr>
            <w:tcW w:type="dxa" w:w="6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Implemented a 5-table star schema with surrogate keys, connecting fact and dimension tables via single-direction relationships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DirectQuery vs Import Mode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Learnt the trade-offs: DirectQuery provides real-time freshness but creates dependency on the live service endpoint</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DAX Measure Development</w:t>
            </w:r>
          </w:p>
        </w:tc>
        <w:tc>
          <w:tcPr>
            <w:tcW w:type="dxa" w:w="6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Wrote and validated Total Sales, Total Orders, and Average Order Value with correct format strings and aggregation logic</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SQL Data Validation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Applied real-world data quality checks including referential integrity validation, duplicate detection, and date normalisation</w:t>
            </w:r>
          </w:p>
        </w:tc>
      </w:tr>
      <w:tr>
        <w:tc>
          <w:tcPr>
            <w:tcW w:type="dxa" w:w="28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Power BI Semantic Layer</w:t>
            </w:r>
          </w:p>
        </w:tc>
        <w:tc>
          <w:tcPr>
            <w:tcW w:type="dxa" w:w="65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Configured table relationships, calculated columns (Food Type, Month, Quarter), and measure organisation within the semantic model</w:t>
            </w:r>
          </w:p>
        </w:tc>
      </w:tr>
    </w:tbl>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10. GitHub Repository Structure</w:t>
      </w:r>
    </w:p>
    <w:p>
      <w:pPr>
        <w:spacing w:after="80" w:before="80"/>
        <w:jc w:val="left"/>
      </w:pPr>
      <w:r>
        <w:rPr>
          <w:rFonts w:ascii="Arial" w:cs="Arial" w:eastAsia="Arial" w:hAnsi="Arial"/>
          <w:b w:val="false"/>
          <w:bCs w:val="false"/>
          <w:i w:val="false"/>
          <w:iCs w:val="false"/>
          <w:color w:val="1A1A2E"/>
          <w:sz w:val="22"/>
          <w:szCs w:val="22"/>
        </w:rPr>
        <w:t xml:space="preserve">The following file structure is recommended for publishing this project on GitHub. Since the Fabric workspace link expires with the trial, all reusable artefacts have been organised for offline review.</w:t>
      </w:r>
    </w:p>
    <w:p>
      <w:pPr>
        <w:spacing w:after="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File / Folder</w:t>
            </w:r>
          </w:p>
        </w:tc>
        <w:tc>
          <w:tcPr>
            <w:tcW w:type="dxa" w:w="57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Contents &amp; Purpose</w:t>
            </w:r>
          </w:p>
        </w:tc>
      </w:tr>
      <w:tr>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README.md</w:t>
            </w:r>
          </w:p>
        </w:tc>
        <w:tc>
          <w:tcPr>
            <w:tcW w:type="dxa" w:w="5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Project overview, architecture diagram, key findings, and dashboard screenshots — the primary entry point for recruiters</w:t>
            </w:r>
          </w:p>
        </w:tc>
      </w:tr>
      <w:tr>
        <w:tc>
          <w:tcPr>
            <w:tcW w:type="dxa" w:w="36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Swiggy_Sales_Dashboard.pbix</w:t>
            </w:r>
          </w:p>
        </w:tc>
        <w:tc>
          <w:tcPr>
            <w:tcW w:type="dxa" w:w="5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Power BI file with data model, DAX measures, and dashboard layout (visuals blank without Fabric connection)</w:t>
            </w:r>
          </w:p>
        </w:tc>
      </w:tr>
      <w:tr>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data/raw/</w:t>
            </w:r>
          </w:p>
        </w:tc>
        <w:tc>
          <w:tcPr>
            <w:tcW w:type="dxa" w:w="5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Source CSV files: customers, restaurants, orders, delivery_partners, deliveries</w:t>
            </w:r>
          </w:p>
        </w:tc>
      </w:tr>
      <w:tr>
        <w:tc>
          <w:tcPr>
            <w:tcW w:type="dxa" w:w="36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sql/01_cleaning.sql</w:t>
            </w:r>
          </w:p>
        </w:tc>
        <w:tc>
          <w:tcPr>
            <w:tcW w:type="dxa" w:w="5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SQL validation scripts: duplicates, nulls, date corrections, referential integrity checks</w:t>
            </w:r>
          </w:p>
        </w:tc>
      </w:tr>
      <w:tr>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sql/02_warehouse_ddl.sql</w:t>
            </w:r>
          </w:p>
        </w:tc>
        <w:tc>
          <w:tcPr>
            <w:tcW w:type="dxa" w:w="5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CREATE TABLE scripts for all 5 star schema tables in the Data Warehouse</w:t>
            </w:r>
          </w:p>
        </w:tc>
      </w:tr>
      <w:tr>
        <w:tc>
          <w:tcPr>
            <w:tcW w:type="dxa" w:w="36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sql/03_data_load.sql</w:t>
            </w:r>
          </w:p>
        </w:tc>
        <w:tc>
          <w:tcPr>
            <w:tcW w:type="dxa" w:w="5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INSERT/SELECT scripts loading cleaned data from Lakehouse into Warehouse tables</w:t>
            </w:r>
          </w:p>
        </w:tc>
      </w:tr>
      <w:tr>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screenshots/</w:t>
            </w:r>
          </w:p>
        </w:tc>
        <w:tc>
          <w:tcPr>
            <w:tcW w:type="dxa" w:w="5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PNG captures of live dashboard pages taken during the active Fabric trial period</w:t>
            </w:r>
          </w:p>
        </w:tc>
      </w:tr>
      <w:tr>
        <w:tc>
          <w:tcPr>
            <w:tcW w:type="dxa" w:w="36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docs/Project_Report.docx</w:t>
            </w:r>
          </w:p>
        </w:tc>
        <w:tc>
          <w:tcPr>
            <w:tcW w:type="dxa" w:w="5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This report — full technical and business documentation of the project</w:t>
            </w:r>
          </w:p>
        </w:tc>
      </w:tr>
      <w:tr>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docs/Business_Requirement.docx</w:t>
            </w:r>
          </w:p>
        </w:tc>
        <w:tc>
          <w:tcPr>
            <w:tcW w:type="dxa" w:w="5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Original business requirements document</w:t>
            </w:r>
          </w:p>
        </w:tc>
      </w:tr>
    </w:tbl>
    <w:p>
      <w:pPr>
        <w:spacing w:after="120" w:before="0"/>
      </w:pPr>
      <w:r>
        <w:rPr>
          <w:rFonts w:ascii="Arial" w:cs="Arial" w:eastAsia="Arial" w:hAnsi="Arial"/>
        </w:rPr>
        <w:t xml:space="preserve"/>
      </w:r>
    </w:p>
    <w:p>
      <w:pPr>
        <w:pStyle w:val="Heading1"/>
        <w:spacing w:after="120" w:before="320"/>
      </w:pPr>
      <w:r>
        <w:rPr>
          <w:rFonts w:ascii="Arial" w:cs="Arial" w:eastAsia="Arial" w:hAnsi="Arial"/>
          <w:b/>
          <w:bCs/>
          <w:color w:val="E8611A"/>
          <w:sz w:val="32"/>
          <w:szCs w:val="32"/>
        </w:rPr>
        <w:t xml:space="preserve">Appendix: DAX Measure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3400"/>
      </w:tblGrid>
      <w:tr>
        <w:trPr>
          <w:tblHeader/>
        </w:trPr>
        <w:tc>
          <w:tcPr>
            <w:tcW w:type="dxa" w:w="22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Measure</w:t>
            </w:r>
          </w:p>
        </w:tc>
        <w:tc>
          <w:tcPr>
            <w:tcW w:type="dxa" w:w="376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Full Expression</w:t>
            </w:r>
          </w:p>
        </w:tc>
        <w:tc>
          <w:tcPr>
            <w:tcW w:type="dxa" w:w="3400"/>
            <w:tcBorders>
              <w:top w:val="single" w:color="E8611A" w:sz="1"/>
              <w:left w:val="single" w:color="E8611A" w:sz="1"/>
              <w:bottom w:val="single" w:color="E8611A" w:sz="1"/>
              <w:right w:val="single" w:color="E8611A" w:sz="1"/>
            </w:tcBorders>
            <w:shd w:fill="E8611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Format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Total Sales</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SUM(fact_orders[price])</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 #,0.00 (en-IN currency)</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Total Orders</w:t>
            </w:r>
          </w:p>
        </w:tc>
        <w:tc>
          <w:tcPr>
            <w:tcW w:type="dxa" w:w="376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COUNTROWS(fact_orders)</w:t>
            </w:r>
          </w:p>
        </w:tc>
        <w:tc>
          <w:tcPr>
            <w:tcW w:type="dxa" w:w="3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Whole number</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Average Order Value</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DIVIDE([Total Sales], [Total Orders])</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 #,0.00</w:t>
            </w:r>
          </w:p>
        </w:tc>
      </w:tr>
    </w:tbl>
    <w:p>
      <w:pPr>
        <w:spacing w:after="80" w:before="0"/>
      </w:pPr>
      <w:r>
        <w:rPr>
          <w:rFonts w:ascii="Arial" w:cs="Arial" w:eastAsia="Arial" w:hAnsi="Arial"/>
        </w:rPr>
        <w:t xml:space="preserve"/>
      </w:r>
    </w:p>
    <w:p>
      <w:pPr>
        <w:spacing w:after="80" w:before="80"/>
        <w:jc w:val="left"/>
      </w:pPr>
      <w:r>
        <w:rPr>
          <w:rFonts w:ascii="Arial" w:cs="Arial" w:eastAsia="Arial" w:hAnsi="Arial"/>
          <w:b w:val="false"/>
          <w:bCs w:val="false"/>
          <w:i/>
          <w:iCs/>
          <w:color w:val="666666"/>
          <w:sz w:val="20"/>
          <w:szCs w:val="20"/>
        </w:rPr>
        <w:t xml:space="preserve">All measures are housed in the dim_date table (ref table). Format string uses en-IN locale currency notation with Indian Rupee symbol.</w:t>
      </w:r>
    </w:p>
    <w:p>
      <w:pPr>
        <w:spacing w:after="80" w:before="0"/>
      </w:pPr>
      <w:r>
        <w:rPr>
          <w:rFonts w:ascii="Arial" w:cs="Arial" w:eastAsia="Arial" w:hAnsi="Arial"/>
        </w:rPr>
        <w:t xml:space="preserve"/>
      </w:r>
    </w:p>
    <w:p>
      <w:pPr>
        <w:pBdr>
          <w:bottom w:val="single" w:color="E8611A" w:sz="8" w:space="1"/>
        </w:pBdr>
        <w:spacing w:after="60" w:before="60"/>
      </w:pPr>
      <w:r>
        <w:rPr>
          <w:rFonts w:ascii="Arial" w:cs="Arial" w:eastAsia="Arial" w:hAnsi="Arial"/>
        </w:rPr>
        <w:t xml:space="preserve"/>
      </w:r>
    </w:p>
    <w:p>
      <w:pPr>
        <w:spacing w:after="60" w:before="0"/>
      </w:pPr>
      <w:r>
        <w:rPr>
          <w:rFonts w:ascii="Arial" w:cs="Arial" w:eastAsia="Arial" w:hAnsi="Arial"/>
        </w:rPr>
        <w:t xml:space="preserve"/>
      </w:r>
    </w:p>
    <w:p>
      <w:pPr>
        <w:jc w:val="center"/>
      </w:pPr>
      <w:r>
        <w:rPr>
          <w:rFonts w:ascii="Arial" w:cs="Arial" w:eastAsia="Arial" w:hAnsi="Arial"/>
          <w:i/>
          <w:iCs/>
          <w:color w:val="999999"/>
          <w:sz w:val="18"/>
          <w:szCs w:val="18"/>
        </w:rPr>
        <w:t xml:space="preserve">Confidential — Portfolio / GitHub Publication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E8611A"/>
      <w:sz w:val="32"/>
      <w:szCs w:val="32"/>
    </w:rPr>
  </w:style>
  <w:style w:type="paragraph" w:styleId="Heading2">
    <w:name w:val="Heading 2"/>
    <w:basedOn w:val="Normal"/>
    <w:next w:val="Normal"/>
    <w:qFormat/>
    <w:pPr>
      <w:spacing w:after="80" w:before="200"/>
      <w:outlineLvl w:val="1"/>
    </w:pPr>
    <w:rPr>
      <w:rFonts w:ascii="Arial" w:cs="Arial" w:eastAsia="Arial" w:hAnsi="Arial"/>
      <w:b/>
      <w:bCs/>
      <w:color w:val="1A1A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2026-04-13T15:49:46.066Z</dcterms:created>
  <dcterms:modified xsi:type="dcterms:W3CDTF">2026-04-13T15:49:46.068Z</dcterms:modified>
</cp:coreProperties>
</file>

<file path=docProps/custom.xml><?xml version="1.0" encoding="utf-8"?>
<Properties xmlns="http://schemas.openxmlformats.org/officeDocument/2006/custom-properties" xmlns:vt="http://schemas.openxmlformats.org/officeDocument/2006/docPropsVTypes"/>
</file>