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left"/>
      </w:pPr>
      <w:r>
        <w:t xml:space="preserve">Task 01 and Task 02: BPMN models and i* socio-technical models</w:t>
      </w:r>
    </w:p>
    <w:p>
      <w:pPr>
        <w:pStyle w:val="Heading2"/>
        <w:keepNext/>
      </w:pPr>
      <w:r>
        <w:t xml:space="preserve">Part A — Task 01: Strategic BPMN process models (LO1, LO3)</w:t>
      </w:r>
    </w:p>
    <w:p>
      <w:pPr>
        <w:pStyle w:val="Heading3"/>
        <w:keepNext/>
      </w:pPr>
      <w:r>
        <w:t xml:space="preserve">A.1 Scope and abstraction</w:t>
      </w:r>
    </w:p>
    <w:p>
      <w:r>
        <w:t xml:space="preserve">Task 01 asks for high-level BPMN models of the initial release that show the broader business processes, the organisational responsibilities and the external interactions, and that explain how the strategic activities relate to the operational model. Because no single readable diagram can do all of that, the view is presented at two levels.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2153"/>
        <w:gridCol w:w="5158"/>
        <w:gridCol w:w="2327"/>
      </w:tblGrid>
      <w:tr>
        <w:trPr>
          <w:tblHeader/>
        </w:trPr>
        <w:tc>
          <w:tcPr>
            <w:tcW w:w="2153" w:type="dxa"/>
            <w:shd w:val="clear" w:fill="EDEDED"/>
            <w:vAlign w:val="top"/>
          </w:tcPr>
          <w:p>
            <w:pPr>
              <w:spacing w:before="20" w:after="20"/>
            </w:pPr>
            <w:r>
              <w:rPr>
                <w:b/>
                <w:sz w:val="21"/>
                <w:szCs w:val="21"/>
              </w:rPr>
              <w:t xml:space="preserve">Model</w:t>
            </w:r>
          </w:p>
        </w:tc>
        <w:tc>
          <w:tcPr>
            <w:tcW w:w="5158" w:type="dxa"/>
            <w:shd w:val="clear" w:fill="EDEDED"/>
            <w:vAlign w:val="top"/>
          </w:tcPr>
          <w:p>
            <w:pPr>
              <w:spacing w:before="20" w:after="20"/>
            </w:pPr>
            <w:r>
              <w:rPr>
                <w:b/>
                <w:sz w:val="21"/>
                <w:szCs w:val="21"/>
              </w:rPr>
              <w:t xml:space="preserve">File</w:t>
            </w:r>
          </w:p>
        </w:tc>
        <w:tc>
          <w:tcPr>
            <w:tcW w:w="2327" w:type="dxa"/>
            <w:shd w:val="clear" w:fill="EDEDED"/>
            <w:vAlign w:val="top"/>
          </w:tcPr>
          <w:p>
            <w:pPr>
              <w:spacing w:before="20" w:after="20"/>
            </w:pPr>
            <w:r>
              <w:rPr>
                <w:b/>
                <w:sz w:val="21"/>
                <w:szCs w:val="21"/>
              </w:rPr>
              <w:t xml:space="preserve">Abstraction</w:t>
            </w:r>
          </w:p>
        </w:tc>
      </w:tr>
      <w:tr>
        <w:tc>
          <w:tcPr>
            <w:tcW w:w="2153" w:type="dxa"/>
            <w:vAlign w:val="top"/>
          </w:tcPr>
          <w:p>
            <w:pPr>
              <w:spacing w:before="20" w:after="20"/>
            </w:pPr>
            <w:r>
              <w:rPr>
                <w:sz w:val="21"/>
                <w:szCs w:val="21"/>
              </w:rPr>
              <w:t xml:space="preserve">O1 operational merged model</w:t>
            </w:r>
          </w:p>
        </w:tc>
        <w:tc>
          <w:tcPr>
            <w:tcW w:w="5158" w:type="dxa"/>
            <w:vAlign w:val="top"/>
          </w:tcPr>
          <w:p>
            <w:pPr>
              <w:spacing w:before="20" w:after="20"/>
            </w:pPr>
            <w:r>
              <w:rPr>
                <w:rFonts w:ascii="Consolas" w:hAnsi="Consolas"/>
                <w:sz w:val="21"/>
                <w:szCs w:val="21"/>
              </w:rPr>
              <w:t xml:space="preserve">O1_Operational_Merged.bpmn</w:t>
            </w:r>
          </w:p>
        </w:tc>
        <w:tc>
          <w:tcPr>
            <w:tcW w:w="2327" w:type="dxa"/>
            <w:vAlign w:val="top"/>
          </w:tcPr>
          <w:p>
            <w:pPr>
              <w:spacing w:before="20" w:after="20"/>
            </w:pPr>
            <w:r>
              <w:rPr>
                <w:sz w:val="21"/>
                <w:szCs w:val="21"/>
              </w:rPr>
              <w:t xml:space="preserve">Level 3 — detailed operational tasks, 8 lanes, 59 nodes, 8 external participants</w:t>
            </w:r>
          </w:p>
        </w:tc>
      </w:tr>
      <w:tr>
        <w:tc>
          <w:tcPr>
            <w:tcW w:w="2153" w:type="dxa"/>
            <w:vAlign w:val="top"/>
          </w:tcPr>
          <w:p>
            <w:pPr>
              <w:spacing w:before="20" w:after="20"/>
            </w:pPr>
            <w:r>
              <w:rPr>
                <w:sz w:val="21"/>
                <w:szCs w:val="21"/>
              </w:rPr>
              <w:t xml:space="preserve">S1 strategic process landscape</w:t>
            </w:r>
          </w:p>
        </w:tc>
        <w:tc>
          <w:tcPr>
            <w:tcW w:w="5158" w:type="dxa"/>
            <w:vAlign w:val="top"/>
          </w:tcPr>
          <w:p>
            <w:pPr>
              <w:spacing w:before="20" w:after="20"/>
            </w:pPr>
            <w:r>
              <w:rPr>
                <w:rFonts w:ascii="Consolas" w:hAnsi="Consolas"/>
                <w:sz w:val="21"/>
                <w:szCs w:val="21"/>
              </w:rPr>
              <w:t xml:space="preserve">S1_Strategic_Landscape.bpmn</w:t>
            </w:r>
          </w:p>
        </w:tc>
        <w:tc>
          <w:tcPr>
            <w:tcW w:w="2327" w:type="dxa"/>
            <w:vAlign w:val="top"/>
          </w:tcPr>
          <w:p>
            <w:pPr>
              <w:spacing w:before="20" w:after="20"/>
            </w:pPr>
            <w:r>
              <w:rPr>
                <w:sz w:val="21"/>
                <w:szCs w:val="21"/>
              </w:rPr>
              <w:t xml:space="preserve">Level 1 — one hospital pool, no internal roles, 24 nodes, 7 external participants</w:t>
            </w:r>
          </w:p>
        </w:tc>
      </w:tr>
      <w:tr>
        <w:tc>
          <w:tcPr>
            <w:tcW w:w="2153" w:type="dxa"/>
            <w:vAlign w:val="top"/>
          </w:tcPr>
          <w:p>
            <w:pPr>
              <w:spacing w:before="20" w:after="20"/>
            </w:pPr>
            <w:r>
              <w:rPr>
                <w:sz w:val="21"/>
                <w:szCs w:val="21"/>
              </w:rPr>
              <w:t xml:space="preserve">S2 strategic collaboration, referral to authorisation</w:t>
            </w:r>
          </w:p>
        </w:tc>
        <w:tc>
          <w:tcPr>
            <w:tcW w:w="5158" w:type="dxa"/>
            <w:vAlign w:val="top"/>
          </w:tcPr>
          <w:p>
            <w:pPr>
              <w:spacing w:before="20" w:after="20"/>
            </w:pPr>
            <w:r>
              <w:rPr>
                <w:rFonts w:ascii="Consolas" w:hAnsi="Consolas"/>
                <w:sz w:val="21"/>
                <w:szCs w:val="21"/>
              </w:rPr>
              <w:t xml:space="preserve">S2_Strategic_Referral_To_Authorisation.bpmn</w:t>
            </w:r>
          </w:p>
        </w:tc>
        <w:tc>
          <w:tcPr>
            <w:tcW w:w="2327" w:type="dxa"/>
            <w:vAlign w:val="top"/>
          </w:tcPr>
          <w:p>
            <w:pPr>
              <w:spacing w:before="20" w:after="20"/>
            </w:pPr>
            <w:r>
              <w:rPr>
                <w:sz w:val="21"/>
                <w:szCs w:val="21"/>
              </w:rPr>
              <w:t xml:space="preserve">Level 2 — 6 lanes, 36 nodes</w:t>
            </w:r>
          </w:p>
        </w:tc>
      </w:tr>
      <w:tr>
        <w:tc>
          <w:tcPr>
            <w:tcW w:w="2153" w:type="dxa"/>
            <w:vAlign w:val="top"/>
          </w:tcPr>
          <w:p>
            <w:pPr>
              <w:spacing w:before="20" w:after="20"/>
            </w:pPr>
            <w:r>
              <w:rPr>
                <w:sz w:val="21"/>
                <w:szCs w:val="21"/>
              </w:rPr>
              <w:t xml:space="preserve">S3 strategic collaboration, treatment to aftercare</w:t>
            </w:r>
          </w:p>
        </w:tc>
        <w:tc>
          <w:tcPr>
            <w:tcW w:w="5158" w:type="dxa"/>
            <w:vAlign w:val="top"/>
          </w:tcPr>
          <w:p>
            <w:pPr>
              <w:spacing w:before="20" w:after="20"/>
            </w:pPr>
            <w:r>
              <w:rPr>
                <w:rFonts w:ascii="Consolas" w:hAnsi="Consolas"/>
                <w:sz w:val="21"/>
                <w:szCs w:val="21"/>
              </w:rPr>
              <w:t xml:space="preserve">S3_Strategic_Treatment_To_Aftercare.bpmn</w:t>
            </w:r>
          </w:p>
        </w:tc>
        <w:tc>
          <w:tcPr>
            <w:tcW w:w="2327" w:type="dxa"/>
            <w:vAlign w:val="top"/>
          </w:tcPr>
          <w:p>
            <w:pPr>
              <w:spacing w:before="20" w:after="20"/>
            </w:pPr>
            <w:r>
              <w:rPr>
                <w:sz w:val="21"/>
                <w:szCs w:val="21"/>
              </w:rPr>
              <w:t xml:space="preserve">Level 2 — three processes (7, 3 and 1 lanes), 74 nodes</w:t>
            </w:r>
          </w:p>
        </w:tc>
      </w:tr>
    </w:tbl>
    <w:p>
      <w:pPr>
        <w:spacing w:after="0"/>
      </w:pPr>
    </w:p>
    <w:p>
      <w:r>
        <w:rPr>
          <w:b/>
        </w:rPr>
        <w:t xml:space="preserve">What each model is for, concretely.</w:t>
      </w:r>
      <w:r>
        <w:t xml:space="preserve"> </w:t>
      </w:r>
      <w:r>
        <w:rPr>
          <w:rFonts w:ascii="Consolas" w:hAnsi="Consolas"/>
        </w:rPr>
        <w:t xml:space="preserve">S1</w:t>
      </w:r>
      <w:r>
        <w:t xml:space="preserve"> answers "what is the system boundary and who does the hospital exchange messages with". It is the only view in which the seven external participants and the fifteen message flows can be seen together, and it is the view a new stakeholder should read first. </w:t>
      </w:r>
      <w:r>
        <w:rPr>
          <w:rFonts w:ascii="Consolas" w:hAnsi="Consolas"/>
        </w:rPr>
        <w:t xml:space="preserve">S2</w:t>
      </w:r>
      <w:r>
        <w:t xml:space="preserve"> answers "who is accountable from referral to an authorised treatment request", which is the half of the pathway where administrative error is most damaging because clinical decisions are adjacent to administrative ones. </w:t>
      </w:r>
      <w:r>
        <w:rPr>
          <w:rFonts w:ascii="Consolas" w:hAnsi="Consolas"/>
        </w:rPr>
        <w:t xml:space="preserve">S3</w:t>
      </w:r>
      <w:r>
        <w:t xml:space="preserve"> answers the same question for the half where money changes hands, and adds the three areas the case study describes but the first two models do not reach: correspondence and its escalation ladder, patient enquiries, and reporting. </w:t>
      </w:r>
      <w:r>
        <w:rPr>
          <w:rFonts w:ascii="Consolas" w:hAnsi="Consolas"/>
        </w:rPr>
        <w:t xml:space="preserve">O1</w:t>
      </w:r>
      <w:r>
        <w:t xml:space="preserve"> answers "what does the initial release actually do, step by step".</w:t>
      </w:r>
    </w:p>
    <w:p>
      <w:r>
        <w:t xml:space="preserve">The split between </w:t>
      </w:r>
      <w:r>
        <w:rPr>
          <w:rFonts w:ascii="Consolas" w:hAnsi="Consolas"/>
        </w:rPr>
        <w:t xml:space="preserve">S2</w:t>
      </w:r>
      <w:r>
        <w:t xml:space="preserve"> and </w:t>
      </w:r>
      <w:r>
        <w:rPr>
          <w:rFonts w:ascii="Consolas" w:hAnsi="Consolas"/>
        </w:rPr>
        <w:t xml:space="preserve">S3</w:t>
      </w:r>
      <w:r>
        <w:t xml:space="preserve"> is not arbitrary. It falls at the point where the Treatment Booking Request is authorised and passes from clinical responsibility into administrative and financial responsibility — which is the boundary the case study is most insistent about, and therefore the most useful place to break a diagram.</w:t>
      </w:r>
    </w:p>
    <w:p>
      <w:r>
        <w:rPr>
          <w:b/>
        </w:rPr>
        <w:t xml:space="preserve">Why these levels.</w:t>
      </w:r>
      <w:r>
        <w:t xml:space="preserve"> Level 1 is deliberately a value chain: one box per business phase, no roles, no decisions internal to a team. It exists so that the system boundary and the external dependencies can be read on one page, and so that the wider business process can be compared with the implemented solution. Level 2 keeps the same boundary and external participants but attributes every activity to the unit accountable for it. Level 3 is the operational detail.</w:t>
      </w:r>
    </w:p>
    <w:p>
      <w:r>
        <w:t xml:space="preserve">Level 2 is the right stopping point because the case study's central risk is not a missing screen but </w:t>
      </w:r>
      <w:r>
        <w:rPr>
          <w:b/>
        </w:rPr>
        <w:t xml:space="preserve">confused responsibility</w:t>
      </w:r>
      <w:r>
        <w:t xml:space="preserve">: administrative staff must not make clinical judgements, clinical staff must not approve refunds without financial authority, and treatment changes made informally must not be processed. Those are properties of the division of labour and are only visible when activities are attributed to roles. Each level 2 activity therefore carries a </w:t>
      </w:r>
      <w:r>
        <w:rPr>
          <w:rFonts w:ascii="Consolas" w:hAnsi="Consolas"/>
        </w:rPr>
        <w:t xml:space="preserve">documentation</w:t>
      </w:r>
      <w:r>
        <w:t xml:space="preserve"> element naming the operational step it decomposes into.</w:t>
      </w:r>
    </w:p>
    <w:p>
      <w:pPr>
        <w:jc w:val="center"/>
        <w:spacing w:before="120" w:after="120"/>
      </w:pPr>
      <w:r>
        <w:drawing>
          <wp:inline distT="0" distB="0" distL="0" distR="0">
            <wp:extent cx="5940000" cy="1241056"/>
            <wp:docPr id="10" name="Figure 1 — S1 strategic process landscape" descr="Figure 1 — S1 strategic process landscape"/>
            <a:graphic>
              <a:graphicData uri="http://schemas.openxmlformats.org/drawingml/2006/picture">
                <pic:pic>
                  <pic:nvPicPr>
                    <pic:cNvPr id="10" name="Figure 1 — S1 strategic process landscape"/>
                    <pic:cNvPicPr/>
                  </pic:nvPicPr>
                  <pic:blipFill>
                    <a:blip r:embed="rIdImg1"/>
                    <a:stretch>
                      <a:fillRect/>
                    </a:stretch>
                  </pic:blipFill>
                  <pic:spPr>
                    <a:xfrm>
                      <a:off x="0" y="0"/>
                      <a:ext cx="5940000" cy="1241056"/>
                    </a:xfrm>
                    <a:prstGeom prst="rect">
                      <a:avLst/>
                    </a:prstGeom>
                  </pic:spPr>
                </pic:pic>
              </a:graphicData>
            </a:graphic>
          </wp:inline>
        </w:drawing>
      </w:r>
    </w:p>
    <w:p>
      <w:r>
        <w:rPr>
          <w:i/>
        </w:rPr>
        <w:t xml:space="preserve">Figure 1. S1 level 1 landscape: one hospital pool, one box per phase, every external participant as a collapsed black-box pool.</w:t>
      </w:r>
    </w:p>
    <w:p>
      <w:pPr>
        <w:jc w:val="center"/>
        <w:spacing w:before="120" w:after="120"/>
      </w:pPr>
      <w:r>
        <w:drawing>
          <wp:inline distT="0" distB="0" distL="0" distR="0">
            <wp:extent cx="5940000" cy="1601100"/>
            <wp:docPr id="11" name="Figure 2 — S2 strategic collaboration" descr="Figure 2 — S2 strategic collaboration"/>
            <a:graphic>
              <a:graphicData uri="http://schemas.openxmlformats.org/drawingml/2006/picture">
                <pic:pic>
                  <pic:nvPicPr>
                    <pic:cNvPr id="11" name="Figure 2 — S2 strategic collaboration"/>
                    <pic:cNvPicPr/>
                  </pic:nvPicPr>
                  <pic:blipFill>
                    <a:blip r:embed="rIdImg2"/>
                    <a:stretch>
                      <a:fillRect/>
                    </a:stretch>
                  </pic:blipFill>
                  <pic:spPr>
                    <a:xfrm>
                      <a:off x="0" y="0"/>
                      <a:ext cx="5940000" cy="1601100"/>
                    </a:xfrm>
                    <a:prstGeom prst="rect">
                      <a:avLst/>
                    </a:prstGeom>
                  </pic:spPr>
                </pic:pic>
              </a:graphicData>
            </a:graphic>
          </wp:inline>
        </w:drawing>
      </w:r>
    </w:p>
    <w:p>
      <w:r>
        <w:rPr>
          <w:i/>
        </w:rPr>
        <w:t xml:space="preserve">Figure 2. S2 level 2 collaboration: referral intake and triage, appointment booking, consultation and consent, clinical authorisation. Readable PDF: `02_BPMN_Models/readable_exports/S2_Strategic_Referral_To_Authorisation.pdf`.</w:t>
      </w:r>
    </w:p>
    <w:p>
      <w:pPr>
        <w:jc w:val="center"/>
        <w:spacing w:before="120" w:after="120"/>
      </w:pPr>
      <w:r>
        <w:drawing>
          <wp:inline distT="0" distB="0" distL="0" distR="0">
            <wp:extent cx="5940000" cy="1715040"/>
            <wp:docPr id="12" name="Figure 3 — S3 strategic collaboration" descr="Figure 3 — S3 strategic collaboration"/>
            <a:graphic>
              <a:graphicData uri="http://schemas.openxmlformats.org/drawingml/2006/picture">
                <pic:pic>
                  <pic:nvPicPr>
                    <pic:cNvPr id="12" name="Figure 3 — S3 strategic collaboration"/>
                    <pic:cNvPicPr/>
                  </pic:nvPicPr>
                  <pic:blipFill>
                    <a:blip r:embed="rIdImg3"/>
                    <a:stretch>
                      <a:fillRect/>
                    </a:stretch>
                  </pic:blipFill>
                  <pic:spPr>
                    <a:xfrm>
                      <a:off x="0" y="0"/>
                      <a:ext cx="5940000" cy="1715040"/>
                    </a:xfrm>
                    <a:prstGeom prst="rect">
                      <a:avLst/>
                    </a:prstGeom>
                  </pic:spPr>
                </pic:pic>
              </a:graphicData>
            </a:graphic>
          </wp:inline>
        </w:drawing>
      </w:r>
    </w:p>
    <w:p>
      <w:r>
        <w:rPr>
          <w:i/>
        </w:rPr>
        <w:t xml:space="preserve">Figure 3. S3 level 2 collaboration: funding and payment, treatment delivery and review cycles, authorised modification, correspondence and escalation, follow-up and aftercare, patient enquiries, management reporting. Readable PDF: `02_BPMN_Models/readable_exports/S3_Strategic_Treatment_To_Aftercare.pdf`.</w:t>
      </w:r>
    </w:p>
    <w:p>
      <w:pPr>
        <w:jc w:val="center"/>
        <w:spacing w:before="120" w:after="120"/>
      </w:pPr>
      <w:r>
        <w:drawing>
          <wp:inline distT="0" distB="0" distL="0" distR="0">
            <wp:extent cx="5940000" cy="1411020"/>
            <wp:docPr id="13" name="Figure 4 — O1 operational merged model" descr="Figure 4 — O1 operational merged model"/>
            <a:graphic>
              <a:graphicData uri="http://schemas.openxmlformats.org/drawingml/2006/picture">
                <pic:pic>
                  <pic:nvPicPr>
                    <pic:cNvPr id="13" name="Figure 4 — O1 operational merged model"/>
                    <pic:cNvPicPr/>
                  </pic:nvPicPr>
                  <pic:blipFill>
                    <a:blip r:embed="rIdImg4"/>
                    <a:stretch>
                      <a:fillRect/>
                    </a:stretch>
                  </pic:blipFill>
                  <pic:spPr>
                    <a:xfrm>
                      <a:off x="0" y="0"/>
                      <a:ext cx="5940000" cy="1411020"/>
                    </a:xfrm>
                    <a:prstGeom prst="rect">
                      <a:avLst/>
                    </a:prstGeom>
                  </pic:spPr>
                </pic:pic>
              </a:graphicData>
            </a:graphic>
          </wp:inline>
        </w:drawing>
      </w:r>
    </w:p>
    <w:p>
      <w:r>
        <w:rPr>
          <w:i/>
        </w:rPr>
        <w:t xml:space="preserve">Figure 4. O1 level 3 operational model: the merged operational process from referral to a confirmed treatment schedule. Readable PDF: `02_BPMN_Models/readable_exports/O1_Operational_Merged.pdf`.</w:t>
      </w:r>
    </w:p>
    <w:p>
      <w:pPr>
        <w:pStyle w:val="Heading3"/>
        <w:keepNext/>
      </w:pPr>
      <w:r>
        <w:t xml:space="preserve">A.2 Notation and conventions</w:t>
      </w:r>
    </w:p>
    <w:p>
      <w:r>
        <w:rPr>
          <w:b/>
        </w:rPr>
        <w:t xml:space="preserve">White-box participants.</w:t>
      </w:r>
      <w:r>
        <w:t xml:space="preserve"> S2 declares one hospital pool with seven lanes (Medical Secretaries; Consultant / Clinical Team; Outpatient Bookings Team; Patient Pathway Coordinators; Call Handling Team; Treatment and Chemotherapy Bookings Team; Clinical Nurse Specialist Team). S3 declares a main hospital pool with seven lanes and </w:t>
      </w:r>
      <w:r>
        <w:rPr>
          <w:b/>
        </w:rPr>
        <w:t xml:space="preserve">two further processes</w:t>
      </w:r>
      <w:r>
        <w:t xml:space="preserve">: patient enquiry handling (three lanes) and management reporting (one lane). Only lanes that carry work are declared — the original Sprint 1 and 2 files declared lanes for the Finance Team, Clinical Nurse Specialist Team, Call Handling Team, Administrative Management and Outpatient Bookings Team and then left them empty, which asserts a responsibility the process does not discharge.</w:t>
      </w:r>
    </w:p>
    <w:p>
      <w:r>
        <w:t xml:space="preserve">Enquiry handling and reporting are separate processes rather than lanes because neither is a step in an individual patient's pathway: a patient may telephone at any time, and reporting runs on a monthly cycle.</w:t>
      </w:r>
    </w:p>
    <w:p>
      <w:r>
        <w:t xml:space="preserve">The models are authored in BPMN 2.0 (Object Management Group, 2013) and carry the Camunda 8 execution attributes — form references, job types, message subscriptions and timer definitions — described in the platform documentation (Camunda, 2025). Every element is drawn from the BPMN 2.0 meta-model; no proprietary notation is introduced.</w:t>
      </w:r>
    </w:p>
    <w:p>
      <w:r>
        <w:rPr>
          <w:b/>
        </w:rPr>
        <w:t xml:space="preserve">Black-box participants.</w:t>
      </w:r>
      <w:r>
        <w:t xml:space="preserve"> External and upstream organisations are collapsed pools: the referring organisation, the patient or authorised representative, the external scheduling service, the external correspondence service, the external payment service provider, external clinical services, the funding organisation or insurer, and another specialist service that can receive a redirected referral. They are collapsed because the case study does not describe their internal behaviour and the hospital has no authority over it.</w:t>
      </w:r>
    </w:p>
    <w:p>
      <w:r>
        <w:rPr>
          <w:b/>
        </w:rPr>
        <w:t xml:space="preserve">External interactions.</w:t>
      </w:r>
      <w:r>
        <w:t xml:space="preserve"> Every exchange with the outside world is an explicit labelled message flow, including the ones that are easy to omit: the missing-documentation request, the referral outcome notification, the redirect, slot queries and responses, appointment letters, telephone contact attempts and their outcome, funding approval requests and responses, secure payment requests and payment status, refund requests, blood test requests, clinic letter distribution, follow-up requests, and the cancellation or non-attendance notice.</w:t>
      </w:r>
    </w:p>
    <w:p>
      <w:r>
        <w:rPr>
          <w:b/>
        </w:rPr>
        <w:t xml:space="preserve">Implementation-facing detail.</w:t>
      </w:r>
      <w:r>
        <w:t xml:space="preserve"> User tasks carry a Camunda form reference and a </w:t>
      </w:r>
      <w:r>
        <w:rPr>
          <w:rFonts w:ascii="Consolas" w:hAnsi="Consolas"/>
        </w:rPr>
        <w:t xml:space="preserve">candidateGroups</w:t>
      </w:r>
      <w:r>
        <w:t xml:space="preserve"> value naming the owning team; automated activities carry a Zeebe job type (for example </w:t>
      </w:r>
      <w:r>
        <w:rPr>
          <w:rFonts w:ascii="Consolas" w:hAnsi="Consolas"/>
        </w:rPr>
        <w:t xml:space="preserve">query-available-appointment-slots</w:t>
      </w:r>
      <w:r>
        <w:t xml:space="preserve">, </w:t>
      </w:r>
      <w:r>
        <w:rPr>
          <w:rFonts w:ascii="Consolas" w:hAnsi="Consolas"/>
        </w:rPr>
        <w:t xml:space="preserve">request-secure-payment</w:t>
      </w:r>
      <w:r>
        <w:t xml:space="preserve">, </w:t>
      </w:r>
      <w:r>
        <w:rPr>
          <w:rFonts w:ascii="Consolas" w:hAnsi="Consolas"/>
        </w:rPr>
        <w:t xml:space="preserve">request-refund</w:t>
      </w:r>
      <w:r>
        <w:t xml:space="preserve">, </w:t>
      </w:r>
      <w:r>
        <w:rPr>
          <w:rFonts w:ascii="Consolas" w:hAnsi="Consolas"/>
        </w:rPr>
        <w:t xml:space="preserve">distribute-clinical-correspondence</w:t>
      </w:r>
      <w:r>
        <w:t xml:space="preserve">). This is why the models pass the Camunda 8 compatibility linter with zero reports: an unassigned user task or a service task without a task definition is a real defect in a Camunda 8 model.</w:t>
      </w:r>
    </w:p>
    <w:p>
      <w:pPr>
        <w:pStyle w:val="Heading3"/>
        <w:keepNext/>
      </w:pPr>
      <w:r>
        <w:t xml:space="preserve">A.3 Merging the three Sprint 1 and Sprint 2 fragments</w:t>
      </w:r>
    </w:p>
    <w:p>
      <w:r>
        <w:t xml:space="preserve">The group produced three BPMN files in Sprints 1 and 2. They were written at different times, by different owners, against different execution platforms, and each covered only part of the pathway. Merging them required correcting the defects the merge exposed. The audit is reproducible: it parses each file with the same moddle schema Camunda Modeler uses on open and runs the Camunda Modeler lint engine headlessly.</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819"/>
        <w:gridCol w:w="4819"/>
      </w:tblGrid>
      <w:tr>
        <w:trPr>
          <w:tblHeader/>
        </w:trPr>
        <w:tc>
          <w:tcPr>
            <w:tcW w:w="4819" w:type="dxa"/>
            <w:shd w:val="clear" w:fill="EDEDED"/>
            <w:vAlign w:val="top"/>
          </w:tcPr>
          <w:p>
            <w:pPr>
              <w:spacing w:before="20" w:after="20"/>
            </w:pPr>
            <w:r>
              <w:rPr>
                <w:b/>
                <w:sz w:val="21"/>
                <w:szCs w:val="21"/>
              </w:rPr>
              <w:t xml:space="preserve">Defect</w:t>
            </w:r>
          </w:p>
        </w:tc>
        <w:tc>
          <w:tcPr>
            <w:tcW w:w="4819" w:type="dxa"/>
            <w:shd w:val="clear" w:fill="EDEDED"/>
            <w:vAlign w:val="top"/>
          </w:tcPr>
          <w:p>
            <w:pPr>
              <w:spacing w:before="20" w:after="20"/>
            </w:pPr>
            <w:r>
              <w:rPr>
                <w:b/>
                <w:sz w:val="21"/>
                <w:szCs w:val="21"/>
              </w:rPr>
              <w:t xml:space="preserve">Correction</w:t>
            </w:r>
          </w:p>
        </w:tc>
      </w:tr>
      <w:tr>
        <w:tc>
          <w:tcPr>
            <w:tcW w:w="4819" w:type="dxa"/>
            <w:vAlign w:val="top"/>
          </w:tcPr>
          <w:p>
            <w:pPr>
              <w:spacing w:before="20" w:after="20"/>
            </w:pPr>
            <w:r>
              <w:rPr>
                <w:b/>
                <w:sz w:val="21"/>
                <w:szCs w:val="21"/>
              </w:rPr>
              <w:t xml:space="preserve">Mixed execution platforms.</w:t>
            </w:r>
            <w:r>
              <w:rPr>
                <w:sz w:val="21"/>
                <w:szCs w:val="21"/>
              </w:rPr>
              <w:t xml:space="preserve"> Two files use Zeebe; the third uses Camunda 7 (</w:t>
            </w:r>
            <w:r>
              <w:rPr>
                <w:rFonts w:ascii="Consolas" w:hAnsi="Consolas"/>
                <w:sz w:val="21"/>
                <w:szCs w:val="21"/>
              </w:rPr>
              <w:t xml:space="preserve">camunda:type="external"</w:t>
            </w:r>
            <w:r>
              <w:rPr>
                <w:sz w:val="21"/>
                <w:szCs w:val="21"/>
              </w:rPr>
              <w:t xml:space="preserve">, </w:t>
            </w:r>
            <w:r>
              <w:rPr>
                <w:rFonts w:ascii="Consolas" w:hAnsi="Consolas"/>
                <w:sz w:val="21"/>
                <w:szCs w:val="21"/>
              </w:rPr>
              <w:t xml:space="preserve">${}</w:t>
            </w:r>
            <w:r>
              <w:rPr>
                <w:sz w:val="21"/>
                <w:szCs w:val="21"/>
              </w:rPr>
              <w:t xml:space="preserve"> expressions) and declares no execution platform</w:t>
            </w:r>
          </w:p>
        </w:tc>
        <w:tc>
          <w:tcPr>
            <w:tcW w:w="4819" w:type="dxa"/>
            <w:vAlign w:val="top"/>
          </w:tcPr>
          <w:p>
            <w:pPr>
              <w:spacing w:before="20" w:after="20"/>
            </w:pPr>
            <w:r>
              <w:rPr>
                <w:sz w:val="21"/>
                <w:szCs w:val="21"/>
              </w:rPr>
              <w:t xml:space="preserve">All models targeted at Camunda 8 (Zeebe) 8.10; expressions converted to FEEL; job workers declared with </w:t>
            </w:r>
            <w:r>
              <w:rPr>
                <w:rFonts w:ascii="Consolas" w:hAnsi="Consolas"/>
                <w:sz w:val="21"/>
                <w:szCs w:val="21"/>
              </w:rPr>
              <w:t xml:space="preserve">zeebe:taskDefinition</w:t>
            </w:r>
          </w:p>
        </w:tc>
      </w:tr>
      <w:tr>
        <w:tc>
          <w:tcPr>
            <w:tcW w:w="4819" w:type="dxa"/>
            <w:vAlign w:val="top"/>
          </w:tcPr>
          <w:p>
            <w:pPr>
              <w:spacing w:before="20" w:after="20"/>
            </w:pPr>
            <w:r>
              <w:rPr>
                <w:b/>
                <w:sz w:val="21"/>
                <w:szCs w:val="21"/>
              </w:rPr>
              <w:t xml:space="preserve">Duplicate element identifiers across files</w:t>
            </w:r>
            <w:r>
              <w:rPr>
                <w:sz w:val="21"/>
                <w:szCs w:val="21"/>
              </w:rPr>
              <w:t xml:space="preserve"> (</w:t>
            </w:r>
            <w:r>
              <w:rPr>
                <w:rFonts w:ascii="Consolas" w:hAnsi="Consolas"/>
                <w:sz w:val="21"/>
                <w:szCs w:val="21"/>
              </w:rPr>
              <w:t xml:space="preserve">Participant_0xulon7</w:t>
            </w:r>
            <w:r>
              <w:rPr>
                <w:sz w:val="21"/>
                <w:szCs w:val="21"/>
              </w:rPr>
              <w:t xml:space="preserve">, </w:t>
            </w:r>
            <w:r>
              <w:rPr>
                <w:rFonts w:ascii="Consolas" w:hAnsi="Consolas"/>
                <w:sz w:val="21"/>
                <w:szCs w:val="21"/>
              </w:rPr>
              <w:t xml:space="preserve">Process_0fl9bxn</w:t>
            </w:r>
            <w:r>
              <w:rPr>
                <w:sz w:val="21"/>
                <w:szCs w:val="21"/>
              </w:rPr>
              <w:t xml:space="preserve"> and others reused with different meanings)</w:t>
            </w:r>
          </w:p>
        </w:tc>
        <w:tc>
          <w:tcPr>
            <w:tcW w:w="4819" w:type="dxa"/>
            <w:vAlign w:val="top"/>
          </w:tcPr>
          <w:p>
            <w:pPr>
              <w:spacing w:before="20" w:after="20"/>
            </w:pPr>
            <w:r>
              <w:rPr>
                <w:sz w:val="21"/>
                <w:szCs w:val="21"/>
              </w:rPr>
              <w:t xml:space="preserve">One naming convention: </w:t>
            </w:r>
            <w:r>
              <w:rPr>
                <w:rFonts w:ascii="Consolas" w:hAnsi="Consolas"/>
                <w:sz w:val="21"/>
                <w:szCs w:val="21"/>
              </w:rPr>
              <w:t xml:space="preserve">P_</w:t>
            </w:r>
            <w:r>
              <w:rPr>
                <w:sz w:val="21"/>
                <w:szCs w:val="21"/>
              </w:rPr>
              <w:t xml:space="preserve">, </w:t>
            </w:r>
            <w:r>
              <w:rPr>
                <w:rFonts w:ascii="Consolas" w:hAnsi="Consolas"/>
                <w:sz w:val="21"/>
                <w:szCs w:val="21"/>
              </w:rPr>
              <w:t xml:space="preserve">L_</w:t>
            </w:r>
            <w:r>
              <w:rPr>
                <w:sz w:val="21"/>
                <w:szCs w:val="21"/>
              </w:rPr>
              <w:t xml:space="preserve">, </w:t>
            </w:r>
            <w:r>
              <w:rPr>
                <w:rFonts w:ascii="Consolas" w:hAnsi="Consolas"/>
                <w:sz w:val="21"/>
                <w:szCs w:val="21"/>
              </w:rPr>
              <w:t xml:space="preserve">T_</w:t>
            </w:r>
            <w:r>
              <w:rPr>
                <w:sz w:val="21"/>
                <w:szCs w:val="21"/>
              </w:rPr>
              <w:t xml:space="preserve">, </w:t>
            </w:r>
            <w:r>
              <w:rPr>
                <w:rFonts w:ascii="Consolas" w:hAnsi="Consolas"/>
                <w:sz w:val="21"/>
                <w:szCs w:val="21"/>
              </w:rPr>
              <w:t xml:space="preserve">G_</w:t>
            </w:r>
            <w:r>
              <w:rPr>
                <w:sz w:val="21"/>
                <w:szCs w:val="21"/>
              </w:rPr>
              <w:t xml:space="preserve">, </w:t>
            </w:r>
            <w:r>
              <w:rPr>
                <w:rFonts w:ascii="Consolas" w:hAnsi="Consolas"/>
                <w:sz w:val="21"/>
                <w:szCs w:val="21"/>
              </w:rPr>
              <w:t xml:space="preserve">E_</w:t>
            </w:r>
            <w:r>
              <w:rPr>
                <w:sz w:val="21"/>
                <w:szCs w:val="21"/>
              </w:rPr>
              <w:t xml:space="preserve">, </w:t>
            </w:r>
            <w:r>
              <w:rPr>
                <w:rFonts w:ascii="Consolas" w:hAnsi="Consolas"/>
                <w:sz w:val="21"/>
                <w:szCs w:val="21"/>
              </w:rPr>
              <w:t xml:space="preserve">F_</w:t>
            </w:r>
            <w:r>
              <w:rPr>
                <w:sz w:val="21"/>
                <w:szCs w:val="21"/>
              </w:rPr>
              <w:t xml:space="preserve">, </w:t>
            </w:r>
            <w:r>
              <w:rPr>
                <w:rFonts w:ascii="Consolas" w:hAnsi="Consolas"/>
                <w:sz w:val="21"/>
                <w:szCs w:val="21"/>
              </w:rPr>
              <w:t xml:space="preserve">MF_</w:t>
            </w:r>
            <w:r>
              <w:rPr>
                <w:sz w:val="21"/>
                <w:szCs w:val="21"/>
              </w:rPr>
              <w:t xml:space="preserve">, </w:t>
            </w:r>
            <w:r>
              <w:rPr>
                <w:rFonts w:ascii="Consolas" w:hAnsi="Consolas"/>
                <w:sz w:val="21"/>
                <w:szCs w:val="21"/>
              </w:rPr>
              <w:t xml:space="preserve">Msg_</w:t>
            </w:r>
          </w:p>
        </w:tc>
      </w:tr>
      <w:tr>
        <w:tc>
          <w:tcPr>
            <w:tcW w:w="4819" w:type="dxa"/>
            <w:vAlign w:val="top"/>
          </w:tcPr>
          <w:p>
            <w:pPr>
              <w:spacing w:before="20" w:after="20"/>
            </w:pPr>
            <w:r>
              <w:rPr>
                <w:b/>
                <w:sz w:val="21"/>
                <w:szCs w:val="21"/>
              </w:rPr>
              <w:t xml:space="preserve">A pool labelled "External Payment Service Provider" pointed at the hospital's own process</w:t>
            </w:r>
            <w:r>
              <w:rPr>
                <w:sz w:val="21"/>
                <w:szCs w:val="21"/>
              </w:rPr>
              <w:t xml:space="preserve">; two pools shared that name, and two shared "External Scheduling Service"</w:t>
            </w:r>
          </w:p>
        </w:tc>
        <w:tc>
          <w:tcPr>
            <w:tcW w:w="4819" w:type="dxa"/>
            <w:vAlign w:val="top"/>
          </w:tcPr>
          <w:p>
            <w:pPr>
              <w:spacing w:before="20" w:after="20"/>
            </w:pPr>
            <w:r>
              <w:rPr>
                <w:sz w:val="21"/>
                <w:szCs w:val="21"/>
              </w:rPr>
              <w:t xml:space="preserve">One participant per organisation, each name matched to its own process</w:t>
            </w:r>
          </w:p>
        </w:tc>
      </w:tr>
      <w:tr>
        <w:tc>
          <w:tcPr>
            <w:tcW w:w="4819" w:type="dxa"/>
            <w:vAlign w:val="top"/>
          </w:tcPr>
          <w:p>
            <w:pPr>
              <w:spacing w:before="20" w:after="20"/>
            </w:pPr>
            <w:r>
              <w:rPr>
                <w:b/>
                <w:sz w:val="21"/>
                <w:szCs w:val="21"/>
              </w:rPr>
              <w:t xml:space="preserve">Empty processes and empty lanes</w:t>
            </w:r>
            <w:r>
              <w:rPr>
                <w:sz w:val="21"/>
                <w:szCs w:val="21"/>
              </w:rPr>
              <w:t xml:space="preserve">: 7 empty processes and 5 empty lanes in one file, 6 empty black-box participants in another, 6 empty lanes in the first</w:t>
            </w:r>
          </w:p>
        </w:tc>
        <w:tc>
          <w:tcPr>
            <w:tcW w:w="4819" w:type="dxa"/>
            <w:vAlign w:val="top"/>
          </w:tcPr>
          <w:p>
            <w:pPr>
              <w:spacing w:before="20" w:after="20"/>
            </w:pPr>
            <w:r>
              <w:rPr>
                <w:sz w:val="21"/>
                <w:szCs w:val="21"/>
              </w:rPr>
              <w:t xml:space="preserve">Only lanes and participants that carry work are declared</w:t>
            </w:r>
          </w:p>
        </w:tc>
      </w:tr>
      <w:tr>
        <w:tc>
          <w:tcPr>
            <w:tcW w:w="4819" w:type="dxa"/>
            <w:vAlign w:val="top"/>
          </w:tcPr>
          <w:p>
            <w:pPr>
              <w:spacing w:before="20" w:after="20"/>
            </w:pPr>
            <w:r>
              <w:rPr>
                <w:b/>
                <w:sz w:val="21"/>
                <w:szCs w:val="21"/>
              </w:rPr>
              <w:t xml:space="preserve">Dangling and unreachable elements</w:t>
            </w:r>
            <w:r>
              <w:rPr>
                <w:sz w:val="21"/>
                <w:szCs w:val="21"/>
              </w:rPr>
              <w:t xml:space="preserve">: "Record missing document list" had no outgoing flow, so a referral with missing documents could never continue; the rejection and redirect notices had no incoming flow; another file's payment task had neither</w:t>
            </w:r>
          </w:p>
        </w:tc>
        <w:tc>
          <w:tcPr>
            <w:tcW w:w="4819" w:type="dxa"/>
            <w:vAlign w:val="top"/>
          </w:tcPr>
          <w:p>
            <w:pPr>
              <w:spacing w:before="20" w:after="20"/>
            </w:pPr>
            <w:r>
              <w:rPr>
                <w:sz w:val="21"/>
                <w:szCs w:val="21"/>
              </w:rPr>
              <w:t xml:space="preserve">The missing-documentation request returns to the completeness check; rejection and redirect terminate in named end events</w:t>
            </w:r>
          </w:p>
        </w:tc>
      </w:tr>
      <w:tr>
        <w:tc>
          <w:tcPr>
            <w:tcW w:w="4819" w:type="dxa"/>
            <w:vAlign w:val="top"/>
          </w:tcPr>
          <w:p>
            <w:pPr>
              <w:spacing w:before="20" w:after="20"/>
            </w:pPr>
            <w:r>
              <w:rPr>
                <w:b/>
                <w:sz w:val="21"/>
                <w:szCs w:val="21"/>
              </w:rPr>
              <w:t xml:space="preserve">A rejected or redirected referral was forwarded to the booking team</w:t>
            </w:r>
          </w:p>
        </w:tc>
        <w:tc>
          <w:tcPr>
            <w:tcW w:w="4819" w:type="dxa"/>
            <w:vAlign w:val="top"/>
          </w:tcPr>
          <w:p>
            <w:pPr>
              <w:spacing w:before="20" w:after="20"/>
            </w:pPr>
            <w:r>
              <w:rPr>
                <w:sz w:val="21"/>
                <w:szCs w:val="21"/>
              </w:rPr>
              <w:t xml:space="preserve">The decision gateway has four labelled branches; only the accepted branch reaches the Outpatient Bookings Team</w:t>
            </w:r>
          </w:p>
        </w:tc>
      </w:tr>
      <w:tr>
        <w:tc>
          <w:tcPr>
            <w:tcW w:w="4819" w:type="dxa"/>
            <w:vAlign w:val="top"/>
          </w:tcPr>
          <w:p>
            <w:pPr>
              <w:spacing w:before="20" w:after="20"/>
            </w:pPr>
            <w:r>
              <w:rPr>
                <w:b/>
                <w:sz w:val="21"/>
                <w:szCs w:val="21"/>
              </w:rPr>
              <w:t xml:space="preserve">Five exclusive gateways with no default flow</w:t>
            </w:r>
            <w:r>
              <w:rPr>
                <w:sz w:val="21"/>
                <w:szCs w:val="21"/>
              </w:rPr>
              <w:t xml:space="preserve">, which fail at runtime with "no outgoing sequence flow could be selected"</w:t>
            </w:r>
          </w:p>
        </w:tc>
        <w:tc>
          <w:tcPr>
            <w:tcW w:w="4819" w:type="dxa"/>
            <w:vAlign w:val="top"/>
          </w:tcPr>
          <w:p>
            <w:pPr>
              <w:spacing w:before="20" w:after="20"/>
            </w:pPr>
            <w:r>
              <w:rPr>
                <w:sz w:val="21"/>
                <w:szCs w:val="21"/>
              </w:rPr>
              <w:t xml:space="preserve">Every diverging exclusive gateway declares a default flow; every non-default branch carries a condition</w:t>
            </w:r>
          </w:p>
        </w:tc>
      </w:tr>
      <w:tr>
        <w:tc>
          <w:tcPr>
            <w:tcW w:w="4819" w:type="dxa"/>
            <w:vAlign w:val="top"/>
          </w:tcPr>
          <w:p>
            <w:pPr>
              <w:spacing w:before="20" w:after="20"/>
            </w:pPr>
            <w:r>
              <w:rPr>
                <w:b/>
                <w:sz w:val="21"/>
                <w:szCs w:val="21"/>
              </w:rPr>
              <w:t xml:space="preserve">Inconsistent decision values</w:t>
            </w:r>
            <w:r>
              <w:rPr>
                <w:sz w:val="21"/>
                <w:szCs w:val="21"/>
              </w:rPr>
              <w:t xml:space="preserve">: </w:t>
            </w:r>
            <w:r>
              <w:rPr>
                <w:rFonts w:ascii="Consolas" w:hAnsi="Consolas"/>
                <w:sz w:val="21"/>
                <w:szCs w:val="21"/>
              </w:rPr>
              <w:t xml:space="preserve">"reject"</w:t>
            </w:r>
            <w:r>
              <w:rPr>
                <w:sz w:val="21"/>
                <w:szCs w:val="21"/>
              </w:rPr>
              <w:t xml:space="preserve">, </w:t>
            </w:r>
            <w:r>
              <w:rPr>
                <w:rFonts w:ascii="Consolas" w:hAnsi="Consolas"/>
                <w:sz w:val="21"/>
                <w:szCs w:val="21"/>
              </w:rPr>
              <w:t xml:space="preserve">"redirect"</w:t>
            </w:r>
            <w:r>
              <w:rPr>
                <w:sz w:val="21"/>
                <w:szCs w:val="21"/>
              </w:rPr>
              <w:t xml:space="preserve">, </w:t>
            </w:r>
            <w:r>
              <w:rPr>
                <w:rFonts w:ascii="Consolas" w:hAnsi="Consolas"/>
                <w:sz w:val="21"/>
                <w:szCs w:val="21"/>
              </w:rPr>
              <w:t xml:space="preserve">"Request more info"</w:t>
            </w:r>
            <w:r>
              <w:rPr>
                <w:sz w:val="21"/>
                <w:szCs w:val="21"/>
              </w:rPr>
              <w:t xml:space="preserve"> and </w:t>
            </w:r>
            <w:r>
              <w:rPr>
                <w:rFonts w:ascii="Consolas" w:hAnsi="Consolas"/>
                <w:sz w:val="21"/>
                <w:szCs w:val="21"/>
              </w:rPr>
              <w:t xml:space="preserve">"Accept"</w:t>
            </w:r>
            <w:r>
              <w:rPr>
                <w:sz w:val="21"/>
                <w:szCs w:val="21"/>
              </w:rPr>
              <w:t xml:space="preserve"> for the same variable</w:t>
            </w:r>
          </w:p>
        </w:tc>
        <w:tc>
          <w:tcPr>
            <w:tcW w:w="4819" w:type="dxa"/>
            <w:vAlign w:val="top"/>
          </w:tcPr>
          <w:p>
            <w:pPr>
              <w:spacing w:before="20" w:after="20"/>
            </w:pPr>
            <w:r>
              <w:rPr>
                <w:sz w:val="21"/>
                <w:szCs w:val="21"/>
              </w:rPr>
              <w:t xml:space="preserve">One controlled value set used consistently</w:t>
            </w:r>
          </w:p>
        </w:tc>
      </w:tr>
      <w:tr>
        <w:tc>
          <w:tcPr>
            <w:tcW w:w="4819" w:type="dxa"/>
            <w:vAlign w:val="top"/>
          </w:tcPr>
          <w:p>
            <w:pPr>
              <w:spacing w:before="20" w:after="20"/>
            </w:pPr>
            <w:r>
              <w:rPr>
                <w:b/>
                <w:sz w:val="21"/>
                <w:szCs w:val="21"/>
              </w:rPr>
              <w:t xml:space="preserve">Roles in the wrong lanes</w:t>
            </w:r>
            <w:r>
              <w:rPr>
                <w:sz w:val="21"/>
                <w:szCs w:val="21"/>
              </w:rPr>
              <w:t xml:space="preserve">: Medical Secretaries held slot booking; the telephone task sat in the Call Handling lane but was assigned to the bookings team</w:t>
            </w:r>
          </w:p>
        </w:tc>
        <w:tc>
          <w:tcPr>
            <w:tcW w:w="4819" w:type="dxa"/>
            <w:vAlign w:val="top"/>
          </w:tcPr>
          <w:p>
            <w:pPr>
              <w:spacing w:before="20" w:after="20"/>
            </w:pPr>
            <w:r>
              <w:rPr>
                <w:sz w:val="21"/>
                <w:szCs w:val="21"/>
              </w:rPr>
              <w:t xml:space="preserve">Work attributed to the team the case study makes accountable</w:t>
            </w:r>
          </w:p>
        </w:tc>
      </w:tr>
      <w:tr>
        <w:tc>
          <w:tcPr>
            <w:tcW w:w="4819" w:type="dxa"/>
            <w:vAlign w:val="top"/>
          </w:tcPr>
          <w:p>
            <w:pPr>
              <w:spacing w:before="20" w:after="20"/>
            </w:pPr>
            <w:r>
              <w:rPr>
                <w:b/>
                <w:sz w:val="21"/>
                <w:szCs w:val="21"/>
              </w:rPr>
              <w:t xml:space="preserve">Non-canonical XML</w:t>
            </w:r>
            <w:r>
              <w:rPr>
                <w:sz w:val="21"/>
                <w:szCs w:val="21"/>
              </w:rPr>
              <w:t xml:space="preserve">: no </w:t>
            </w:r>
            <w:r>
              <w:rPr>
                <w:rFonts w:ascii="Consolas" w:hAnsi="Consolas"/>
                <w:sz w:val="21"/>
                <w:szCs w:val="21"/>
              </w:rPr>
              <w:t xml:space="preserve">incoming</w:t>
            </w:r>
            <w:r>
              <w:rPr>
                <w:sz w:val="21"/>
                <w:szCs w:val="21"/>
              </w:rPr>
              <w:t xml:space="preserve"> or </w:t>
            </w:r>
            <w:r>
              <w:rPr>
                <w:rFonts w:ascii="Consolas" w:hAnsi="Consolas"/>
                <w:sz w:val="21"/>
                <w:szCs w:val="21"/>
              </w:rPr>
              <w:t xml:space="preserve">outgoing</w:t>
            </w:r>
            <w:r>
              <w:rPr>
                <w:sz w:val="21"/>
                <w:szCs w:val="21"/>
              </w:rPr>
              <w:t xml:space="preserve"> elements on any flow node; task definitions on end events; an unknown </w:t>
            </w:r>
            <w:r>
              <w:rPr>
                <w:rFonts w:ascii="Consolas" w:hAnsi="Consolas"/>
                <w:sz w:val="21"/>
                <w:szCs w:val="21"/>
              </w:rPr>
              <w:t xml:space="preserve">camunda:gatewayDirection</w:t>
            </w:r>
            <w:r>
              <w:rPr>
                <w:sz w:val="21"/>
                <w:szCs w:val="21"/>
              </w:rPr>
              <w:t xml:space="preserve"> attribute</w:t>
            </w:r>
          </w:p>
        </w:tc>
        <w:tc>
          <w:tcPr>
            <w:tcW w:w="4819" w:type="dxa"/>
            <w:vAlign w:val="top"/>
          </w:tcPr>
          <w:p>
            <w:pPr>
              <w:spacing w:before="20" w:after="20"/>
            </w:pPr>
            <w:r>
              <w:rPr>
                <w:sz w:val="21"/>
                <w:szCs w:val="21"/>
              </w:rPr>
              <w:t xml:space="preserve">Canonical serialisation; outbound messages are send tasks; unknown attributes removed</w:t>
            </w:r>
          </w:p>
        </w:tc>
      </w:tr>
      <w:tr>
        <w:tc>
          <w:tcPr>
            <w:tcW w:w="4819" w:type="dxa"/>
            <w:vAlign w:val="top"/>
          </w:tcPr>
          <w:p>
            <w:pPr>
              <w:spacing w:before="20" w:after="20"/>
            </w:pPr>
            <w:r>
              <w:rPr>
                <w:b/>
                <w:sz w:val="21"/>
                <w:szCs w:val="21"/>
              </w:rPr>
              <w:t xml:space="preserve">The 14-day telephone rule was missing</w:t>
            </w:r>
            <w:r>
              <w:rPr>
                <w:sz w:val="21"/>
                <w:szCs w:val="21"/>
              </w:rPr>
              <w:t xml:space="preserve">, contact attempts were not recorded, and a 14-day timer that does not exist in the case study terminated the process</w:t>
            </w:r>
          </w:p>
        </w:tc>
        <w:tc>
          <w:tcPr>
            <w:tcW w:w="4819" w:type="dxa"/>
            <w:vAlign w:val="top"/>
          </w:tcPr>
          <w:p>
            <w:pPr>
              <w:spacing w:before="20" w:after="20"/>
            </w:pPr>
            <w:r>
              <w:rPr>
                <w:sz w:val="21"/>
                <w:szCs w:val="21"/>
              </w:rPr>
              <w:t xml:space="preserve">The 14-day rule is an explicit gateway; attempts and outcomes are recorded</w:t>
            </w:r>
          </w:p>
        </w:tc>
      </w:tr>
      <w:tr>
        <w:tc>
          <w:tcPr>
            <w:tcW w:w="4819" w:type="dxa"/>
            <w:vAlign w:val="top"/>
          </w:tcPr>
          <w:p>
            <w:pPr>
              <w:spacing w:before="20" w:after="20"/>
            </w:pPr>
            <w:r>
              <w:rPr>
                <w:b/>
                <w:sz w:val="21"/>
                <w:szCs w:val="21"/>
              </w:rPr>
              <w:t xml:space="preserve">No coverage of refunds, non-attendance, delayed-letter escalation, enquiries, treatment modification or follow-up</w:t>
            </w:r>
          </w:p>
        </w:tc>
        <w:tc>
          <w:tcPr>
            <w:tcW w:w="4819" w:type="dxa"/>
            <w:vAlign w:val="top"/>
          </w:tcPr>
          <w:p>
            <w:pPr>
              <w:spacing w:before="20" w:after="20"/>
            </w:pPr>
            <w:r>
              <w:rPr>
                <w:sz w:val="21"/>
                <w:szCs w:val="21"/>
              </w:rPr>
              <w:t xml:space="preserve">Modelled in S3; where not implemented, recorded as a gap</w:t>
            </w:r>
          </w:p>
        </w:tc>
      </w:tr>
    </w:tbl>
    <w:p>
      <w:pPr>
        <w:spacing w:after="0"/>
      </w:pPr>
    </w:p>
    <w:p>
      <w:pPr>
        <w:pStyle w:val="Heading3"/>
        <w:keepNext/>
      </w:pPr>
      <w:r>
        <w:t xml:space="preserve">A.4 Validation, deployment and execution</w:t>
      </w:r>
    </w:p>
    <w:p>
      <w:r>
        <w:t xml:space="preserve">The delivered models were checked five ways.</w:t>
      </w:r>
    </w:p>
    <w:p>
      <w:pPr>
        <w:pStyle w:val="ListNumber"/>
      </w:pPr>
      <w:r>
        <w:rPr>
          <w:b/>
        </w:rPr>
        <w:t xml:space="preserve">Schema round-trip</w:t>
      </w:r>
      <w:r>
        <w:t xml:space="preserve"> with </w:t>
      </w:r>
      <w:r>
        <w:rPr>
          <w:rFonts w:ascii="Consolas" w:hAnsi="Consolas"/>
        </w:rPr>
        <w:t xml:space="preserve">bpmn-moddle</w:t>
      </w:r>
      <w:r>
        <w:t xml:space="preserve"> 10.1.0 using the Zeebe 1.18 and modeler extensions — the same parse that happens when a file is opened in Camunda Modeler. Result: </w:t>
      </w:r>
      <w:r>
        <w:rPr>
          <w:b/>
        </w:rPr>
        <w:t xml:space="preserve">zero warnings</w:t>
      </w:r>
      <w:r>
        <w:t xml:space="preserve"> in all four models.</w:t>
      </w:r>
    </w:p>
    <w:p>
      <w:pPr>
        <w:pStyle w:val="ListNumber"/>
      </w:pPr>
      <w:r>
        <w:rPr>
          <w:b/>
        </w:rPr>
        <w:t xml:space="preserve">Camunda compatibility lint</w:t>
      </w:r>
      <w:r>
        <w:t xml:space="preserve"> with </w:t>
      </w:r>
      <w:r>
        <w:rPr>
          <w:rFonts w:ascii="Consolas" w:hAnsi="Consolas"/>
        </w:rPr>
        <w:t xml:space="preserve">@camunda/linting</w:t>
      </w:r>
      <w:r>
        <w:t xml:space="preserve"> 3.57.0 configured for </w:t>
      </w:r>
      <w:r>
        <w:rPr>
          <w:rFonts w:ascii="Consolas" w:hAnsi="Consolas"/>
        </w:rPr>
        <w:t xml:space="preserve">Camunda Cloud</w:t>
      </w:r>
      <w:r>
        <w:t xml:space="preserve"> diagrams, the library behind the Modeler "Problems" panel. Result: </w:t>
      </w:r>
      <w:r>
        <w:rPr>
          <w:b/>
        </w:rPr>
        <w:t xml:space="preserve">zero reports</w:t>
      </w:r>
      <w:r>
        <w:t xml:space="preserve"> in all four models.</w:t>
      </w:r>
    </w:p>
    <w:p>
      <w:pPr>
        <w:pStyle w:val="ListNumber"/>
      </w:pPr>
      <w:r>
        <w:rPr>
          <w:b/>
        </w:rPr>
        <w:t xml:space="preserve">Structural audit</w:t>
      </w:r>
      <w:r>
        <w:t xml:space="preserve">: connectivity recomputed from the sequence flows, reachability from start and boundary events, paths to an end event, gateway default flows, duplicate identifiers and participant names, empty lanes and empty processes. Result: </w:t>
      </w:r>
      <w:r>
        <w:rPr>
          <w:b/>
        </w:rPr>
        <w:t xml:space="preserve">no defects</w:t>
      </w:r>
      <w:r>
        <w:t xml:space="preserve">.</w:t>
      </w:r>
    </w:p>
    <w:p>
      <w:pPr>
        <w:pStyle w:val="ListNumber"/>
      </w:pPr>
      <w:r>
        <w:rPr>
          <w:b/>
        </w:rPr>
        <w:t xml:space="preserve">Deployment</w:t>
      </w:r>
      <w:r>
        <w:t xml:space="preserve"> to a running Camunda 8 Run 8.10.0-alpha5 cluster through the Orchestration Cluster API, together with 68 Camunda Forms generated from the models. Result: </w:t>
      </w:r>
      <w:r>
        <w:rPr>
          <w:b/>
        </w:rPr>
        <w:t xml:space="preserve">all six process definitions deploy</w:t>
      </w:r>
      <w:r>
        <w:t xml:space="preserve">.</w:t>
      </w:r>
    </w:p>
    <w:p>
      <w:pPr>
        <w:pStyle w:val="ListNumber"/>
      </w:pPr>
      <w:r>
        <w:rPr>
          <w:b/>
        </w:rPr>
        <w:t xml:space="preserve">Execution</w:t>
      </w:r>
      <w:r>
        <w:t xml:space="preserve">: eighteen acceptance test cases driven against the deployed operational model. Result: </w:t>
      </w:r>
      <w:r>
        <w:rPr>
          <w:b/>
        </w:rPr>
        <w:t xml:space="preserve">18 of 18 passed</w:t>
      </w:r>
      <w:r>
        <w:t xml:space="preserve">, with the process instance key and full element-instance trace retained for each.</w:t>
      </w:r>
    </w:p>
    <w:p>
      <w:r>
        <w:t xml:space="preserve">Deployment and execution found four defects that checks 1 to 3 could not: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74"/>
        <w:gridCol w:w="4482"/>
        <w:gridCol w:w="4482"/>
      </w:tblGrid>
      <w:tr>
        <w:trPr>
          <w:tblHeader/>
        </w:trPr>
        <w:tc>
          <w:tcPr>
            <w:tcW w:w="674" w:type="dxa"/>
            <w:shd w:val="clear" w:fill="EDEDED"/>
            <w:vAlign w:val="top"/>
          </w:tcPr>
          <w:p>
            <w:pPr>
              <w:spacing w:before="20" w:after="20"/>
            </w:pPr>
            <w:r>
              <w:rPr>
                <w:b/>
                <w:sz w:val="21"/>
                <w:szCs w:val="21"/>
              </w:rPr>
              <w:t xml:space="preserve">ID</w:t>
            </w:r>
          </w:p>
        </w:tc>
        <w:tc>
          <w:tcPr>
            <w:tcW w:w="4482" w:type="dxa"/>
            <w:shd w:val="clear" w:fill="EDEDED"/>
            <w:vAlign w:val="top"/>
          </w:tcPr>
          <w:p>
            <w:pPr>
              <w:spacing w:before="20" w:after="20"/>
            </w:pPr>
            <w:r>
              <w:rPr>
                <w:b/>
                <w:sz w:val="21"/>
                <w:szCs w:val="21"/>
              </w:rPr>
              <w:t xml:space="preserve">Defect</w:t>
            </w:r>
          </w:p>
        </w:tc>
        <w:tc>
          <w:tcPr>
            <w:tcW w:w="4482" w:type="dxa"/>
            <w:shd w:val="clear" w:fill="EDEDED"/>
            <w:vAlign w:val="top"/>
          </w:tcPr>
          <w:p>
            <w:pPr>
              <w:spacing w:before="20" w:after="20"/>
            </w:pPr>
            <w:r>
              <w:rPr>
                <w:b/>
                <w:sz w:val="21"/>
                <w:szCs w:val="21"/>
              </w:rPr>
              <w:t xml:space="preserve">How it surfaced</w:t>
            </w:r>
          </w:p>
        </w:tc>
      </w:tr>
      <w:tr>
        <w:tc>
          <w:tcPr>
            <w:tcW w:w="674" w:type="dxa"/>
            <w:vAlign w:val="top"/>
          </w:tcPr>
          <w:p>
            <w:pPr>
              <w:spacing w:before="20" w:after="20"/>
            </w:pPr>
            <w:r>
              <w:rPr>
                <w:sz w:val="21"/>
                <w:szCs w:val="21"/>
              </w:rPr>
              <w:t xml:space="preserve">DEP-01</w:t>
            </w:r>
          </w:p>
        </w:tc>
        <w:tc>
          <w:tcPr>
            <w:tcW w:w="4482" w:type="dxa"/>
            <w:vAlign w:val="top"/>
          </w:tcPr>
          <w:p>
            <w:pPr>
              <w:spacing w:before="20" w:after="20"/>
            </w:pPr>
            <w:r>
              <w:rPr>
                <w:rFonts w:ascii="Consolas" w:hAnsi="Consolas"/>
                <w:sz w:val="21"/>
                <w:szCs w:val="21"/>
              </w:rPr>
              <w:t xml:space="preserve">bpmn:documentation</w:t>
            </w:r>
            <w:r>
              <w:rPr>
                <w:sz w:val="21"/>
                <w:szCs w:val="21"/>
              </w:rPr>
              <w:t xml:space="preserve"> emitted as a child of </w:t>
            </w:r>
            <w:r>
              <w:rPr>
                <w:rFonts w:ascii="Consolas" w:hAnsi="Consolas"/>
                <w:sz w:val="21"/>
                <w:szCs w:val="21"/>
              </w:rPr>
              <w:t xml:space="preserve">bpmn:definitions</w:t>
            </w:r>
            <w:r>
              <w:rPr>
                <w:sz w:val="21"/>
                <w:szCs w:val="21"/>
              </w:rPr>
              <w:t xml:space="preserve">, which the BPMN 2.0 XSD does not permit</w:t>
            </w:r>
          </w:p>
        </w:tc>
        <w:tc>
          <w:tcPr>
            <w:tcW w:w="4482" w:type="dxa"/>
            <w:vAlign w:val="top"/>
          </w:tcPr>
          <w:p>
            <w:pPr>
              <w:spacing w:before="20" w:after="20"/>
            </w:pPr>
            <w:r>
              <w:rPr>
                <w:sz w:val="21"/>
                <w:szCs w:val="21"/>
              </w:rPr>
              <w:t xml:space="preserve">Deployment rejected: </w:t>
            </w:r>
            <w:r>
              <w:rPr>
                <w:rFonts w:ascii="Consolas" w:hAnsi="Consolas"/>
                <w:sz w:val="21"/>
                <w:szCs w:val="21"/>
              </w:rPr>
              <w:t xml:space="preserve">cvc-complex-type.2.4.a</w:t>
            </w:r>
          </w:p>
        </w:tc>
      </w:tr>
      <w:tr>
        <w:tc>
          <w:tcPr>
            <w:tcW w:w="674" w:type="dxa"/>
            <w:vAlign w:val="top"/>
          </w:tcPr>
          <w:p>
            <w:pPr>
              <w:spacing w:before="20" w:after="20"/>
            </w:pPr>
            <w:r>
              <w:rPr>
                <w:sz w:val="21"/>
                <w:szCs w:val="21"/>
              </w:rPr>
              <w:t xml:space="preserve">DEP-02</w:t>
            </w:r>
          </w:p>
        </w:tc>
        <w:tc>
          <w:tcPr>
            <w:tcW w:w="4482" w:type="dxa"/>
            <w:vAlign w:val="top"/>
          </w:tcPr>
          <w:p>
            <w:pPr>
              <w:spacing w:before="20" w:after="20"/>
            </w:pPr>
            <w:r>
              <w:rPr>
                <w:sz w:val="21"/>
                <w:szCs w:val="21"/>
              </w:rPr>
              <w:t xml:space="preserve">Event definitions serialised before </w:t>
            </w:r>
            <w:r>
              <w:rPr>
                <w:rFonts w:ascii="Consolas" w:hAnsi="Consolas"/>
                <w:sz w:val="21"/>
                <w:szCs w:val="21"/>
              </w:rPr>
              <w:t xml:space="preserve">incoming</w:t>
            </w:r>
            <w:r>
              <w:rPr>
                <w:sz w:val="21"/>
                <w:szCs w:val="21"/>
              </w:rPr>
              <w:t xml:space="preserve">/</w:t>
            </w:r>
            <w:r>
              <w:rPr>
                <w:rFonts w:ascii="Consolas" w:hAnsi="Consolas"/>
                <w:sz w:val="21"/>
                <w:szCs w:val="21"/>
              </w:rPr>
              <w:t xml:space="preserve">outgoing</w:t>
            </w:r>
            <w:r>
              <w:rPr>
                <w:sz w:val="21"/>
                <w:szCs w:val="21"/>
              </w:rPr>
              <w:t xml:space="preserve">; the XSD requires them after</w:t>
            </w:r>
          </w:p>
        </w:tc>
        <w:tc>
          <w:tcPr>
            <w:tcW w:w="4482" w:type="dxa"/>
            <w:vAlign w:val="top"/>
          </w:tcPr>
          <w:p>
            <w:pPr>
              <w:spacing w:before="20" w:after="20"/>
            </w:pPr>
            <w:r>
              <w:rPr>
                <w:sz w:val="21"/>
                <w:szCs w:val="21"/>
              </w:rPr>
              <w:t xml:space="preserve">Deployment rejected: </w:t>
            </w:r>
            <w:r>
              <w:rPr>
                <w:rFonts w:ascii="Consolas" w:hAnsi="Consolas"/>
                <w:sz w:val="21"/>
                <w:szCs w:val="21"/>
              </w:rPr>
              <w:t xml:space="preserve">cvc-complex-type.2.4.a</w:t>
            </w:r>
          </w:p>
        </w:tc>
      </w:tr>
      <w:tr>
        <w:tc>
          <w:tcPr>
            <w:tcW w:w="674" w:type="dxa"/>
            <w:vAlign w:val="top"/>
          </w:tcPr>
          <w:p>
            <w:pPr>
              <w:spacing w:before="20" w:after="20"/>
            </w:pPr>
            <w:r>
              <w:rPr>
                <w:sz w:val="21"/>
                <w:szCs w:val="21"/>
              </w:rPr>
              <w:t xml:space="preserve">DEP-03</w:t>
            </w:r>
          </w:p>
        </w:tc>
        <w:tc>
          <w:tcPr>
            <w:tcW w:w="4482" w:type="dxa"/>
            <w:vAlign w:val="top"/>
          </w:tcPr>
          <w:p>
            <w:pPr>
              <w:spacing w:before="20" w:after="20"/>
            </w:pPr>
            <w:r>
              <w:rPr>
                <w:sz w:val="21"/>
                <w:szCs w:val="21"/>
              </w:rPr>
              <w:t xml:space="preserve">Text annotations and associations serialised before the last sequence flow</w:t>
            </w:r>
          </w:p>
        </w:tc>
        <w:tc>
          <w:tcPr>
            <w:tcW w:w="4482" w:type="dxa"/>
            <w:vAlign w:val="top"/>
          </w:tcPr>
          <w:p>
            <w:pPr>
              <w:spacing w:before="20" w:after="20"/>
            </w:pPr>
            <w:r>
              <w:rPr>
                <w:sz w:val="21"/>
                <w:szCs w:val="21"/>
              </w:rPr>
              <w:t xml:space="preserve">Deployment rejected: </w:t>
            </w:r>
            <w:r>
              <w:rPr>
                <w:rFonts w:ascii="Consolas" w:hAnsi="Consolas"/>
                <w:sz w:val="21"/>
                <w:szCs w:val="21"/>
              </w:rPr>
              <w:t xml:space="preserve">cvc-complex-type.2.4.a</w:t>
            </w:r>
          </w:p>
        </w:tc>
      </w:tr>
      <w:tr>
        <w:tc>
          <w:tcPr>
            <w:tcW w:w="674" w:type="dxa"/>
            <w:vAlign w:val="top"/>
          </w:tcPr>
          <w:p>
            <w:pPr>
              <w:spacing w:before="20" w:after="20"/>
            </w:pPr>
            <w:r>
              <w:rPr>
                <w:sz w:val="21"/>
                <w:szCs w:val="21"/>
              </w:rPr>
              <w:t xml:space="preserve">DEP-04</w:t>
            </w:r>
          </w:p>
        </w:tc>
        <w:tc>
          <w:tcPr>
            <w:tcW w:w="4482" w:type="dxa"/>
            <w:vAlign w:val="top"/>
          </w:tcPr>
          <w:p>
            <w:pPr>
              <w:spacing w:before="20" w:after="20"/>
            </w:pPr>
            <w:r>
              <w:rPr>
                <w:sz w:val="21"/>
                <w:szCs w:val="21"/>
              </w:rPr>
              <w:t xml:space="preserve">Every user task raised </w:t>
            </w:r>
            <w:r>
              <w:rPr>
                <w:rFonts w:ascii="Consolas" w:hAnsi="Consolas"/>
                <w:sz w:val="21"/>
                <w:szCs w:val="21"/>
              </w:rPr>
              <w:t xml:space="preserve">FORM_NOT_FOUND</w:t>
            </w:r>
            <w:r>
              <w:rPr>
                <w:sz w:val="21"/>
                <w:szCs w:val="21"/>
              </w:rPr>
              <w:t xml:space="preserve"> at runtime because the referenced forms were not deployed</w:t>
            </w:r>
          </w:p>
        </w:tc>
        <w:tc>
          <w:tcPr>
            <w:tcW w:w="4482" w:type="dxa"/>
            <w:vAlign w:val="top"/>
          </w:tcPr>
          <w:p>
            <w:pPr>
              <w:spacing w:before="20" w:after="20"/>
            </w:pPr>
            <w:r>
              <w:rPr>
                <w:sz w:val="21"/>
                <w:szCs w:val="21"/>
              </w:rPr>
              <w:t xml:space="preserve">Live execution: incident on the first user task of every instance</w:t>
            </w:r>
          </w:p>
        </w:tc>
      </w:tr>
    </w:tbl>
    <w:p>
      <w:pPr>
        <w:spacing w:after="0"/>
      </w:pPr>
    </w:p>
    <w:p>
      <w:r>
        <w:t xml:space="preserve">The first three are exactly what a lenient parser hides: the models passed the moddle round-trip and the linter with zero findings and rendered correctly in the Modeler, yet the engine's XSD validator rejected them. DEP-04 only appears once an instance is started. All four are fixed at source and closed by the clean execution run; the full log is in </w:t>
      </w:r>
      <w:r>
        <w:rPr>
          <w:rFonts w:ascii="Consolas" w:hAnsi="Consolas"/>
        </w:rPr>
        <w:t xml:space="preserve">08_Repository_Documents/defect-log.md</w:t>
      </w:r>
      <w:r>
        <w:t xml:space="preserve">.</w:t>
      </w:r>
    </w:p>
    <w:p>
      <w:pPr>
        <w:pStyle w:val="Heading3"/>
        <w:keepNext/>
      </w:pPr>
      <w:r>
        <w:t xml:space="preserve">A.5 How strategic activities relate to the operational model</w:t>
      </w:r>
    </w:p>
    <w:p>
      <w:r>
        <w:t xml:space="preserve">Three devices carry the link: the </w:t>
      </w:r>
      <w:r>
        <w:rPr>
          <w:rFonts w:ascii="Consolas" w:hAnsi="Consolas"/>
        </w:rPr>
        <w:t xml:space="preserve">documentation</w:t>
      </w:r>
      <w:r>
        <w:t xml:space="preserve"> element on every strategic activity naming the operational step it decomposes into; the form and job-type attributes that identify the concrete mechanism; and the task identifiers, which are stable and are the trace target in Task 03.</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101"/>
        <w:gridCol w:w="4102"/>
        <w:gridCol w:w="1435"/>
      </w:tblGrid>
      <w:tr>
        <w:trPr>
          <w:tblHeader/>
        </w:trPr>
        <w:tc>
          <w:tcPr>
            <w:tcW w:w="4101" w:type="dxa"/>
            <w:shd w:val="clear" w:fill="EDEDED"/>
            <w:vAlign w:val="top"/>
          </w:tcPr>
          <w:p>
            <w:pPr>
              <w:spacing w:before="20" w:after="20"/>
            </w:pPr>
            <w:r>
              <w:rPr>
                <w:b/>
                <w:sz w:val="21"/>
                <w:szCs w:val="21"/>
              </w:rPr>
              <w:t xml:space="preserve">Strategic activity</w:t>
            </w:r>
          </w:p>
        </w:tc>
        <w:tc>
          <w:tcPr>
            <w:tcW w:w="4102" w:type="dxa"/>
            <w:shd w:val="clear" w:fill="EDEDED"/>
            <w:vAlign w:val="top"/>
          </w:tcPr>
          <w:p>
            <w:pPr>
              <w:spacing w:before="20" w:after="20"/>
            </w:pPr>
            <w:r>
              <w:rPr>
                <w:b/>
                <w:sz w:val="21"/>
                <w:szCs w:val="21"/>
              </w:rPr>
              <w:t xml:space="preserve">Operational realisation (O1)</w:t>
            </w:r>
          </w:p>
        </w:tc>
        <w:tc>
          <w:tcPr>
            <w:tcW w:w="1435" w:type="dxa"/>
            <w:shd w:val="clear" w:fill="EDEDED"/>
            <w:vAlign w:val="top"/>
          </w:tcPr>
          <w:p>
            <w:pPr>
              <w:spacing w:before="20" w:after="20"/>
            </w:pPr>
            <w:r>
              <w:rPr>
                <w:b/>
                <w:sz w:val="21"/>
                <w:szCs w:val="21"/>
              </w:rPr>
              <w:t xml:space="preserve">Verified by</w:t>
            </w:r>
          </w:p>
        </w:tc>
      </w:tr>
      <w:tr>
        <w:tc>
          <w:tcPr>
            <w:tcW w:w="4101" w:type="dxa"/>
            <w:vAlign w:val="top"/>
          </w:tcPr>
          <w:p>
            <w:pPr>
              <w:spacing w:before="20" w:after="20"/>
            </w:pPr>
            <w:r>
              <w:rPr>
                <w:sz w:val="21"/>
                <w:szCs w:val="21"/>
              </w:rPr>
              <w:t xml:space="preserve">Check referral documentation completeness</w:t>
            </w:r>
          </w:p>
        </w:tc>
        <w:tc>
          <w:tcPr>
            <w:tcW w:w="4102" w:type="dxa"/>
            <w:vAlign w:val="top"/>
          </w:tcPr>
          <w:p>
            <w:pPr>
              <w:spacing w:before="20" w:after="20"/>
            </w:pPr>
            <w:r>
              <w:rPr>
                <w:rFonts w:ascii="Consolas" w:hAnsi="Consolas"/>
                <w:sz w:val="21"/>
                <w:szCs w:val="21"/>
              </w:rPr>
              <w:t xml:space="preserve">T_CheckReferralDocuments</w:t>
            </w:r>
          </w:p>
        </w:tc>
        <w:tc>
          <w:tcPr>
            <w:tcW w:w="1435" w:type="dxa"/>
            <w:vAlign w:val="top"/>
          </w:tcPr>
          <w:p>
            <w:pPr>
              <w:spacing w:before="20" w:after="20"/>
            </w:pPr>
            <w:r>
              <w:rPr>
                <w:sz w:val="21"/>
                <w:szCs w:val="21"/>
              </w:rPr>
              <w:t xml:space="preserve">TC-01, TC-02</w:t>
            </w:r>
          </w:p>
        </w:tc>
      </w:tr>
      <w:tr>
        <w:tc>
          <w:tcPr>
            <w:tcW w:w="4101" w:type="dxa"/>
            <w:vAlign w:val="top"/>
          </w:tcPr>
          <w:p>
            <w:pPr>
              <w:spacing w:before="20" w:after="20"/>
            </w:pPr>
            <w:r>
              <w:rPr>
                <w:sz w:val="21"/>
                <w:szCs w:val="21"/>
              </w:rPr>
              <w:t xml:space="preserve">Request the missing documentation</w:t>
            </w:r>
          </w:p>
        </w:tc>
        <w:tc>
          <w:tcPr>
            <w:tcW w:w="4102" w:type="dxa"/>
            <w:vAlign w:val="top"/>
          </w:tcPr>
          <w:p>
            <w:pPr>
              <w:spacing w:before="20" w:after="20"/>
            </w:pPr>
            <w:r>
              <w:rPr>
                <w:rFonts w:ascii="Consolas" w:hAnsi="Consolas"/>
                <w:sz w:val="21"/>
                <w:szCs w:val="21"/>
              </w:rPr>
              <w:t xml:space="preserve">T_RequestMissingDocuments</w:t>
            </w:r>
            <w:r>
              <w:rPr>
                <w:sz w:val="21"/>
                <w:szCs w:val="21"/>
              </w:rPr>
              <w:t xml:space="preserve"> (job </w:t>
            </w:r>
            <w:r>
              <w:rPr>
                <w:rFonts w:ascii="Consolas" w:hAnsi="Consolas"/>
                <w:sz w:val="21"/>
                <w:szCs w:val="21"/>
              </w:rPr>
              <w:t xml:space="preserve">request-missing-documentation</w:t>
            </w:r>
            <w:r>
              <w:rPr>
                <w:sz w:val="21"/>
                <w:szCs w:val="21"/>
              </w:rPr>
              <w:t xml:space="preserve">)</w:t>
            </w:r>
          </w:p>
        </w:tc>
        <w:tc>
          <w:tcPr>
            <w:tcW w:w="1435" w:type="dxa"/>
            <w:vAlign w:val="top"/>
          </w:tcPr>
          <w:p>
            <w:pPr>
              <w:spacing w:before="20" w:after="20"/>
            </w:pPr>
            <w:r>
              <w:rPr>
                <w:sz w:val="21"/>
                <w:szCs w:val="21"/>
              </w:rPr>
              <w:t xml:space="preserve">TC-02</w:t>
            </w:r>
          </w:p>
        </w:tc>
      </w:tr>
      <w:tr>
        <w:tc>
          <w:tcPr>
            <w:tcW w:w="4101" w:type="dxa"/>
            <w:vAlign w:val="top"/>
          </w:tcPr>
          <w:p>
            <w:pPr>
              <w:spacing w:before="20" w:after="20"/>
            </w:pPr>
            <w:r>
              <w:rPr>
                <w:sz w:val="21"/>
                <w:szCs w:val="21"/>
              </w:rPr>
              <w:t xml:space="preserve">Perform the clinical review; record decision and clinician</w:t>
            </w:r>
          </w:p>
        </w:tc>
        <w:tc>
          <w:tcPr>
            <w:tcW w:w="4102" w:type="dxa"/>
            <w:vAlign w:val="top"/>
          </w:tcPr>
          <w:p>
            <w:pPr>
              <w:spacing w:before="20" w:after="20"/>
            </w:pPr>
            <w:r>
              <w:rPr>
                <w:rFonts w:ascii="Consolas" w:hAnsi="Consolas"/>
                <w:sz w:val="21"/>
                <w:szCs w:val="21"/>
              </w:rPr>
              <w:t xml:space="preserve">T_ClinicalReviewReferral</w:t>
            </w:r>
            <w:r>
              <w:rPr>
                <w:sz w:val="21"/>
                <w:szCs w:val="21"/>
              </w:rPr>
              <w:t xml:space="preserve">, </w:t>
            </w:r>
            <w:r>
              <w:rPr>
                <w:rFonts w:ascii="Consolas" w:hAnsi="Consolas"/>
                <w:sz w:val="21"/>
                <w:szCs w:val="21"/>
              </w:rPr>
              <w:t xml:space="preserve">T_RecordReferralDecision</w:t>
            </w:r>
          </w:p>
        </w:tc>
        <w:tc>
          <w:tcPr>
            <w:tcW w:w="1435" w:type="dxa"/>
            <w:vAlign w:val="top"/>
          </w:tcPr>
          <w:p>
            <w:pPr>
              <w:spacing w:before="20" w:after="20"/>
            </w:pPr>
            <w:r>
              <w:rPr>
                <w:sz w:val="21"/>
                <w:szCs w:val="21"/>
              </w:rPr>
              <w:t xml:space="preserve">TC-01, TC-03, TC-04</w:t>
            </w:r>
          </w:p>
        </w:tc>
      </w:tr>
      <w:tr>
        <w:tc>
          <w:tcPr>
            <w:tcW w:w="4101" w:type="dxa"/>
            <w:vAlign w:val="top"/>
          </w:tcPr>
          <w:p>
            <w:pPr>
              <w:spacing w:before="20" w:after="20"/>
            </w:pPr>
            <w:r>
              <w:rPr>
                <w:sz w:val="21"/>
                <w:szCs w:val="21"/>
              </w:rPr>
              <w:t xml:space="preserve">Request available appointment slots; resolve capacity</w:t>
            </w:r>
          </w:p>
        </w:tc>
        <w:tc>
          <w:tcPr>
            <w:tcW w:w="4102" w:type="dxa"/>
            <w:vAlign w:val="top"/>
          </w:tcPr>
          <w:p>
            <w:pPr>
              <w:spacing w:before="20" w:after="20"/>
            </w:pPr>
            <w:r>
              <w:rPr>
                <w:rFonts w:ascii="Consolas" w:hAnsi="Consolas"/>
                <w:sz w:val="21"/>
                <w:szCs w:val="21"/>
              </w:rPr>
              <w:t xml:space="preserve">T_QueryAvailableSlots</w:t>
            </w:r>
            <w:r>
              <w:rPr>
                <w:sz w:val="21"/>
                <w:szCs w:val="21"/>
              </w:rPr>
              <w:t xml:space="preserve">, </w:t>
            </w:r>
            <w:r>
              <w:rPr>
                <w:rFonts w:ascii="Consolas" w:hAnsi="Consolas"/>
                <w:sz w:val="21"/>
                <w:szCs w:val="21"/>
              </w:rPr>
              <w:t xml:space="preserve">T_ResolveCapacity</w:t>
            </w:r>
          </w:p>
        </w:tc>
        <w:tc>
          <w:tcPr>
            <w:tcW w:w="1435" w:type="dxa"/>
            <w:vAlign w:val="top"/>
          </w:tcPr>
          <w:p>
            <w:pPr>
              <w:spacing w:before="20" w:after="20"/>
            </w:pPr>
            <w:r>
              <w:rPr>
                <w:sz w:val="21"/>
                <w:szCs w:val="21"/>
              </w:rPr>
              <w:t xml:space="preserve">TC-05</w:t>
            </w:r>
          </w:p>
        </w:tc>
      </w:tr>
      <w:tr>
        <w:tc>
          <w:tcPr>
            <w:tcW w:w="4101" w:type="dxa"/>
            <w:vAlign w:val="top"/>
          </w:tcPr>
          <w:p>
            <w:pPr>
              <w:spacing w:before="20" w:after="20"/>
            </w:pPr>
            <w:r>
              <w:rPr>
                <w:sz w:val="21"/>
                <w:szCs w:val="21"/>
              </w:rPr>
              <w:t xml:space="preserve">Telephone the patient within 14 days; record the attempt</w:t>
            </w:r>
          </w:p>
        </w:tc>
        <w:tc>
          <w:tcPr>
            <w:tcW w:w="4102" w:type="dxa"/>
            <w:vAlign w:val="top"/>
          </w:tcPr>
          <w:p>
            <w:pPr>
              <w:spacing w:before="20" w:after="20"/>
            </w:pPr>
            <w:r>
              <w:rPr>
                <w:rFonts w:ascii="Consolas" w:hAnsi="Consolas"/>
                <w:sz w:val="21"/>
                <w:szCs w:val="21"/>
              </w:rPr>
              <w:t xml:space="preserve">T_TelephonePatient</w:t>
            </w:r>
            <w:r>
              <w:rPr>
                <w:sz w:val="21"/>
                <w:szCs w:val="21"/>
              </w:rPr>
              <w:t xml:space="preserve">, </w:t>
            </w:r>
            <w:r>
              <w:rPr>
                <w:rFonts w:ascii="Consolas" w:hAnsi="Consolas"/>
                <w:sz w:val="21"/>
                <w:szCs w:val="21"/>
              </w:rPr>
              <w:t xml:space="preserve">T_RecordContactAttempt</w:t>
            </w:r>
          </w:p>
        </w:tc>
        <w:tc>
          <w:tcPr>
            <w:tcW w:w="1435" w:type="dxa"/>
            <w:vAlign w:val="top"/>
          </w:tcPr>
          <w:p>
            <w:pPr>
              <w:spacing w:before="20" w:after="20"/>
            </w:pPr>
            <w:r>
              <w:rPr>
                <w:sz w:val="21"/>
                <w:szCs w:val="21"/>
              </w:rPr>
              <w:t xml:space="preserve">TC-06, TC-07, TC-08</w:t>
            </w:r>
          </w:p>
        </w:tc>
      </w:tr>
      <w:tr>
        <w:tc>
          <w:tcPr>
            <w:tcW w:w="4101" w:type="dxa"/>
            <w:vAlign w:val="top"/>
          </w:tcPr>
          <w:p>
            <w:pPr>
              <w:spacing w:before="20" w:after="20"/>
            </w:pPr>
            <w:r>
              <w:rPr>
                <w:sz w:val="21"/>
                <w:szCs w:val="21"/>
              </w:rPr>
              <w:t xml:space="preserve">Record consent; create and authorise the Request</w:t>
            </w:r>
          </w:p>
        </w:tc>
        <w:tc>
          <w:tcPr>
            <w:tcW w:w="4102" w:type="dxa"/>
            <w:vAlign w:val="top"/>
          </w:tcPr>
          <w:p>
            <w:pPr>
              <w:spacing w:before="20" w:after="20"/>
            </w:pPr>
            <w:r>
              <w:rPr>
                <w:rFonts w:ascii="Consolas" w:hAnsi="Consolas"/>
                <w:sz w:val="21"/>
                <w:szCs w:val="21"/>
              </w:rPr>
              <w:t xml:space="preserve">T_RecordPatientConsent</w:t>
            </w:r>
            <w:r>
              <w:rPr>
                <w:sz w:val="21"/>
                <w:szCs w:val="21"/>
              </w:rPr>
              <w:t xml:space="preserve">, </w:t>
            </w:r>
            <w:r>
              <w:rPr>
                <w:rFonts w:ascii="Consolas" w:hAnsi="Consolas"/>
                <w:sz w:val="21"/>
                <w:szCs w:val="21"/>
              </w:rPr>
              <w:t xml:space="preserve">T_CreateTreatmentBookingRequest</w:t>
            </w:r>
          </w:p>
        </w:tc>
        <w:tc>
          <w:tcPr>
            <w:tcW w:w="1435" w:type="dxa"/>
            <w:vAlign w:val="top"/>
          </w:tcPr>
          <w:p>
            <w:pPr>
              <w:spacing w:before="20" w:after="20"/>
            </w:pPr>
            <w:r>
              <w:rPr>
                <w:sz w:val="21"/>
                <w:szCs w:val="21"/>
              </w:rPr>
              <w:t xml:space="preserve">TC-09, TC-10, TC-13</w:t>
            </w:r>
          </w:p>
        </w:tc>
      </w:tr>
      <w:tr>
        <w:tc>
          <w:tcPr>
            <w:tcW w:w="4101" w:type="dxa"/>
            <w:vAlign w:val="top"/>
          </w:tcPr>
          <w:p>
            <w:pPr>
              <w:spacing w:before="20" w:after="20"/>
            </w:pPr>
            <w:r>
              <w:rPr>
                <w:sz w:val="21"/>
                <w:szCs w:val="21"/>
              </w:rPr>
              <w:t xml:space="preserve">Request treatment capacity; hold pending</w:t>
            </w:r>
          </w:p>
        </w:tc>
        <w:tc>
          <w:tcPr>
            <w:tcW w:w="4102" w:type="dxa"/>
            <w:vAlign w:val="top"/>
          </w:tcPr>
          <w:p>
            <w:pPr>
              <w:spacing w:before="20" w:after="20"/>
            </w:pPr>
            <w:r>
              <w:rPr>
                <w:rFonts w:ascii="Consolas" w:hAnsi="Consolas"/>
                <w:sz w:val="21"/>
                <w:szCs w:val="21"/>
              </w:rPr>
              <w:t xml:space="preserve">T_RequestTreatmentCapacity</w:t>
            </w:r>
            <w:r>
              <w:rPr>
                <w:sz w:val="21"/>
                <w:szCs w:val="21"/>
              </w:rPr>
              <w:t xml:space="preserve">, </w:t>
            </w:r>
            <w:r>
              <w:rPr>
                <w:rFonts w:ascii="Consolas" w:hAnsi="Consolas"/>
                <w:sz w:val="21"/>
                <w:szCs w:val="21"/>
              </w:rPr>
              <w:t xml:space="preserve">T_KeepPending</w:t>
            </w:r>
          </w:p>
        </w:tc>
        <w:tc>
          <w:tcPr>
            <w:tcW w:w="1435" w:type="dxa"/>
            <w:vAlign w:val="top"/>
          </w:tcPr>
          <w:p>
            <w:pPr>
              <w:spacing w:before="20" w:after="20"/>
            </w:pPr>
            <w:r>
              <w:rPr>
                <w:sz w:val="21"/>
                <w:szCs w:val="21"/>
              </w:rPr>
              <w:t xml:space="preserve">TC-11</w:t>
            </w:r>
          </w:p>
        </w:tc>
      </w:tr>
      <w:tr>
        <w:tc>
          <w:tcPr>
            <w:tcW w:w="4101" w:type="dxa"/>
            <w:vAlign w:val="top"/>
          </w:tcPr>
          <w:p>
            <w:pPr>
              <w:spacing w:before="20" w:after="20"/>
            </w:pPr>
            <w:r>
              <w:rPr>
                <w:sz w:val="21"/>
                <w:szCs w:val="21"/>
              </w:rPr>
              <w:t xml:space="preserve">Determine funding; record approval</w:t>
            </w:r>
          </w:p>
        </w:tc>
        <w:tc>
          <w:tcPr>
            <w:tcW w:w="4102" w:type="dxa"/>
            <w:vAlign w:val="top"/>
          </w:tcPr>
          <w:p>
            <w:pPr>
              <w:spacing w:before="20" w:after="20"/>
            </w:pPr>
            <w:r>
              <w:rPr>
                <w:rFonts w:ascii="Consolas" w:hAnsi="Consolas"/>
                <w:sz w:val="21"/>
                <w:szCs w:val="21"/>
              </w:rPr>
              <w:t xml:space="preserve">T_DetermineFundingRoute</w:t>
            </w:r>
            <w:r>
              <w:rPr>
                <w:sz w:val="21"/>
                <w:szCs w:val="21"/>
              </w:rPr>
              <w:t xml:space="preserve">, </w:t>
            </w:r>
            <w:r>
              <w:rPr>
                <w:rFonts w:ascii="Consolas" w:hAnsi="Consolas"/>
                <w:sz w:val="21"/>
                <w:szCs w:val="21"/>
              </w:rPr>
              <w:t xml:space="preserve">T_RecordFundingApproval</w:t>
            </w:r>
          </w:p>
        </w:tc>
        <w:tc>
          <w:tcPr>
            <w:tcW w:w="1435" w:type="dxa"/>
            <w:vAlign w:val="top"/>
          </w:tcPr>
          <w:p>
            <w:pPr>
              <w:spacing w:before="20" w:after="20"/>
            </w:pPr>
            <w:r>
              <w:rPr>
                <w:sz w:val="21"/>
                <w:szCs w:val="21"/>
              </w:rPr>
              <w:t xml:space="preserve">TC-12, TC-13</w:t>
            </w:r>
          </w:p>
        </w:tc>
      </w:tr>
      <w:tr>
        <w:tc>
          <w:tcPr>
            <w:tcW w:w="4101" w:type="dxa"/>
            <w:vAlign w:val="top"/>
          </w:tcPr>
          <w:p>
            <w:pPr>
              <w:spacing w:before="20" w:after="20"/>
            </w:pPr>
            <w:r>
              <w:rPr>
                <w:sz w:val="21"/>
                <w:szCs w:val="21"/>
              </w:rPr>
              <w:t xml:space="preserve">Send the secure payment request; record the result</w:t>
            </w:r>
          </w:p>
        </w:tc>
        <w:tc>
          <w:tcPr>
            <w:tcW w:w="4102" w:type="dxa"/>
            <w:vAlign w:val="top"/>
          </w:tcPr>
          <w:p>
            <w:pPr>
              <w:spacing w:before="20" w:after="20"/>
            </w:pPr>
            <w:r>
              <w:rPr>
                <w:rFonts w:ascii="Consolas" w:hAnsi="Consolas"/>
                <w:sz w:val="21"/>
                <w:szCs w:val="21"/>
              </w:rPr>
              <w:t xml:space="preserve">T_SendSecurePaymentRequest</w:t>
            </w:r>
            <w:r>
              <w:rPr>
                <w:sz w:val="21"/>
                <w:szCs w:val="21"/>
              </w:rPr>
              <w:t xml:space="preserve">, </w:t>
            </w:r>
            <w:r>
              <w:rPr>
                <w:rFonts w:ascii="Consolas" w:hAnsi="Consolas"/>
                <w:sz w:val="21"/>
                <w:szCs w:val="21"/>
              </w:rPr>
              <w:t xml:space="preserve">T_RecordPayment</w:t>
            </w:r>
          </w:p>
        </w:tc>
        <w:tc>
          <w:tcPr>
            <w:tcW w:w="1435" w:type="dxa"/>
            <w:vAlign w:val="top"/>
          </w:tcPr>
          <w:p>
            <w:pPr>
              <w:spacing w:before="20" w:after="20"/>
            </w:pPr>
            <w:r>
              <w:rPr>
                <w:sz w:val="21"/>
                <w:szCs w:val="21"/>
              </w:rPr>
              <w:t xml:space="preserve">TC-14</w:t>
            </w:r>
          </w:p>
        </w:tc>
      </w:tr>
      <w:tr>
        <w:tc>
          <w:tcPr>
            <w:tcW w:w="4101" w:type="dxa"/>
            <w:vAlign w:val="top"/>
          </w:tcPr>
          <w:p>
            <w:pPr>
              <w:spacing w:before="20" w:after="20"/>
            </w:pPr>
            <w:r>
              <w:rPr>
                <w:sz w:val="21"/>
                <w:szCs w:val="21"/>
              </w:rPr>
              <w:t xml:space="preserve">Handle a declined payment; investigate an unconfirmed one</w:t>
            </w:r>
          </w:p>
        </w:tc>
        <w:tc>
          <w:tcPr>
            <w:tcW w:w="4102" w:type="dxa"/>
            <w:vAlign w:val="top"/>
          </w:tcPr>
          <w:p>
            <w:pPr>
              <w:spacing w:before="20" w:after="20"/>
            </w:pPr>
            <w:r>
              <w:rPr>
                <w:rFonts w:ascii="Consolas" w:hAnsi="Consolas"/>
                <w:sz w:val="21"/>
                <w:szCs w:val="21"/>
              </w:rPr>
              <w:t xml:space="preserve">T_HandlePaymentFailure</w:t>
            </w:r>
            <w:r>
              <w:rPr>
                <w:sz w:val="21"/>
                <w:szCs w:val="21"/>
              </w:rPr>
              <w:t xml:space="preserve">, </w:t>
            </w:r>
            <w:r>
              <w:rPr>
                <w:rFonts w:ascii="Consolas" w:hAnsi="Consolas"/>
                <w:sz w:val="21"/>
                <w:szCs w:val="21"/>
              </w:rPr>
              <w:t xml:space="preserve">T_MarkForInvestigation</w:t>
            </w:r>
          </w:p>
        </w:tc>
        <w:tc>
          <w:tcPr>
            <w:tcW w:w="1435" w:type="dxa"/>
            <w:vAlign w:val="top"/>
          </w:tcPr>
          <w:p>
            <w:pPr>
              <w:spacing w:before="20" w:after="20"/>
            </w:pPr>
            <w:r>
              <w:rPr>
                <w:sz w:val="21"/>
                <w:szCs w:val="21"/>
              </w:rPr>
              <w:t xml:space="preserve">TC-15, TC-16</w:t>
            </w:r>
          </w:p>
        </w:tc>
      </w:tr>
      <w:tr>
        <w:tc>
          <w:tcPr>
            <w:tcW w:w="4101" w:type="dxa"/>
            <w:vAlign w:val="top"/>
          </w:tcPr>
          <w:p>
            <w:pPr>
              <w:spacing w:before="20" w:after="20"/>
            </w:pPr>
            <w:r>
              <w:rPr>
                <w:sz w:val="21"/>
                <w:szCs w:val="21"/>
              </w:rPr>
              <w:t xml:space="preserve">Authorise urgent treatment without confirmed payment</w:t>
            </w:r>
          </w:p>
        </w:tc>
        <w:tc>
          <w:tcPr>
            <w:tcW w:w="4102" w:type="dxa"/>
            <w:vAlign w:val="top"/>
          </w:tcPr>
          <w:p>
            <w:pPr>
              <w:spacing w:before="20" w:after="20"/>
            </w:pPr>
            <w:r>
              <w:rPr>
                <w:rFonts w:ascii="Consolas" w:hAnsi="Consolas"/>
                <w:sz w:val="21"/>
                <w:szCs w:val="21"/>
              </w:rPr>
              <w:t xml:space="preserve">T_AuthoriseUrgentTreatment</w:t>
            </w:r>
            <w:r>
              <w:rPr>
                <w:sz w:val="21"/>
                <w:szCs w:val="21"/>
              </w:rPr>
              <w:t xml:space="preserve">, </w:t>
            </w:r>
            <w:r>
              <w:rPr>
                <w:rFonts w:ascii="Consolas" w:hAnsi="Consolas"/>
                <w:sz w:val="21"/>
                <w:szCs w:val="21"/>
              </w:rPr>
              <w:t xml:space="preserve">T_ReferUnconfirmedPayment</w:t>
            </w:r>
          </w:p>
        </w:tc>
        <w:tc>
          <w:tcPr>
            <w:tcW w:w="1435" w:type="dxa"/>
            <w:vAlign w:val="top"/>
          </w:tcPr>
          <w:p>
            <w:pPr>
              <w:spacing w:before="20" w:after="20"/>
            </w:pPr>
            <w:r>
              <w:rPr>
                <w:sz w:val="21"/>
                <w:szCs w:val="21"/>
              </w:rPr>
              <w:t xml:space="preserve">TC-17</w:t>
            </w:r>
          </w:p>
        </w:tc>
      </w:tr>
      <w:tr>
        <w:tc>
          <w:tcPr>
            <w:tcW w:w="4101" w:type="dxa"/>
            <w:vAlign w:val="top"/>
          </w:tcPr>
          <w:p>
            <w:pPr>
              <w:spacing w:before="20" w:after="20"/>
            </w:pPr>
            <w:r>
              <w:rPr>
                <w:sz w:val="21"/>
                <w:szCs w:val="21"/>
              </w:rPr>
              <w:t xml:space="preserve">Treatment modification, clinic letters, escalation, refunds, enquiries, reporting</w:t>
            </w:r>
          </w:p>
        </w:tc>
        <w:tc>
          <w:tcPr>
            <w:tcW w:w="4102" w:type="dxa"/>
            <w:vAlign w:val="top"/>
          </w:tcPr>
          <w:p>
            <w:pPr>
              <w:spacing w:before="20" w:after="20"/>
            </w:pPr>
            <w:r>
              <w:rPr>
                <w:b/>
                <w:sz w:val="21"/>
                <w:szCs w:val="21"/>
              </w:rPr>
              <w:t xml:space="preserve">not implemented</w:t>
            </w:r>
            <w:r>
              <w:rPr>
                <w:sz w:val="21"/>
                <w:szCs w:val="21"/>
              </w:rPr>
              <w:t xml:space="preserve"> in the initial release</w:t>
            </w:r>
          </w:p>
        </w:tc>
        <w:tc>
          <w:tcPr>
            <w:tcW w:w="1435" w:type="dxa"/>
            <w:vAlign w:val="top"/>
          </w:tcPr>
          <w:p>
            <w:pPr>
              <w:spacing w:before="20" w:after="20"/>
            </w:pPr>
            <w:r>
              <w:rPr>
                <w:sz w:val="21"/>
                <w:szCs w:val="21"/>
              </w:rPr>
              <w:t xml:space="preserve">gap</w:t>
            </w:r>
          </w:p>
        </w:tc>
      </w:tr>
    </w:tbl>
    <w:p>
      <w:pPr>
        <w:spacing w:after="0"/>
      </w:pPr>
    </w:p>
    <w:p>
      <w:pPr>
        <w:pStyle w:val="Heading3"/>
        <w:keepNext/>
      </w:pPr>
      <w:r>
        <w:t xml:space="preserve">A.6 Gaps between the business process and the implemented solution</w:t>
      </w:r>
    </w:p>
    <w:p>
      <w:pPr>
        <w:pStyle w:val="ListNumber"/>
      </w:pPr>
      <w:r>
        <w:rPr>
          <w:b/>
        </w:rPr>
        <w:t xml:space="preserve">Role-based access control, authentication and immutable audit records.</w:t>
      </w:r>
      <w:r>
        <w:t xml:space="preserve"> Stated as mandatory in the case study but not implemented as process behaviour, because they are cross-cutting system services. The models show the actions that must be audited but not the authorisation mechanism. Recorded as </w:t>
      </w:r>
      <w:r>
        <w:rPr>
          <w:i/>
        </w:rPr>
        <w:t xml:space="preserve">not supported</w:t>
      </w:r>
      <w:r>
        <w:t xml:space="preserve"> in Task 03.</w:t>
      </w:r>
    </w:p>
    <w:p>
      <w:pPr>
        <w:pStyle w:val="ListNumber"/>
      </w:pPr>
      <w:r>
        <w:rPr>
          <w:b/>
        </w:rPr>
        <w:t xml:space="preserve">Management reporting.</w:t>
      </w:r>
      <w:r>
        <w:t xml:space="preserve"> The reporting process is modelled and deployed with a monthly timer, but no report has been produced. Recorded as </w:t>
      </w:r>
      <w:r>
        <w:rPr>
          <w:i/>
        </w:rPr>
        <w:t xml:space="preserve">out of scope for the initial release</w:t>
      </w:r>
      <w:r>
        <w:t xml:space="preserve">.</w:t>
      </w:r>
    </w:p>
    <w:p>
      <w:pPr>
        <w:pStyle w:val="ListNumber"/>
      </w:pPr>
      <w:r>
        <w:rPr>
          <w:b/>
        </w:rPr>
        <w:t xml:space="preserve">Availability and downtime.</w:t>
      </w:r>
      <w:r>
        <w:t xml:space="preserve"> The models assume the external services respond; the requirement to record activity during an outage is not modelled because the fallback procedure had not been agreed.</w:t>
      </w:r>
    </w:p>
    <w:p>
      <w:pPr>
        <w:pStyle w:val="ListNumber"/>
      </w:pPr>
      <w:r>
        <w:rPr>
          <w:b/>
        </w:rPr>
        <w:t xml:space="preserve">Urgency rules.</w:t>
      </w:r>
      <w:r>
        <w:t xml:space="preserve"> The gateways exist but the hospital has not agreed the rules that decide them, so urgency is modelled with asserted variables and the ambiguity is documented.</w:t>
      </w:r>
    </w:p>
    <w:p>
      <w:pPr>
        <w:pStyle w:val="ListNumber"/>
      </w:pPr>
      <w:r>
        <w:rPr>
          <w:b/>
        </w:rPr>
        <w:t xml:space="preserve">Communication preferences and accessible formats.</w:t>
      </w:r>
      <w:r>
        <w:t xml:space="preserve"> Modelled in S3 but not implemented; the initial release does not capture the preference.</w:t>
      </w:r>
    </w:p>
    <w:p>
      <w:pPr>
        <w:pStyle w:val="ListNumber"/>
      </w:pPr>
      <w:r>
        <w:rPr>
          <w:b/>
        </w:rPr>
        <w:t xml:space="preserve">Episode-level traceability.</w:t>
      </w:r>
      <w:r>
        <w:t xml:space="preserve"> The components of the auditable relationship between patient, referral, request, appointment, funding decision, payment and refund are recorded, but no single correlation record binds them into one episode.</w:t>
      </w:r>
    </w:p>
    <w:p>
      <w:pPr>
        <w:pStyle w:val="Heading2"/>
        <w:keepNext/>
      </w:pPr>
      <w:r>
        <w:t xml:space="preserve">Part B — Task 02: Socio-technical modelling using i* (LO2, LO3)</w:t>
      </w:r>
    </w:p>
    <w:p>
      <w:pPr>
        <w:pStyle w:val="Heading3"/>
        <w:keepNext/>
      </w:pPr>
      <w:r>
        <w:t xml:space="preserve">B.1 Actors and the position of the models</w:t>
      </w:r>
    </w:p>
    <w:p>
      <w:r>
        <w:t xml:space="preserve">The i* models were developed in Sprints 3 and 4, </w:t>
      </w:r>
      <w:r>
        <w:rPr>
          <w:b/>
        </w:rPr>
        <w:t xml:space="preserve">after</w:t>
      </w:r>
      <w:r>
        <w:t xml:space="preserve"> the initial release was built. They did not inform the original design and are used as an evaluation lens, not a design input.</w:t>
      </w:r>
    </w:p>
    <w:p>
      <w:r>
        <w:t xml:space="preserve">Actors were identified by asking, for each sentence of the case study, who is accountable for the outcome described. That produced nine intentional human actors inside the hospital and seven external actors, plus one deliberate omission: the HPAS itself is </w:t>
      </w:r>
      <w:r>
        <w:rPr>
          <w:b/>
        </w:rPr>
        <w:t xml:space="preserve">not</w:t>
      </w:r>
      <w:r>
        <w:t xml:space="preserve"> an actor, because it is a system rather than an agent and has no goals of its own. The Clinical Nurse Specialist Administrative Support Team is subsumed into the Clinical Nurse Specialist Team because the case study attributes no distinct goal, task or resource to it.</w:t>
      </w:r>
    </w:p>
    <w:p>
      <w:r>
        <w:t xml:space="preserve">Both diagrams use i* notation: actors and their intentional elements, means-end and task-decomposition links, and the four dependency types (goal, soft goal, task and resource), as defined by Yu (1995) and specified in the iStar 2.0 language guide (Dalpiaz, Franch and Horkoff, 2016). The dependency type is chosen from the case study wording rather than by default; section B.4 records where the wording was ambiguous.</w:t>
      </w:r>
    </w:p>
    <w:p>
      <w:pPr>
        <w:pStyle w:val="Heading3"/>
        <w:keepNext/>
      </w:pPr>
      <w:r>
        <w:t xml:space="preserve">B.2 The Strategic Dependency model</w:t>
      </w:r>
    </w:p>
    <w:p>
      <w:r>
        <w:t xml:space="preserve">The SD model contains </w:t>
      </w:r>
      <w:r>
        <w:rPr>
          <w:b/>
        </w:rPr>
        <w:t>16 actors and 40 dependencies</w:t>
      </w:r>
      <w:r>
        <w:t xml:space="preserve">, each typed as a goal, soft goal, task or resource.</w:t>
      </w:r>
    </w:p>
    <w:p>
      <w:r>
        <w:rPr>
          <w:b/>
        </w:rPr>
        <w:t xml:space="preserve">Resource dependencies dominate</w:t>
      </w:r>
      <w:r>
        <w:t xml:space="preserve">, which is the socio-technical insight the process models conceal. The hospital depends on the referring organisation for complete referral documentation, on the Consultant for a decision with a recorded reason, on the external scheduling service for available slots, on external clinical services for treatment, laboratory and imaging capacity, on the funding organisation for an authorisation with an amount and its limitations, on the payment provider for the payment status, and on the patient for informed consent and accurate identification. A resource dependency means the depender needs the </w:t>
      </w:r>
      <w:r>
        <w:rPr>
          <w:i/>
        </w:rPr>
        <w:t xml:space="preserve">thing</w:t>
      </w:r>
      <w:r>
        <w:t xml:space="preserve">, not the </w:t>
      </w:r>
      <w:r>
        <w:rPr>
          <w:i/>
        </w:rPr>
        <w:t xml:space="preserve">activity</w:t>
      </w:r>
      <w:r>
        <w:t xml:space="preserve">, and cannot control how it is produced. That is the root of several case-study failure modes: the hospital cannot make the scheduling service have a slot, and cannot make an insurer approve funding.</w:t>
      </w:r>
    </w:p>
    <w:p>
      <w:r>
        <w:rPr>
          <w:b/>
        </w:rPr>
        <w:t xml:space="preserve">Task dependencies</w:t>
      </w:r>
      <w:r>
        <w:t xml:space="preserve"> show delegated work: the Consultant depends on the Medical Secretaries to administer letters and on the Patient Pathway Coordinators to chase them; the Finance Team depends on the payment provider to process a payment and return the status; the Call Handling Team depends on the Clinical Nurse Specialist Team for clinical enquiries and on the Finance Team for payment enquiries.</w:t>
      </w:r>
    </w:p>
    <w:p>
      <w:r>
        <w:rPr>
          <w:b/>
        </w:rPr>
        <w:t xml:space="preserve">Goal dependencies</w:t>
      </w:r>
      <w:r>
        <w:t xml:space="preserve"> cannot be satisfied by performing a task correctly — they require the dependee to </w:t>
      </w:r>
      <w:r>
        <w:rPr>
          <w:i/>
        </w:rPr>
        <w:t xml:space="preserve">achieve</w:t>
      </w:r>
      <w:r>
        <w:t xml:space="preserve"> something. The patient depends on the Consultant for </w:t>
      </w:r>
      <w:r>
        <w:rPr>
          <w:i/>
        </w:rPr>
        <w:t xml:space="preserve">receive clinically appropriate treatment</w:t>
      </w:r>
      <w:r>
        <w:t xml:space="preserve">, and the Treatment Bookings Team depends on the Finance Team for </w:t>
      </w:r>
      <w:r>
        <w:rPr>
          <w:i/>
        </w:rPr>
        <w:t xml:space="preserve">funding confirmed before treatment</w:t>
      </w:r>
      <w:r>
        <w:t xml:space="preserve">.</w:t>
      </w:r>
    </w:p>
    <w:p>
      <w:r>
        <w:rPr>
          <w:b/>
        </w:rPr>
        <w:t xml:space="preserve">Soft goal dependencies</w:t>
      </w:r>
      <w:r>
        <w:t xml:space="preserve"> carry expectations that are judged rather than verified, and which conflict: the recording management needs in order to demonstrate accountability is the same recording that reduces clinical time. Four are modelled — the patient's expectation that personal and financial information is protected, the Consultant's expectation that administrative burden is minimised, management's expectation that pathway delays are visible, and the patient's expectation that treatment is delivered without avoidable delay. None can be marked satisfied; all four can be helped or hurt by design choices.</w:t>
      </w:r>
    </w:p>
    <w:p>
      <w:r>
        <w:t xml:space="preserve">The choice of dependency type is not cosmetic, and one example shows why. When the Outpatient Bookings Team asks the external scheduling service for an appointment, that is a </w:t>
      </w:r>
      <w:r>
        <w:rPr>
          <w:b/>
        </w:rPr>
        <w:t xml:space="preserve">resource</w:t>
      </w:r>
      <w:r>
        <w:t xml:space="preserve"> dependency: the team needs a slot to exist. When the same team asks the Consultant to confirm the clinical priority of a referral, that is also a resource dependency — the team needs the priority as an input. But when the Treatment Bookings Team needs funding to be in place before treatment, that is a </w:t>
      </w:r>
      <w:r>
        <w:rPr>
          <w:b/>
        </w:rPr>
        <w:t xml:space="preserve">goal</w:t>
      </w:r>
      <w:r>
        <w:t xml:space="preserve"> dependency: the dependee must </w:t>
      </w:r>
      <w:r>
        <w:rPr>
          <w:i/>
        </w:rPr>
        <w:t xml:space="preserve">achieve</w:t>
      </w:r>
      <w:r>
        <w:t xml:space="preserve"> something, and no amount of correct task performance by the bookings team substitutes for it. Modelling that distinction is what allows Task 03 to say that some requirements are only partly supported even though every corresponding activity exists in the process.</w:t>
      </w:r>
    </w:p>
    <w:p>
      <w:r>
        <w:rPr>
          <w:b/>
        </w:rPr>
        <w:t xml:space="preserve">Dependency count.</w:t>
      </w:r>
      <w:r>
        <w:t xml:space="preserve"> Forty dependencies across sixteen actors is a deliberately bounded model. Adding a dependency for every exchange in the process models would produce a diagram with no analytic value; the criterion applied was whether the exchange represents something one actor needs from another that it cannot produce itself.</w:t>
      </w:r>
    </w:p>
    <w:p>
      <w:pPr>
        <w:jc w:val="center"/>
        <w:spacing w:before="120" w:after="120"/>
      </w:pPr>
      <w:r>
        <w:drawing>
          <wp:inline distT="0" distB="0" distL="0" distR="0">
            <wp:extent cx="5940000" cy="2989932"/>
            <wp:docPr id="14" name="Figure 5 — i\* Strategic Dependency model" descr="Figure 5 — i\* Strategic Dependency model"/>
            <a:graphic>
              <a:graphicData uri="http://schemas.openxmlformats.org/drawingml/2006/picture">
                <pic:pic>
                  <pic:nvPicPr>
                    <pic:cNvPr id="14" name="Figure 5 — i\* Strategic Dependency model"/>
                    <pic:cNvPicPr/>
                  </pic:nvPicPr>
                  <pic:blipFill>
                    <a:blip r:embed="rIdImg5"/>
                    <a:stretch>
                      <a:fillRect/>
                    </a:stretch>
                  </pic:blipFill>
                  <pic:spPr>
                    <a:xfrm>
                      <a:off x="0" y="0"/>
                      <a:ext cx="5940000" cy="2989932"/>
                    </a:xfrm>
                    <a:prstGeom prst="rect">
                      <a:avLst/>
                    </a:prstGeom>
                  </pic:spPr>
                </pic:pic>
              </a:graphicData>
            </a:graphic>
          </wp:inline>
        </w:drawing>
      </w:r>
    </w:p>
    <w:p>
      <w:r>
        <w:rPr>
          <w:i/>
        </w:rPr>
        <w:t>Figure 5. i* SD model: 16 actors and 30 typed dependencies. Editable source: `06_iStar_Models/iStar_SD_Initial_Release.svg`.</w:t>
      </w:r>
    </w:p>
    <w:p>
      <w:pPr>
        <w:pStyle w:val="Heading3"/>
        <w:keepNext/>
      </w:pPr>
      <w:r>
        <w:t xml:space="preserve">B.3 The Strategic Rationale model</w:t>
      </w:r>
    </w:p>
    <w:p>
      <w:r>
        <w:t xml:space="preserve">The SR model opens </w:t>
      </w:r>
      <w:r>
        <w:rPr>
          <w:b/>
        </w:rPr>
        <w:t xml:space="preserve">seven actors</w:t>
      </w:r>
      <w:r>
        <w:t xml:space="preserve"> — Consultant / Clinical Team, Medical Secretaries, Outpatient Bookings Team, Treatment and Chemotherapy Bookings Team, Finance Team, Patient Pathway Coordinators and Clinical Nurse Specialist Team — with </w:t>
      </w:r>
      <w:r>
        <w:rPr>
          <w:b/>
        </w:rPr>
        <w:t xml:space="preserve">61 intentional elements and 56 internal links</w:t>
      </w:r>
      <w:r>
        <w:t xml:space="preserve">, plus 9 boundary dependencies to external actors. Between them they own the case study's hardest requirement: the separation of clinical, administrative and financial authority. The remaining SD actors are dependees only, because the case study does not describe their internal rationale.</w:t>
      </w:r>
    </w:p>
    <w:p>
      <w:r>
        <w:t xml:space="preserve">Each actor's rationale has the same shape: a top-level task that decomposes into the goals the actor is accountable for, each goal achieved by tasks through means-end links, and contributions from those tasks to the actor's soft goals.</w:t>
      </w:r>
    </w:p>
    <w:p>
      <w:pPr>
        <w:pStyle w:val="ListBullet"/>
      </w:pPr>
      <w:r>
        <w:rPr>
          <w:b/>
        </w:rPr>
        <w:t xml:space="preserve">Consultant / Clinical Team.</w:t>
      </w:r>
      <w:r>
        <w:t xml:space="preserve"> </w:t>
      </w:r>
      <w:r>
        <w:rPr>
          <w:i/>
        </w:rPr>
        <w:t xml:space="preserve">Manage the patient clinical pathway</w:t>
      </w:r>
      <w:r>
        <w:t xml:space="preserve"> decomposes into </w:t>
      </w:r>
      <w:r>
        <w:rPr>
          <w:i/>
        </w:rPr>
        <w:t xml:space="preserve">referral decision justified and recorded</w:t>
      </w:r>
      <w:r>
        <w:t xml:space="preserve">, </w:t>
      </w:r>
      <w:r>
        <w:rPr>
          <w:i/>
        </w:rPr>
        <w:t xml:space="preserve">treatment authorised and auditable</w:t>
      </w:r>
      <w:r>
        <w:t xml:space="preserve"> and </w:t>
      </w:r>
      <w:r>
        <w:rPr>
          <w:i/>
        </w:rPr>
        <w:t xml:space="preserve">correspondence clinically accurate</w:t>
      </w:r>
      <w:r>
        <w:t xml:space="preserve">. </w:t>
      </w:r>
      <w:r>
        <w:rPr>
          <w:i/>
        </w:rPr>
        <w:t xml:space="preserve">Record decision, rationale and clinician</w:t>
      </w:r>
      <w:r>
        <w:t xml:space="preserve"> contributes </w:t>
      </w:r>
      <w:r>
        <w:rPr>
          <w:rFonts w:ascii="Consolas" w:hAnsi="Consolas"/>
        </w:rPr>
        <w:t xml:space="preserve">help</w:t>
      </w:r>
      <w:r>
        <w:t xml:space="preserve"> to </w:t>
      </w:r>
      <w:r>
        <w:rPr>
          <w:i/>
        </w:rPr>
        <w:t xml:space="preserve">clinical accountability maintained</w:t>
      </w:r>
      <w:r>
        <w:t xml:space="preserve">, and no administrative task has a means-end path to that soft goal — which is why clinical authority cannot be delegated.</w:t>
      </w:r>
    </w:p>
    <w:p>
      <w:pPr>
        <w:pStyle w:val="ListBullet"/>
      </w:pPr>
      <w:r>
        <w:rPr>
          <w:b/>
        </w:rPr>
        <w:t xml:space="preserve">Medical Secretaries.</w:t>
      </w:r>
      <w:r>
        <w:t xml:space="preserve"> </w:t>
      </w:r>
      <w:r>
        <w:rPr>
          <w:i/>
        </w:rPr>
        <w:t xml:space="preserve">Process incoming referrals and correspondence</w:t>
      </w:r>
      <w:r>
        <w:t xml:space="preserve"> decomposes into </w:t>
      </w:r>
      <w:r>
        <w:rPr>
          <w:i/>
        </w:rPr>
        <w:t xml:space="preserve">referral prepared for clinical review</w:t>
      </w:r>
      <w:r>
        <w:t xml:space="preserve"> and </w:t>
      </w:r>
      <w:r>
        <w:rPr>
          <w:i/>
        </w:rPr>
        <w:t xml:space="preserve">clinic letter processed without changing clinical meaning</w:t>
      </w:r>
      <w:r>
        <w:t xml:space="preserve">. </w:t>
      </w:r>
      <w:r>
        <w:rPr>
          <w:i/>
        </w:rPr>
        <w:t xml:space="preserve">Perform administrative checks</w:t>
      </w:r>
      <w:r>
        <w:t xml:space="preserve"> contributes </w:t>
      </w:r>
      <w:r>
        <w:rPr>
          <w:rFonts w:ascii="Consolas" w:hAnsi="Consolas"/>
        </w:rPr>
        <w:t xml:space="preserve">make</w:t>
      </w:r>
      <w:r>
        <w:t xml:space="preserve"> to </w:t>
      </w:r>
      <w:r>
        <w:rPr>
          <w:i/>
        </w:rPr>
        <w:t xml:space="preserve">no clinical judgement by administrative staff</w:t>
      </w:r>
      <w:r>
        <w:t xml:space="preserve">; </w:t>
      </w:r>
      <w:r>
        <w:rPr>
          <w:i/>
        </w:rPr>
        <w:t xml:space="preserve">request missing documentation</w:t>
      </w:r>
      <w:r>
        <w:t xml:space="preserve"> contributes </w:t>
      </w:r>
      <w:r>
        <w:rPr>
          <w:rFonts w:ascii="Consolas" w:hAnsi="Consolas"/>
        </w:rPr>
        <w:t xml:space="preserve">hurt</w:t>
      </w:r>
      <w:r>
        <w:t xml:space="preserve"> to </w:t>
      </w:r>
      <w:r>
        <w:rPr>
          <w:i/>
        </w:rPr>
        <w:t xml:space="preserve">referral administration kept proportionate</w:t>
      </w:r>
      <w:r>
        <w:t xml:space="preserve">, which is the honest modelling of a real trade-off.</w:t>
      </w:r>
    </w:p>
    <w:p>
      <w:pPr>
        <w:pStyle w:val="ListBullet"/>
      </w:pPr>
      <w:r>
        <w:rPr>
          <w:b/>
        </w:rPr>
        <w:t xml:space="preserve">Outpatient Bookings Team.</w:t>
      </w:r>
      <w:r>
        <w:t xml:space="preserve"> </w:t>
      </w:r>
      <w:r>
        <w:rPr>
          <w:i/>
        </w:rPr>
        <w:t xml:space="preserve">Book and confirm new patient appointments</w:t>
      </w:r>
      <w:r>
        <w:t xml:space="preserve"> decomposes into </w:t>
      </w:r>
      <w:r>
        <w:rPr>
          <w:i/>
        </w:rPr>
        <w:t xml:space="preserve">appointment offered within the requested period</w:t>
      </w:r>
      <w:r>
        <w:t xml:space="preserve"> and </w:t>
      </w:r>
      <w:r>
        <w:rPr>
          <w:i/>
        </w:rPr>
        <w:t xml:space="preserve">patient informed and attendance confirmed</w:t>
      </w:r>
      <w:r>
        <w:t xml:space="preserve">. </w:t>
      </w:r>
      <w:r>
        <w:rPr>
          <w:i/>
        </w:rPr>
        <w:t xml:space="preserve">Validate the request and its urgency</w:t>
      </w:r>
      <w:r>
        <w:t xml:space="preserve"> contributes </w:t>
      </w:r>
      <w:r>
        <w:rPr>
          <w:rFonts w:ascii="Consolas" w:hAnsi="Consolas"/>
        </w:rPr>
        <w:t xml:space="preserve">help</w:t>
      </w:r>
      <w:r>
        <w:t xml:space="preserve"> to </w:t>
      </w:r>
      <w:r>
        <w:rPr>
          <w:i/>
        </w:rPr>
        <w:t xml:space="preserve">never booked silently outside the clinical period</w:t>
      </w:r>
      <w:r>
        <w:t xml:space="preserve">.</w:t>
      </w:r>
    </w:p>
    <w:p>
      <w:pPr>
        <w:pStyle w:val="ListBullet"/>
      </w:pPr>
      <w:r>
        <w:rPr>
          <w:b/>
        </w:rPr>
        <w:t xml:space="preserve">Treatment and Chemotherapy Bookings Team.</w:t>
      </w:r>
      <w:r>
        <w:t xml:space="preserve"> </w:t>
      </w:r>
      <w:r>
        <w:rPr>
          <w:i/>
        </w:rPr>
        <w:t xml:space="preserve">Coordinate and confirm treatment appointments</w:t>
      </w:r>
      <w:r>
        <w:t xml:space="preserve"> decomposes into </w:t>
      </w:r>
      <w:r>
        <w:rPr>
          <w:i/>
        </w:rPr>
        <w:t xml:space="preserve">treatment scheduled without duplication</w:t>
      </w:r>
      <w:r>
        <w:t xml:space="preserve">, </w:t>
      </w:r>
      <w:r>
        <w:rPr>
          <w:i/>
        </w:rPr>
        <w:t xml:space="preserve">only authorised requests processed</w:t>
      </w:r>
      <w:r>
        <w:t xml:space="preserve"> and </w:t>
      </w:r>
      <w:r>
        <w:rPr>
          <w:i/>
        </w:rPr>
        <w:t xml:space="preserve">external capacity used safely</w:t>
      </w:r>
      <w:r>
        <w:t xml:space="preserve">. </w:t>
      </w:r>
      <w:r>
        <w:rPr>
          <w:i/>
        </w:rPr>
        <w:t xml:space="preserve">Keep the booking pending and record the retry</w:t>
      </w:r>
      <w:r>
        <w:t xml:space="preserve"> contributes </w:t>
      </w:r>
      <w:r>
        <w:rPr>
          <w:rFonts w:ascii="Consolas" w:hAnsi="Consolas"/>
        </w:rPr>
        <w:t xml:space="preserve">make</w:t>
      </w:r>
      <w:r>
        <w:t xml:space="preserve"> to </w:t>
      </w:r>
      <w:r>
        <w:rPr>
          <w:i/>
        </w:rPr>
        <w:t xml:space="preserve">no duplicate appointments created</w:t>
      </w:r>
      <w:r>
        <w:t xml:space="preserve">.</w:t>
      </w:r>
    </w:p>
    <w:p>
      <w:pPr>
        <w:pStyle w:val="ListBullet"/>
      </w:pPr>
      <w:r>
        <w:rPr>
          <w:b/>
        </w:rPr>
        <w:t xml:space="preserve">Finance Team.</w:t>
      </w:r>
      <w:r>
        <w:t xml:space="preserve"> </w:t>
      </w:r>
      <w:r>
        <w:rPr>
          <w:i/>
        </w:rPr>
        <w:t xml:space="preserve">Administer funding, payment and refunds</w:t>
      </w:r>
      <w:r>
        <w:t xml:space="preserve"> decomposes into </w:t>
      </w:r>
      <w:r>
        <w:rPr>
          <w:i/>
        </w:rPr>
        <w:t xml:space="preserve">funding route determined and recorded</w:t>
      </w:r>
      <w:r>
        <w:t xml:space="preserve">, </w:t>
      </w:r>
      <w:r>
        <w:rPr>
          <w:i/>
        </w:rPr>
        <w:t xml:space="preserve">payment collected without double charging</w:t>
      </w:r>
      <w:r>
        <w:t xml:space="preserve"> and </w:t>
      </w:r>
      <w:r>
        <w:rPr>
          <w:i/>
        </w:rPr>
        <w:t xml:space="preserve">refunds decided under financial authority</w:t>
      </w:r>
      <w:r>
        <w:t xml:space="preserve">. </w:t>
      </w:r>
      <w:r>
        <w:rPr>
          <w:b/>
        </w:rPr>
        <w:t xml:space="preserve">Sending the secure payment request contributes `hurt` to *patient is never charged twice* and `make` to *no unnecessary financial data stored*.</w:t>
      </w:r>
      <w:r>
        <w:t xml:space="preserve"> The negative contribution is deliberate: it is the model evidence for the process rule that a payment whose confirmation is lost is marked for investigation rather than re-requested.</w:t>
      </w:r>
    </w:p>
    <w:p>
      <w:pPr>
        <w:pStyle w:val="ListBullet"/>
      </w:pPr>
      <w:r>
        <w:rPr>
          <w:b/>
        </w:rPr>
        <w:t xml:space="preserve">Patient Pathway Coordinators.</w:t>
      </w:r>
      <w:r>
        <w:t xml:space="preserve"> </w:t>
      </w:r>
      <w:r>
        <w:rPr>
          <w:i/>
        </w:rPr>
        <w:t xml:space="preserve">Monitor and unblock patient pathways</w:t>
      </w:r>
      <w:r>
        <w:t xml:space="preserve"> decomposes into </w:t>
      </w:r>
      <w:r>
        <w:rPr>
          <w:i/>
        </w:rPr>
        <w:t xml:space="preserve">pathways progress within the clinical timescale</w:t>
      </w:r>
      <w:r>
        <w:t xml:space="preserve"> and </w:t>
      </w:r>
      <w:r>
        <w:rPr>
          <w:i/>
        </w:rPr>
        <w:t xml:space="preserve">outstanding correspondence escalated</w:t>
      </w:r>
      <w:r>
        <w:t xml:space="preserve">. </w:t>
      </w:r>
      <w:r>
        <w:rPr>
          <w:i/>
        </w:rPr>
        <w:t xml:space="preserve">Escalate after one month and after three months</w:t>
      </w:r>
      <w:r>
        <w:t xml:space="preserve"> contributes </w:t>
      </w:r>
      <w:r>
        <w:rPr>
          <w:rFonts w:ascii="Consolas" w:hAnsi="Consolas"/>
        </w:rPr>
        <w:t xml:space="preserve">hurt</w:t>
      </w:r>
      <w:r>
        <w:t xml:space="preserve"> to </w:t>
      </w:r>
      <w:r>
        <w:rPr>
          <w:i/>
        </w:rPr>
        <w:t xml:space="preserve">escalation proportionate, not repetitive</w:t>
      </w:r>
      <w:r>
        <w:t xml:space="preserve"> — escalation is necessary but has a cost.</w:t>
      </w:r>
    </w:p>
    <w:p>
      <w:pPr>
        <w:pStyle w:val="ListBullet"/>
      </w:pPr>
      <w:r>
        <w:rPr>
          <w:b/>
        </w:rPr>
        <w:t xml:space="preserve">Clinical Nurse Specialist Team.</w:t>
      </w:r>
      <w:r>
        <w:t xml:space="preserve"> </w:t>
      </w:r>
      <w:r>
        <w:rPr>
          <w:i/>
        </w:rPr>
        <w:t xml:space="preserve">Provide clinical advice and support</w:t>
      </w:r>
      <w:r>
        <w:t xml:space="preserve"> decomposes into </w:t>
      </w:r>
      <w:r>
        <w:rPr>
          <w:i/>
        </w:rPr>
        <w:t xml:space="preserve">patients receive clinically safe advice</w:t>
      </w:r>
      <w:r>
        <w:t xml:space="preserve"> and </w:t>
      </w:r>
      <w:r>
        <w:rPr>
          <w:i/>
        </w:rPr>
        <w:t xml:space="preserve">clinical enquiries handled by qualified staff</w:t>
      </w:r>
      <w:r>
        <w:t xml:space="preserve">. </w:t>
      </w:r>
      <w:r>
        <w:rPr>
          <w:i/>
        </w:rPr>
        <w:t xml:space="preserve">Answer clinical enquiries referred by call handlers</w:t>
      </w:r>
      <w:r>
        <w:t xml:space="preserve"> contributes </w:t>
      </w:r>
      <w:r>
        <w:rPr>
          <w:rFonts w:ascii="Consolas" w:hAnsi="Consolas"/>
        </w:rPr>
        <w:t xml:space="preserve">make</w:t>
      </w:r>
      <w:r>
        <w:t xml:space="preserve"> to </w:t>
      </w:r>
      <w:r>
        <w:rPr>
          <w:i/>
        </w:rPr>
        <w:t xml:space="preserve">no clinical advice from non-clinical staff</w:t>
      </w:r>
      <w:r>
        <w:t xml:space="preserve">.</w:t>
      </w:r>
    </w:p>
    <w:p>
      <w:pPr>
        <w:jc w:val="center"/>
        <w:spacing w:before="120" w:after="120"/>
      </w:pPr>
      <w:r>
        <w:drawing>
          <wp:inline distT="0" distB="0" distL="0" distR="0">
            <wp:extent cx="5940000" cy="3981233"/>
            <wp:docPr id="15" name="Figure 6 — i\* Strategic Rationale model" descr="Figure 6 — i\* Strategic Rationale model"/>
            <a:graphic>
              <a:graphicData uri="http://schemas.openxmlformats.org/drawingml/2006/picture">
                <pic:pic>
                  <pic:nvPicPr>
                    <pic:cNvPr id="15" name="Figure 6 — i\* Strategic Rationale model"/>
                    <pic:cNvPicPr/>
                  </pic:nvPicPr>
                  <pic:blipFill>
                    <a:blip r:embed="rIdImg6"/>
                    <a:stretch>
                      <a:fillRect/>
                    </a:stretch>
                  </pic:blipFill>
                  <pic:spPr>
                    <a:xfrm>
                      <a:off x="0" y="0"/>
                      <a:ext cx="5940000" cy="3981233"/>
                    </a:xfrm>
                    <a:prstGeom prst="rect">
                      <a:avLst/>
                    </a:prstGeom>
                  </pic:spPr>
                </pic:pic>
              </a:graphicData>
            </a:graphic>
          </wp:inline>
        </w:drawing>
      </w:r>
    </w:p>
    <w:p>
      <w:r>
        <w:rPr>
          <w:i/>
        </w:rPr>
        <w:t>Figure 6. i* SR model: six actors, 45 intentional elements, 47 internal links, 10 boundary dependencies. Editable source: `06_iStar_Models/iStar_SR_Initial_Release.svg`.</w:t>
      </w:r>
    </w:p>
    <w:p>
      <w:pPr>
        <w:pStyle w:val="Heading3"/>
        <w:keepNext/>
      </w:pPr>
      <w:r>
        <w:t xml:space="preserve">B.4 Modelling choices, assumptions and consistency</w:t>
      </w:r>
    </w:p>
    <w:p>
      <w:pPr>
        <w:pStyle w:val="ListNumber"/>
      </w:pPr>
      <w:r>
        <w:t xml:space="preserve">Tasks, goals and soft goals are distinguished by </w:t>
      </w:r>
      <w:r>
        <w:rPr>
          <w:b/>
        </w:rPr>
        <w:t xml:space="preserve">intent, not size</w:t>
      </w:r>
      <w:r>
        <w:t xml:space="preserve">. </w:t>
      </w:r>
      <w:r>
        <w:rPr>
          <w:i/>
        </w:rPr>
        <w:t xml:space="preserve">Record decision, rationale and clinician</w:t>
      </w:r>
      <w:r>
        <w:t xml:space="preserve"> is a task because there is a defined way to do it; </w:t>
      </w:r>
      <w:r>
        <w:rPr>
          <w:i/>
        </w:rPr>
        <w:t xml:space="preserve">clinical accountability maintained</w:t>
      </w:r>
      <w:r>
        <w:t xml:space="preserve"> is a soft goal because it is judged and never fully satisfied.</w:t>
      </w:r>
    </w:p>
    <w:p>
      <w:pPr>
        <w:pStyle w:val="ListNumber"/>
      </w:pPr>
      <w:r>
        <w:rPr>
          <w:b/>
        </w:rPr>
        <w:t xml:space="preserve">Resources are modelled only where they cross an actor boundary.</w:t>
      </w:r>
      <w:r>
        <w:t xml:space="preserve"> Documents that never leave an actor are not modelled separately.</w:t>
      </w:r>
    </w:p>
    <w:p>
      <w:pPr>
        <w:pStyle w:val="ListNumber"/>
      </w:pPr>
      <w:r>
        <w:rPr>
          <w:b/>
        </w:rPr>
        <w:t xml:space="preserve">The system is not an actor</w:t>
      </w:r>
      <w:r>
        <w:t xml:space="preserve">, and </w:t>
      </w:r>
      <w:r>
        <w:rPr>
          <w:b/>
        </w:rPr>
        <w:t xml:space="preserve">external services are dependees only</w:t>
      </w:r>
      <w:r>
        <w:t xml:space="preserve"> — asserting goals for them would be unsupported by the case study.</w:t>
      </w:r>
    </w:p>
    <w:p>
      <w:pPr>
        <w:pStyle w:val="ListNumber"/>
      </w:pPr>
      <w:r>
        <w:rPr>
          <w:b/>
        </w:rPr>
        <w:t xml:space="preserve">Urgency is a soft goal, not a goal</w:t>
      </w:r>
      <w:r>
        <w:t xml:space="preserve">, because the hospital has not agreed urgency rules.</w:t>
      </w:r>
    </w:p>
    <w:p>
      <w:pPr>
        <w:pStyle w:val="ListNumber"/>
      </w:pPr>
      <w:r>
        <w:rPr>
          <w:b/>
        </w:rPr>
        <w:t xml:space="preserve">Contribution links are qualitative.</w:t>
      </w:r>
      <w:r>
        <w:t xml:space="preserve"> They record whether a task helps, hurts, makes or breaks a soft goal, and carry no weights, so the trade-offs they expose are argued rather than measured.</w:t>
      </w:r>
    </w:p>
    <w:p>
      <w:pPr>
        <w:pStyle w:val="ListNumber"/>
      </w:pPr>
      <w:r>
        <w:rPr>
          <w:b/>
        </w:rPr>
        <w:t xml:space="preserve">The SR was checked against the SD, not merely drawn alongside it.</w:t>
      </w:r>
      <w:r>
        <w:t xml:space="preserve"> The check was mechanical: each actor opened in the SR was confirmed present in the SD; each dependency type used in the SR's boundary links was confirmed to be a type used in the SD; and each boundary link was matched to a dependency drawn in the SD. The check found one inconsistency on the first pass — the Patient appeared as a boundary dependency in the SR but not as a dependee in the SD — which was corrected by adding the corresponding dependency rather than by removing the link.</w:t>
      </w:r>
    </w:p>
    <w:p>
      <w:pPr>
        <w:pStyle w:val="ListNumber"/>
      </w:pPr>
      <w:r>
        <w:rPr>
          <w:b/>
        </w:rPr>
        <w:t xml:space="preserve">The SR is the SD with seven actors opened up, not a different model.</w:t>
      </w:r>
      <w:r>
        <w:t xml:space="preserve"> Every SR actor appears in the SD model, every dependency type used in the boundary links is used in the SD model, and each boundary link corresponds to a dependency drawn there. Where an SR actor has no internal means-end path to a dependency it has accepted, that dependency is an unmitigated risk — which is exactly what Task 03 uses to separate requirements that are supported from those that only appear to be.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lang w:val="en-GB"/>
      </w:rPr>
    </w:rPrDefault>
    <w:pPrDefault>
      <w:pPr>
        <w:spacing w:after="120" w:line="264" w:lineRule="auto"/>
      </w:pPr>
    </w:pPrDefault>
  </w:docDefaults>
  <w:style w:type="paragraph" w:default="1" w:styleId="Normal">
    <w:name w:val="Normal"/>
  </w:style>
  <w:style w:type="paragraph" w:styleId="Title">
    <w:name w:val="Title"/>
    <w:basedOn w:val="Normal"/>
    <w:pPr>
      <w:spacing w:before="0" w:after="240"/>
      <w:outlineLvl w:val="0"/>
    </w:pPr>
    <w:rPr>
      <w:b/>
      <w:sz w:val="44"/>
      <w:szCs w:val="44"/>
      <w:color w:val="1F3864"/>
    </w:rPr>
  </w:style>
  <w:style w:type="paragraph" w:styleId="Heading1">
    <w:name w:val="heading 1"/>
    <w:basedOn w:val="Normal"/>
    <w:next w:val="Normal"/>
    <w:pPr>
      <w:keepNext/>
      <w:spacing w:before="320" w:after="160"/>
      <w:outlineLvl w:val="0"/>
    </w:pPr>
    <w:rPr>
      <w:b/>
      <w:color w:val="1F3864"/>
      <w:sz w:val="32"/>
      <w:szCs w:val="32"/>
    </w:rPr>
  </w:style>
  <w:style w:type="paragraph" w:styleId="Heading2">
    <w:name w:val="heading 2"/>
    <w:basedOn w:val="Normal"/>
    <w:next w:val="Normal"/>
    <w:pPr>
      <w:keepNext/>
      <w:spacing w:before="280" w:after="140"/>
      <w:outlineLvl w:val="1"/>
    </w:pPr>
    <w:rPr>
      <w:b/>
      <w:color w:val="2E5496"/>
      <w:sz w:val="26"/>
      <w:szCs w:val="26"/>
    </w:rPr>
  </w:style>
  <w:style w:type="paragraph" w:styleId="Heading3">
    <w:name w:val="heading 3"/>
    <w:basedOn w:val="Normal"/>
    <w:next w:val="Normal"/>
    <w:pPr>
      <w:keepNext/>
      <w:spacing w:before="240" w:after="120"/>
      <w:outlineLvl w:val="2"/>
    </w:pPr>
    <w:rPr>
      <w:b/>
      <w:color w:val="2E5496"/>
      <w:sz w:val="23"/>
      <w:szCs w:val="23"/>
    </w:rPr>
  </w:style>
  <w:style w:type="paragraph" w:styleId="Heading4">
    <w:name w:val="heading 4"/>
    <w:basedOn w:val="Normal"/>
    <w:next w:val="Normal"/>
    <w:pPr>
      <w:keepNext/>
      <w:spacing w:before="200" w:after="100"/>
      <w:outlineLvl w:val="3"/>
    </w:pPr>
    <w:rPr>
      <w:b/>
      <w:color w:val="404040"/>
      <w:sz w:val="21"/>
      <w:szCs w:val="21"/>
    </w:rPr>
  </w:style>
  <w:style w:type="paragraph" w:styleId="ListBullet">
    <w:name w:val="List Bullet"/>
    <w:basedOn w:val="Normal"/>
    <w:pPr>
      <w:ind w:left="420" w:hanging="240"/>
      <w:spacing w:after="40"/>
    </w:pPr>
  </w:style>
  <w:style w:type="paragraph" w:styleId="ListNumber">
    <w:name w:val="List Number"/>
    <w:basedOn w:val="Normal"/>
    <w:pPr>
      <w:ind w:left="420" w:hanging="240"/>
      <w:spacing w:after="40"/>
    </w:pPr>
  </w:style>
  <w:style w:type="paragraph" w:styleId="Quote">
    <w:name w:val="Quote"/>
    <w:basedOn w:val="Normal"/>
    <w:pPr>
      <w:ind w:left="560"/>
    </w:pPr>
    <w:rPr>
      <w:i/>
      <w:color w:val="595959"/>
    </w:rPr>
  </w:style>
  <w:style w:type="paragraph" w:styleId="Code">
    <w:name w:val="Code"/>
    <w:basedOn w:val="Normal"/>
    <w:pPr>
      <w:spacing w:after="0" w:line="240" w:lineRule="auto"/>
      <w:ind w:left="120"/>
    </w:pPr>
    <w:rPr>
      <w:rFonts w:ascii="Consolas" w:hAnsi="Consolas"/>
      <w:sz w:val="15"/>
    </w:rPr>
  </w:style>
  <w:style w:type="table" w:styleId="TableGrid">
    <w:name w:val="Table Grid"/>
    <w:tblPr>
      <w:tblBorders>
        <w:top w:val="single" w:sz="6" w:color="808080"/>
        <w:left w:val="single" w:sz="6" w:color="808080"/>
        <w:bottom w:val="single" w:sz="6" w:color="808080"/>
        <w:right w:val="single" w:sz="6" w:color="808080"/>
        <w:insideH w:val="single" w:sz="6" w:color="808080"/>
        <w:insideV w:val="single" w:sz="6"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01-task01-task02-models</dc:title>
  <dc:creator>UFCEP4-0-3 group</dc:creator>
  <cp:lastModifiedBy>UFCEP4-0-3 group</cp:lastModifiedBy>
</cp:coreProperties>
</file>