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and the 68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Four representative criteria show the change of form: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243"/>
        <w:gridCol w:w="1152"/>
        <w:gridCol w:w="4243"/>
      </w:tblGrid>
      <w:tr>
        <w:trPr>
          <w:tblHeader/>
        </w:trPr>
        <w:tc>
          <w:tcPr>
            <w:tcW w:w="4243" w:type="dxa"/>
            <w:shd w:val="clear" w:fill="EDEDED"/>
            <w:vAlign w:val="top"/>
          </w:tcPr>
          <w:p>
            <w:pPr>
              <w:spacing w:before="20" w:after="20"/>
            </w:pPr>
            <w:r>
              <w:rPr>
                <w:b/>
                <w:sz w:val="21"/>
                <w:szCs w:val="21"/>
              </w:rPr>
              <w:t xml:space="preserve">Revised criterion</w:t>
            </w:r>
          </w:p>
        </w:tc>
        <w:tc>
          <w:tcPr>
            <w:tcW w:w="1152" w:type="dxa"/>
            <w:shd w:val="clear" w:fill="EDEDED"/>
            <w:vAlign w:val="top"/>
          </w:tcPr>
          <w:p>
            <w:pPr>
              <w:spacing w:before="20" w:after="20"/>
            </w:pPr>
            <w:r>
              <w:rPr>
                <w:b/>
                <w:sz w:val="21"/>
                <w:szCs w:val="21"/>
              </w:rPr>
              <w:t xml:space="preserve">Traces to</w:t>
            </w:r>
          </w:p>
        </w:tc>
        <w:tc>
          <w:tcPr>
            <w:tcW w:w="4243" w:type="dxa"/>
            <w:shd w:val="clear" w:fill="EDEDED"/>
            <w:vAlign w:val="top"/>
          </w:tcPr>
          <w:p>
            <w:pPr>
              <w:spacing w:before="20" w:after="20"/>
            </w:pPr>
            <w:r>
              <w:rPr>
                <w:b/>
                <w:sz w:val="21"/>
                <w:szCs w:val="21"/>
              </w:rPr>
              <w:t xml:space="preserve">Test</w:t>
            </w:r>
          </w:p>
        </w:tc>
      </w:tr>
      <w:tr>
        <w:tc>
          <w:tcPr>
            <w:tcW w:w="4243" w:type="dxa"/>
            <w:vAlign w:val="top"/>
          </w:tcPr>
          <w:p>
            <w:pPr>
              <w:spacing w:before="20" w:after="20"/>
            </w:pPr>
            <w:r>
              <w:rPr>
                <w:sz w:val="21"/>
                <w:szCs w:val="21"/>
              </w:rPr>
              <w:t xml:space="preserve">AC-R-06 Given an appointment due to take place within 14 days, when the confirmation letter is issued, then a telephone task is created for the Call Handling Team; and given an appointment more than 14 days away, then no telephone task is created</w:t>
            </w:r>
          </w:p>
        </w:tc>
        <w:tc>
          <w:tcPr>
            <w:tcW w:w="1152" w:type="dxa"/>
            <w:vAlign w:val="top"/>
          </w:tcPr>
          <w:p>
            <w:pPr>
              <w:spacing w:before="20" w:after="20"/>
            </w:pPr>
            <w:r>
              <w:rPr>
                <w:sz w:val="21"/>
                <w:szCs w:val="21"/>
              </w:rPr>
              <w:t xml:space="preserve">REQ-09, BR-02</w:t>
            </w:r>
          </w:p>
        </w:tc>
        <w:tc>
          <w:tcPr>
            <w:tcW w:w="4243" w:type="dxa"/>
            <w:vAlign w:val="top"/>
          </w:tcPr>
          <w:p>
            <w:pPr>
              <w:spacing w:before="20" w:after="20"/>
            </w:pPr>
            <w:r>
              <w:rPr>
                <w:sz w:val="21"/>
                <w:szCs w:val="21"/>
              </w:rPr>
              <w:t xml:space="preserve">TC-06, TC-07</w:t>
            </w:r>
          </w:p>
        </w:tc>
      </w:tr>
      <w:tr>
        <w:tc>
          <w:tcPr>
            <w:tcW w:w="4243" w:type="dxa"/>
            <w:vAlign w:val="top"/>
          </w:tcPr>
          <w:p>
            <w:pPr>
              <w:spacing w:before="20" w:after="20"/>
            </w:pPr>
            <w:r>
              <w:rPr>
                <w:sz w:val="21"/>
                <w:szCs w:val="21"/>
              </w:rPr>
              <w:t xml:space="preserve">AC-R-11 Given a payment declined by the provider, when the outcome is recorded, then the patient and the responsible team are notified, and a further payment attempt is permitted that does not create a second appointment or a second charge</w:t>
            </w:r>
          </w:p>
        </w:tc>
        <w:tc>
          <w:tcPr>
            <w:tcW w:w="1152" w:type="dxa"/>
            <w:vAlign w:val="top"/>
          </w:tcPr>
          <w:p>
            <w:pPr>
              <w:spacing w:before="20" w:after="20"/>
            </w:pPr>
            <w:r>
              <w:rPr>
                <w:sz w:val="21"/>
                <w:szCs w:val="21"/>
              </w:rPr>
              <w:t xml:space="preserve">REQ-22, BR-05</w:t>
            </w:r>
          </w:p>
        </w:tc>
        <w:tc>
          <w:tcPr>
            <w:tcW w:w="4243" w:type="dxa"/>
            <w:vAlign w:val="top"/>
          </w:tcPr>
          <w:p>
            <w:pPr>
              <w:spacing w:before="20" w:after="20"/>
            </w:pPr>
            <w:r>
              <w:rPr>
                <w:sz w:val="21"/>
                <w:szCs w:val="21"/>
              </w:rPr>
              <w:t xml:space="preserve">TC-15</w:t>
            </w:r>
          </w:p>
        </w:tc>
      </w:tr>
      <w:tr>
        <w:tc>
          <w:tcPr>
            <w:tcW w:w="4243" w:type="dxa"/>
            <w:vAlign w:val="top"/>
          </w:tcPr>
          <w:p>
            <w:pPr>
              <w:spacing w:before="20" w:after="20"/>
            </w:pPr>
            <w:r>
              <w:rPr>
                <w:sz w:val="21"/>
                <w:szCs w:val="21"/>
              </w:rPr>
              <w:t xml:space="preserve">AC-R-12 Given a payment the provider took but whose confirmation was not returned, when the failure is detected, then the transaction is marked for investigation and </w:t>
            </w:r>
            <w:r>
              <w:rPr>
                <w:b/>
                <w:sz w:val="21"/>
                <w:szCs w:val="21"/>
              </w:rPr>
              <w:t xml:space="preserve">no second payment request is raised</w:t>
            </w:r>
          </w:p>
        </w:tc>
        <w:tc>
          <w:tcPr>
            <w:tcW w:w="1152" w:type="dxa"/>
            <w:vAlign w:val="top"/>
          </w:tcPr>
          <w:p>
            <w:pPr>
              <w:spacing w:before="20" w:after="20"/>
            </w:pPr>
            <w:r>
              <w:rPr>
                <w:sz w:val="21"/>
                <w:szCs w:val="21"/>
              </w:rPr>
              <w:t xml:space="preserve">REQ-23, BR-06</w:t>
            </w:r>
          </w:p>
        </w:tc>
        <w:tc>
          <w:tcPr>
            <w:tcW w:w="4243" w:type="dxa"/>
            <w:vAlign w:val="top"/>
          </w:tcPr>
          <w:p>
            <w:pPr>
              <w:spacing w:before="20" w:after="20"/>
            </w:pPr>
            <w:r>
              <w:rPr>
                <w:sz w:val="21"/>
                <w:szCs w:val="21"/>
              </w:rPr>
              <w:t xml:space="preserve">TC-16</w:t>
            </w:r>
          </w:p>
        </w:tc>
      </w:tr>
      <w:tr>
        <w:tc>
          <w:tcPr>
            <w:tcW w:w="4243" w:type="dxa"/>
            <w:vAlign w:val="top"/>
          </w:tcPr>
          <w:p>
            <w:pPr>
              <w:spacing w:before="20" w:after="20"/>
            </w:pPr>
            <w:r>
              <w:rPr>
                <w:sz w:val="21"/>
                <w:szCs w:val="21"/>
              </w:rPr>
              <w:t xml:space="preserve">AC-R-19 Given any payment channel, when a transaction is recorded, then no complete card number, security code or equivalent sensitive authentication data is persisted</w:t>
            </w:r>
          </w:p>
        </w:tc>
        <w:tc>
          <w:tcPr>
            <w:tcW w:w="1152" w:type="dxa"/>
            <w:vAlign w:val="top"/>
          </w:tcPr>
          <w:p>
            <w:pPr>
              <w:spacing w:before="20" w:after="20"/>
            </w:pPr>
            <w:r>
              <w:rPr>
                <w:sz w:val="21"/>
                <w:szCs w:val="21"/>
              </w:rPr>
              <w:t xml:space="preserve">REQ-21, CN-01</w:t>
            </w:r>
          </w:p>
        </w:tc>
        <w:tc>
          <w:tcPr>
            <w:tcW w:w="4243" w:type="dxa"/>
            <w:vAlign w:val="top"/>
          </w:tcPr>
          <w:p>
            <w:pPr>
              <w:spacing w:before="20" w:after="20"/>
            </w:pPr>
            <w:r>
              <w:rPr>
                <w:sz w:val="21"/>
                <w:szCs w:val="21"/>
              </w:rPr>
              <w:t xml:space="preserve">design inspection; no test case, and this is stated rather than implied</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8"/>
                <w:szCs w:val="18"/>
              </w:rPr>
              <w:t xml:space="preserve">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8"/>
                <w:szCs w:val="18"/>
              </w:rPr>
              <w:t xml:space="preserve">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21"/>
                <w:szCs w:val="21"/>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21"/>
                <w:szCs w:val="21"/>
              </w:rPr>
              <w:t xml:space="preserve">Live execution: incident on the first user task of every instance</w:t>
            </w:r>
          </w:p>
        </w:tc>
        <w:tc>
          <w:tcPr>
            <w:tcW w:w="2999" w:type="dxa"/>
            <w:vAlign w:val="top"/>
          </w:tcPr>
          <w:p>
            <w:pPr>
              <w:spacing w:before="20" w:after="20"/>
            </w:pPr>
            <w:r>
              <w:rPr>
                <w:sz w:val="21"/>
                <w:szCs w:val="21"/>
              </w:rPr>
              <w:t xml:space="preserve">Fixed by generating and deploying 68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failure cases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Twelve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03-task04-acceptance-evaluation</dc:title>
  <dc:creator>UFCEP4-0-3 group</dc:creator>
  <cp:lastModifiedBy>UFCEP4-0-3 group</cp:lastModifiedBy>
</cp:coreProperties>
</file>