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13–19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 xml:space="preserve">SD: 16 actors, 37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 — SR3 and SR4 are scheduled for 19 and 22 October 2026</w:t>
      </w:r>
    </w:p>
    <w:p>
      <w:pPr>
        <w:pStyle w:val="Heading3"/>
        <w:keepNext/>
      </w:pPr>
      <w:r>
        <w:t xml:space="preserve">Sprint review 3 — scheduled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scheduled 22 October 2026</w:t>
      </w:r>
    </w:p>
    <w:p>
      <w:r>
        <w:rPr>
          <w:b/>
        </w:rPr>
        <w:t xml:space="preserve">Increment presented (`v1.0`).</w:t>
      </w:r>
      <w:r>
        <w:t xml:space="preserve"> The integrated strategic model family; the merged operational model; 68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Marked standups — SU3 and SU4 are scheduled for 15 and 21 October 2026</w:t>
      </w:r>
    </w:p>
    <w:p>
      <w:r>
        <w:rPr>
          <w:b/>
        </w:rPr>
        <w:t xml:space="preserve">SU3 — scheduled 15 October 2026, 09:30</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scheduled 21 October 2026, 09:30</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37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04-agile-delivery</dc:title>
  <dc:creator>UFCEP4-0-3 group</dc:creator>
  <cp:lastModifiedBy>UFCEP4-0-3 group</cp:lastModifiedBy>
</cp:coreProperties>
</file>