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left"/>
      </w:pPr>
      <w:r>
        <w:t xml:space="preserve">Work division and ownership</w:t>
      </w:r>
    </w:p>
    <w:p>
      <w:r>
        <w:t xml:space="preserve">Two units share this project, so there are two divisions. The </w:t>
      </w:r>
      <w:r>
        <w:rPr>
          <w:b/>
        </w:rPr>
        <w:t xml:space="preserve">portfolio unit</w:t>
      </w:r>
    </w:p>
    <w:p>
      <w:r>
        <w:t xml:space="preserve">(UFCEP4-0-3) division is the contribution matrix in the Agile delivery record and</w:t>
      </w:r>
    </w:p>
    <w:p>
      <w:r>
        <w:t xml:space="preserve">is not changed here. The </w:t>
      </w:r>
      <w:r>
        <w:rPr>
          <w:b/>
        </w:rPr>
        <w:t xml:space="preserve">implementation unit</w:t>
      </w:r>
      <w:r>
        <w:t xml:space="preserve"> division below covers the</w:t>
      </w:r>
    </w:p>
    <w:p>
      <w:r>
        <w:t xml:space="preserve">artefacts this project grew beyond the portfolio brief: the runnable model, the</w:t>
      </w:r>
    </w:p>
    <w:p>
      <w:r>
        <w:t xml:space="preserve">Java workers, the forms and the test evidence.</w:t>
      </w:r>
    </w:p>
    <w:p>
      <w:r>
        <w:t xml:space="preserve">Every activity has a </w:t>
      </w:r>
      <w:r>
        <w:rPr>
          <w:b/>
        </w:rPr>
        <w:t xml:space="preserve">first owner</w:t>
      </w:r>
      <w:r>
        <w:t xml:space="preserve"> (leads delivery, answers for it) and a</w:t>
      </w:r>
    </w:p>
    <w:p>
      <w:r>
        <w:rPr>
          <w:b/>
        </w:rPr>
        <w:t xml:space="preserve">second owner</w:t>
      </w:r>
      <w:r>
        <w:t xml:space="preserve"> (keeps current enough to take over), as the brief requires.</w:t>
      </w:r>
    </w:p>
    <w:p>
      <w:pPr>
        <w:pStyle w:val="Heading2"/>
        <w:keepNext/>
      </w:pPr>
      <w:r>
        <w:t xml:space="preserve">1. Who owns what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2639"/>
        <w:gridCol w:w="801"/>
        <w:gridCol w:w="924"/>
        <w:gridCol w:w="5274"/>
      </w:tblGrid>
      <w:tr>
        <w:trPr>
          <w:tblHeader/>
        </w:trPr>
        <w:tc>
          <w:tcPr>
            <w:tcW w:w="2639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Deliverable</w:t>
            </w:r>
          </w:p>
        </w:tc>
        <w:tc>
          <w:tcPr>
            <w:tcW w:w="801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First owner</w:t>
            </w:r>
          </w:p>
        </w:tc>
        <w:tc>
          <w:tcPr>
            <w:tcW w:w="92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Second owner</w:t>
            </w:r>
          </w:p>
        </w:tc>
        <w:tc>
          <w:tcPr>
            <w:tcW w:w="527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Where it is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Operational model </w:t>
            </w:r>
            <w:r>
              <w:rPr>
                <w:rFonts w:ascii="Consolas" w:hAnsi="Consolas"/>
                <w:sz w:val="21"/>
                <w:szCs w:val="21"/>
              </w:rPr>
              <w:t xml:space="preserve">O1</w:t>
            </w:r>
            <w:r>
              <w:rPr>
                <w:sz w:val="21"/>
                <w:szCs w:val="21"/>
              </w:rPr>
              <w:t xml:space="preserve">, merged and integrated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max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henry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02_BPMN_Models/O1_Operational_Merged.bpmn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Strategic models </w:t>
            </w:r>
            <w:r>
              <w:rPr>
                <w:rFonts w:ascii="Consolas" w:hAnsi="Consolas"/>
                <w:sz w:val="21"/>
                <w:szCs w:val="21"/>
              </w:rPr>
              <w:t xml:space="preserve">S1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S2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S3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max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02_BPMN_Models/S*.bpmn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Model validation (moddle, structural, Camunda 8 lint, layout)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max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09_Tests_and_Tools/validate-models.py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>69 Camunda Forms and their task bindings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henry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03_Forms/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Form validation and rendering evidence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09_Tests_and_Tools/validate-forms.py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render-forms.mjs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Java job workers — 3 gating workers (slots, capacity, payment)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finn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04_Java_Worker/.../tasks/QueryAvailableAppointmentSlotsWorker.java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RequestTreatmentCapacityWorker.java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RequestSecurePaymentWorker.java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Java job workers — correspondence and referral (4)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max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.../tasks/RequestMissingDocumentationWorker.java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SendReferralOutcomeWorker.java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RedirectReferralWorker.java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SendAppointmentConfirmationLetterWorker.java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Java job workers — clinical and finance (3)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.../tasks/RequestBloodTestWorker.java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RequestRefundWorker.java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GenerateManagementReportsWorker.java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Worker failure handling, audit log, episode correlation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finn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henry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.../AbstractWorker.java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support/OperationsLog.java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support/HospitalStore.java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Worker unit tests (41)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04_Java_Worker/src/test/java/uk/ac/uwe/hospital/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Variable-to-gateway contract (which worker writes what the gateway reads)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henry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max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09_Tests_and_Tools/validate-contract.py</w:t>
            </w:r>
            <w:r>
              <w:rPr>
                <w:sz w:val="21"/>
                <w:szCs w:val="21"/>
              </w:rPr>
              <w:t xml:space="preserve">, README contract table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Acceptance run — 18 cases against the deployed build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max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09_Tests_and_Tools/run-acceptance.mjs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Worker-driven scenarios — 6 cases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finn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09_Tests_and_Tools/run-worker-demo.mjs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run-worker-scenarios.ps1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Tasklist browser run — 19 forms filled by hand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peter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henry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09_Tests_and_Tools/run-form-tasklist.mjs</w:t>
            </w:r>
            <w:r>
              <w:rPr>
                <w:sz w:val="21"/>
                <w:szCs w:val="21"/>
              </w:rPr>
              <w:t xml:space="preserve">, evidence in </w:t>
            </w:r>
            <w:r>
              <w:rPr>
                <w:rFonts w:ascii="Consolas" w:hAnsi="Consolas"/>
                <w:sz w:val="21"/>
                <w:szCs w:val="21"/>
              </w:rPr>
              <w:t xml:space="preserve">05_Test_Evidence/form-demo/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One-command verification (9 steps) and its evidence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henry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09_Tests_and_Tools/verify-all.ps1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05_Test_Evidence/verification/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Deployment and cluster evidence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max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05_Test_Evidence/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hAnsi="Consolas"/>
                <w:sz w:val="21"/>
                <w:szCs w:val="21"/>
              </w:rPr>
              <w:t xml:space="preserve">09_Tests_and_Tools/deploy-all.mjs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Requirements traceability (44 requirements, four levels)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henry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max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04_Portfolio_documents/...Task03...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Alignment evaluation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henry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as above</w:t>
            </w:r>
          </w:p>
        </w:tc>
      </w:tr>
      <w:tr>
        <w:tc>
          <w:tcPr>
            <w:tcW w:w="2639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Acceptance criteria evaluation and the criteria revisions</w:t>
            </w:r>
          </w:p>
        </w:tc>
        <w:tc>
          <w:tcPr>
            <w:tcW w:w="801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henry</w:t>
            </w:r>
          </w:p>
        </w:tc>
        <w:tc>
          <w:tcPr>
            <w:tcW w:w="92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5274" w:type="dxa"/>
            <w:vAlign w:val="top"/>
          </w:tcPr>
          <w:p>
            <w:pPr>
              <w:spacing w:before="20" w:after="20"/>
            </w:pPr>
            <w:r>
              <w:rPr>
                <w:rFonts w:ascii="Consolas" w:hAnsi="Consolas"/>
                <w:sz w:val="21"/>
                <w:szCs w:val="21"/>
              </w:rPr>
              <w:t xml:space="preserve">...Task04...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 xml:space="preserve">2. The implementation unit, by share</w:t>
      </w:r>
    </w:p>
    <w:p>
      <w:r>
        <w:t xml:space="preserve">Each column sums to 100%. The Total column is the split of the group mark, which</w:t>
      </w:r>
    </w:p>
    <w:p>
      <w:r>
        <w:t xml:space="preserve">the group agreed to divide equally: </w:t>
      </w:r>
      <w:r>
        <w:rPr>
          <w:b/>
        </w:rPr>
        <w:t xml:space="preserve">25% each</w:t>
      </w:r>
      <w:r>
        <w:t xml:space="preserve">. The two are different measures —</w:t>
      </w:r>
    </w:p>
    <w:p>
      <w:r>
        <w:t xml:space="preserve">the activity columns record who carried which work, the Total column records how</w:t>
      </w:r>
    </w:p>
    <w:p>
      <w:r>
        <w:t xml:space="preserve">the mark is shared — so a member can hold a large share of one activity and still</w:t>
      </w:r>
    </w:p>
    <w:p>
      <w:r>
        <w:t xml:space="preserve">take an equal share overall.</w:t>
      </w:r>
    </w:p>
    <w:tbl>
      <w:tblPr>
        <w:tblStyle w:val="TableGrid"/>
        <w:tblW w:w="9638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  <w:tblLayout w:type="fixed"/>
        <w:tblCellMar>
          <w:top w:w="0" w:type="dxa"/>
          <w:left w:w="90" w:type="dxa"/>
          <w:bottom w:w="0" w:type="dxa"/>
          <w:right w:w="90" w:type="dxa"/>
        </w:tblCellMar>
        <w:tblLook w:val="04A0" w:firstRow="1" w:lastRow="0" w:firstColumn="0" w:lastColumn="0" w:noHBand="0" w:noVBand="1"/>
      </w:tblPr>
      <w:tblGrid>
        <w:gridCol w:w="1090"/>
        <w:gridCol w:w="1881"/>
        <w:gridCol w:w="1934"/>
        <w:gridCol w:w="1860"/>
        <w:gridCol w:w="2143"/>
        <w:gridCol w:w="730"/>
      </w:tblGrid>
      <w:tr>
        <w:trPr>
          <w:tblHeader/>
        </w:trPr>
        <w:tc>
          <w:tcPr>
            <w:tcW w:w="1090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Member</w:t>
            </w:r>
          </w:p>
        </w:tc>
        <w:tc>
          <w:tcPr>
            <w:tcW w:w="1881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Runnable model</w:t>
            </w:r>
          </w:p>
        </w:tc>
        <w:tc>
          <w:tcPr>
            <w:tcW w:w="1934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External workers</w:t>
            </w:r>
          </w:p>
        </w:tc>
        <w:tc>
          <w:tcPr>
            <w:tcW w:w="1860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Camunda Forms</w:t>
            </w:r>
          </w:p>
        </w:tc>
        <w:tc>
          <w:tcPr>
            <w:tcW w:w="2143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Tests and evidence</w:t>
            </w:r>
          </w:p>
        </w:tc>
        <w:tc>
          <w:tcPr>
            <w:tcW w:w="730" w:type="dxa"/>
            <w:shd w:val="clear" w:fill="EDEDED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Total</w:t>
            </w:r>
          </w:p>
        </w:tc>
      </w:tr>
      <w:tr>
        <w:tc>
          <w:tcPr>
            <w:tcW w:w="109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max</w:t>
            </w:r>
          </w:p>
        </w:tc>
        <w:tc>
          <w:tcPr>
            <w:tcW w:w="1881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45%</w:t>
            </w:r>
          </w:p>
        </w:tc>
        <w:tc>
          <w:tcPr>
            <w:tcW w:w="19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25%</w:t>
            </w:r>
          </w:p>
        </w:tc>
        <w:tc>
          <w:tcPr>
            <w:tcW w:w="186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15%</w:t>
            </w:r>
          </w:p>
        </w:tc>
        <w:tc>
          <w:tcPr>
            <w:tcW w:w="2143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20%</w:t>
            </w:r>
          </w:p>
        </w:tc>
        <w:tc>
          <w:tcPr>
            <w:tcW w:w="730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w="109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finn</w:t>
            </w:r>
          </w:p>
        </w:tc>
        <w:tc>
          <w:tcPr>
            <w:tcW w:w="1881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10%</w:t>
            </w:r>
          </w:p>
        </w:tc>
        <w:tc>
          <w:tcPr>
            <w:tcW w:w="19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40%</w:t>
            </w:r>
          </w:p>
        </w:tc>
        <w:tc>
          <w:tcPr>
            <w:tcW w:w="186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10%</w:t>
            </w:r>
          </w:p>
        </w:tc>
        <w:tc>
          <w:tcPr>
            <w:tcW w:w="2143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25%</w:t>
            </w:r>
          </w:p>
        </w:tc>
        <w:tc>
          <w:tcPr>
            <w:tcW w:w="730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w="109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henry</w:t>
            </w:r>
          </w:p>
        </w:tc>
        <w:tc>
          <w:tcPr>
            <w:tcW w:w="1881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15%</w:t>
            </w:r>
          </w:p>
        </w:tc>
        <w:tc>
          <w:tcPr>
            <w:tcW w:w="19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15%</w:t>
            </w:r>
          </w:p>
        </w:tc>
        <w:tc>
          <w:tcPr>
            <w:tcW w:w="186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20%</w:t>
            </w:r>
          </w:p>
        </w:tc>
        <w:tc>
          <w:tcPr>
            <w:tcW w:w="2143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30%</w:t>
            </w:r>
          </w:p>
        </w:tc>
        <w:tc>
          <w:tcPr>
            <w:tcW w:w="730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25%</w:t>
            </w:r>
          </w:p>
        </w:tc>
      </w:tr>
      <w:tr>
        <w:tc>
          <w:tcPr>
            <w:tcW w:w="109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peter</w:t>
            </w:r>
          </w:p>
        </w:tc>
        <w:tc>
          <w:tcPr>
            <w:tcW w:w="1881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30%</w:t>
            </w:r>
          </w:p>
        </w:tc>
        <w:tc>
          <w:tcPr>
            <w:tcW w:w="1934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20%</w:t>
            </w:r>
          </w:p>
        </w:tc>
        <w:tc>
          <w:tcPr>
            <w:tcW w:w="1860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55%</w:t>
            </w:r>
          </w:p>
        </w:tc>
        <w:tc>
          <w:tcPr>
            <w:tcW w:w="2143" w:type="dxa"/>
            <w:vAlign w:val="top"/>
          </w:tcPr>
          <w:p>
            <w:pPr>
              <w:spacing w:before="20" w:after="20"/>
            </w:pPr>
            <w:r>
              <w:rPr>
                <w:sz w:val="21"/>
                <w:szCs w:val="21"/>
              </w:rPr>
              <w:t xml:space="preserve">25%</w:t>
            </w:r>
          </w:p>
        </w:tc>
        <w:tc>
          <w:tcPr>
            <w:tcW w:w="730" w:type="dxa"/>
            <w:vAlign w:val="top"/>
          </w:tcPr>
          <w:p>
            <w:pPr>
              <w:spacing w:before="20" w:after="20"/>
            </w:pPr>
            <w:r>
              <w:rPr>
                <w:b/>
                <w:sz w:val="21"/>
                <w:szCs w:val="21"/>
              </w:rPr>
              <w:t xml:space="preserve">25%</w:t>
            </w:r>
          </w:p>
        </w:tc>
      </w:tr>
    </w:tbl>
    <w:p>
      <w:pPr>
        <w:spacing w:after="0"/>
      </w:pPr>
    </w:p>
    <w:p>
      <w:r>
        <w:t xml:space="preserve">Rationale, in the same voice as the portfolio matrix: </w:t>
      </w:r>
      <w:r>
        <w:rPr>
          <w:b/>
        </w:rPr>
        <w:t xml:space="preserve">peter</w:t>
      </w:r>
      <w:r>
        <w:t xml:space="preserve"> owns the forms and</w:t>
      </w:r>
    </w:p>
    <w:p>
      <w:r>
        <w:t xml:space="preserve">the testing, which is where most of the implementation work sits, and he wrote the</w:t>
      </w:r>
    </w:p>
    <w:p>
      <w:r>
        <w:t xml:space="preserve">acceptance run and the form checks; </w:t>
      </w:r>
      <w:r>
        <w:rPr>
          <w:b/>
        </w:rPr>
        <w:t xml:space="preserve">finn</w:t>
      </w:r>
      <w:r>
        <w:t xml:space="preserve"> owns the external workers, including</w:t>
      </w:r>
    </w:p>
    <w:p>
      <w:r>
        <w:t xml:space="preserve">the three that govern a gateway variable; </w:t>
      </w:r>
      <w:r>
        <w:rPr>
          <w:b/>
        </w:rPr>
        <w:t xml:space="preserve">max</w:t>
      </w:r>
      <w:r>
        <w:t xml:space="preserve"> owns the runnable model and the</w:t>
      </w:r>
    </w:p>
    <w:p>
      <w:r>
        <w:t xml:space="preserve">integration that makes six process definitions deploy as one family; </w:t>
      </w:r>
      <w:r>
        <w:rPr>
          <w:b/>
        </w:rPr>
        <w:t xml:space="preserve">henry</w:t>
      </w:r>
    </w:p>
    <w:p>
      <w:r>
        <w:t xml:space="preserve">owns the variable-to-gateway contract, the verification suite and the evidence</w:t>
      </w:r>
    </w:p>
    <w:p>
      <w:r>
        <w:t xml:space="preserve">that ties each artefact to a requirement.</w:t>
      </w:r>
    </w:p>
    <w:p>
      <w:pPr>
        <w:pStyle w:val="Heading2"/>
        <w:keepNext/>
      </w:pPr>
      <w:r>
        <w:t xml:space="preserve">3. What each person must be able to explain</w:t>
      </w:r>
    </w:p>
    <w:p>
      <w:r>
        <w:t xml:space="preserve">The brief says every member must be able to explain their contribution, and the</w:t>
      </w:r>
    </w:p>
    <w:p>
      <w:r>
        <w:t xml:space="preserve">two marked standups are individual. Rehearse these four before the session.</w:t>
      </w:r>
    </w:p>
    <w:p>
      <w:pPr>
        <w:pStyle w:val="Heading3"/>
        <w:keepNext/>
      </w:pPr>
      <w:r>
        <w:t xml:space="preserve">max — the model and the integration</w:t>
      </w:r>
    </w:p>
    <w:p>
      <w:pPr>
        <w:pStyle w:val="ListBullet"/>
      </w:pPr>
      <w:r>
        <w:rPr>
          <w:b/>
        </w:rPr>
        <w:t xml:space="preserve">Why four files and not one.</w:t>
      </w:r>
      <w:r>
        <w:t xml:space="preserve"> Strategic activities are not operational steps:</w:t>
      </w:r>
    </w:p>
    <w:p>
      <w:r>
        <w:rPr>
          <w:rFonts w:ascii="Consolas" w:hAnsi="Consolas"/>
        </w:rPr>
        <w:t xml:space="preserve">S1</w:t>
      </w:r>
      <w:r>
        <w:t xml:space="preserve">, </w:t>
      </w:r>
      <w:r>
        <w:rPr>
          <w:rFonts w:ascii="Consolas" w:hAnsi="Consolas"/>
        </w:rPr>
        <w:t xml:space="preserve">S2</w:t>
      </w:r>
      <w:r>
        <w:t xml:space="preserve"> and </w:t>
      </w:r>
      <w:r>
        <w:rPr>
          <w:rFonts w:ascii="Consolas" w:hAnsi="Consolas"/>
        </w:rPr>
        <w:t xml:space="preserve">S3</w:t>
      </w:r>
      <w:r>
        <w:t xml:space="preserve"> answer different questions from </w:t>
      </w:r>
      <w:r>
        <w:rPr>
          <w:rFonts w:ascii="Consolas" w:hAnsi="Consolas"/>
        </w:rPr>
        <w:t xml:space="preserve">O1</w:t>
      </w:r>
      <w:r>
        <w:t xml:space="preserve">, and merging them would</w:t>
      </w:r>
    </w:p>
    <w:p>
      <w:r>
        <w:t xml:space="preserve">bury the business view in task detail.</w:t>
      </w:r>
    </w:p>
    <w:p>
      <w:pPr>
        <w:pStyle w:val="ListBullet"/>
      </w:pPr>
      <w:r>
        <w:rPr>
          <w:b/>
        </w:rPr>
        <w:t xml:space="preserve">Why one referral message starts three processes.</w:t>
      </w:r>
      <w:r>
        <w:t xml:space="preserve"> All three models declare</w:t>
      </w:r>
    </w:p>
    <w:p>
      <w:r>
        <w:t xml:space="preserve">the same start message, so a single referral wakes the operational process and</w:t>
      </w:r>
    </w:p>
    <w:p>
      <w:r>
        <w:t xml:space="preserve">both strategic ones. Explain that this is a consequence of modelling the same</w:t>
      </w:r>
    </w:p>
    <w:p>
      <w:r>
        <w:t xml:space="preserve">business at two levels, and that the walkthrough cancels the two strategic twins</w:t>
      </w:r>
    </w:p>
    <w:p>
      <w:r>
        <w:t xml:space="preserve">so the operational path is what you see.</w:t>
      </w:r>
    </w:p>
    <w:p>
      <w:pPr>
        <w:pStyle w:val="ListBullet"/>
      </w:pPr>
      <w:r>
        <w:rPr>
          <w:b/>
        </w:rPr>
        <w:t xml:space="preserve">What deploying found that validation did not.</w:t>
      </w:r>
      <w:r>
        <w:t xml:space="preserve"> Three XSD sequence violations</w:t>
      </w:r>
    </w:p>
    <w:p>
      <w:r>
        <w:t xml:space="preserve">and one runtime form-binding defect (</w:t>
      </w:r>
      <w:r>
        <w:rPr>
          <w:rFonts w:ascii="Consolas" w:hAnsi="Consolas"/>
        </w:rPr>
        <w:t xml:space="preserve">DEP-01</w:t>
      </w:r>
      <w:r>
        <w:t xml:space="preserve"> to </w:t>
      </w:r>
      <w:r>
        <w:rPr>
          <w:rFonts w:ascii="Consolas" w:hAnsi="Consolas"/>
        </w:rPr>
        <w:t xml:space="preserve">DEP-04</w:t>
      </w:r>
      <w:r>
        <w:t xml:space="preserve">).</w:t>
      </w:r>
    </w:p>
    <w:p>
      <w:pPr>
        <w:pStyle w:val="Heading3"/>
        <w:keepNext/>
      </w:pPr>
      <w:r>
        <w:t xml:space="preserve">finn — the workers and failure handling</w:t>
      </w:r>
    </w:p>
    <w:p>
      <w:pPr>
        <w:pStyle w:val="ListBullet"/>
      </w:pPr>
      <w:r>
        <w:rPr>
          <w:b/>
        </w:rPr>
        <w:t xml:space="preserve">Which worker owns which gateway variable.</w:t>
      </w:r>
      <w:r>
        <w:t xml:space="preserve"> Three do:</w:t>
      </w:r>
    </w:p>
    <w:p>
      <w:r>
        <w:rPr>
          <w:rFonts w:ascii="Consolas" w:hAnsi="Consolas"/>
        </w:rPr>
        <w:t xml:space="preserve">query-available-appointment-slots</w:t>
      </w:r>
      <w:r>
        <w:t xml:space="preserve"> writes </w:t>
      </w:r>
      <w:r>
        <w:rPr>
          <w:rFonts w:ascii="Consolas" w:hAnsi="Consolas"/>
        </w:rPr>
        <w:t xml:space="preserve">suitableSlotFound</w:t>
      </w:r>
      <w:r>
        <w:t xml:space="preserve">,</w:t>
      </w:r>
    </w:p>
    <w:p>
      <w:r>
        <w:rPr>
          <w:rFonts w:ascii="Consolas" w:hAnsi="Consolas"/>
        </w:rPr>
        <w:t xml:space="preserve">request-treatment-capacity</w:t>
      </w:r>
      <w:r>
        <w:t xml:space="preserve"> writes </w:t>
      </w:r>
      <w:r>
        <w:rPr>
          <w:rFonts w:ascii="Consolas" w:hAnsi="Consolas"/>
        </w:rPr>
        <w:t xml:space="preserve">treatmentCapacityConfirmed</w:t>
      </w:r>
      <w:r>
        <w:t xml:space="preserve">,</w:t>
      </w:r>
    </w:p>
    <w:p>
      <w:r>
        <w:rPr>
          <w:rFonts w:ascii="Consolas" w:hAnsi="Consolas"/>
        </w:rPr>
        <w:t xml:space="preserve">request-secure-payment</w:t>
      </w:r>
      <w:r>
        <w:t xml:space="preserve"> writes </w:t>
      </w:r>
      <w:r>
        <w:rPr>
          <w:rFonts w:ascii="Consolas" w:hAnsi="Consolas"/>
        </w:rPr>
        <w:t xml:space="preserve">paymentStatus</w:t>
      </w:r>
      <w:r>
        <w:t xml:space="preserve">. If one writes the wrong name,</w:t>
      </w:r>
    </w:p>
    <w:p>
      <w:r>
        <w:t xml:space="preserve">the gateway takes a branch nobody chose and nothing errors.</w:t>
      </w:r>
    </w:p>
    <w:p>
      <w:pPr>
        <w:pStyle w:val="ListBullet"/>
      </w:pPr>
      <w:r>
        <w:rPr>
          <w:b/>
        </w:rPr>
        <w:t xml:space="preserve">Why "no answer" is not "no capacity".</w:t>
      </w:r>
      <w:r>
        <w:t xml:space="preserve"> A provider that answers "no" is a</w:t>
      </w:r>
    </w:p>
    <w:p>
      <w:r>
        <w:t xml:space="preserve">business outcome the model already branches on; a provider that does not answer</w:t>
      </w:r>
    </w:p>
    <w:p>
      <w:r>
        <w:t xml:space="preserve">is a retry (</w:t>
      </w:r>
      <w:r>
        <w:rPr>
          <w:rFonts w:ascii="Consolas" w:hAnsi="Consolas"/>
        </w:rPr>
        <w:t xml:space="preserve">TransientJobException</w:t>
      </w:r>
      <w:r>
        <w:t xml:space="preserve"> -&gt; fail with one fewer retry). Reporting a</w:t>
      </w:r>
    </w:p>
    <w:p>
      <w:r>
        <w:t xml:space="preserve">network fault as no capacity sends a patient to escalation for the wrong reason.</w:t>
      </w:r>
    </w:p>
    <w:p>
      <w:pPr>
        <w:pStyle w:val="ListBullet"/>
      </w:pPr>
      <w:r>
        <w:rPr>
          <w:b/>
        </w:rPr>
        <w:t xml:space="preserve">The known gap.</w:t>
      </w:r>
      <w:r>
        <w:t xml:space="preserve"> The models declare no error boundary events, so a rejected</w:t>
      </w:r>
    </w:p>
    <w:p>
      <w:r>
        <w:t xml:space="preserve">job becomes an unhandled-error incident instead of being caught. That is stated</w:t>
      </w:r>
    </w:p>
    <w:p>
      <w:r>
        <w:t xml:space="preserve">in </w:t>
      </w:r>
      <w:r>
        <w:rPr>
          <w:rFonts w:ascii="Consolas" w:hAnsi="Consolas"/>
        </w:rPr>
        <w:t xml:space="preserve">04_Java_Worker/README.md</w:t>
      </w:r>
      <w:r>
        <w:t xml:space="preserve"> rather than hidden.</w:t>
      </w:r>
    </w:p>
    <w:p>
      <w:pPr>
        <w:pStyle w:val="Heading3"/>
        <w:keepNext/>
      </w:pPr>
      <w:r>
        <w:t xml:space="preserve">henry — requirements, the contract and the evidence</w:t>
      </w:r>
    </w:p>
    <w:p>
      <w:pPr>
        <w:pStyle w:val="ListBullet"/>
      </w:pPr>
      <w:r>
        <w:rPr>
          <w:b/>
        </w:rPr>
        <w:t xml:space="preserve">The variable-to-gateway contract.</w:t>
      </w:r>
      <w:r>
        <w:t xml:space="preserve"> </w:t>
      </w:r>
      <w:r>
        <w:rPr>
          <w:rFonts w:ascii="Consolas" w:hAnsi="Consolas"/>
        </w:rPr>
        <w:t xml:space="preserve">validate-contract.py</w:t>
      </w:r>
      <w:r>
        <w:t xml:space="preserve"> checks that every</w:t>
      </w:r>
    </w:p>
    <w:p>
      <w:r>
        <w:t xml:space="preserve">variable a worker demands can actually be supplied by a form, another worker or</w:t>
      </w:r>
    </w:p>
    <w:p>
      <w:r>
        <w:t xml:space="preserve">the process start. It found two real gaps: </w:t>
      </w:r>
      <w:r>
        <w:rPr>
          <w:rFonts w:ascii="Consolas" w:hAnsi="Consolas"/>
        </w:rPr>
        <w:t xml:space="preserve">appointmentReference</w:t>
      </w:r>
      <w:r>
        <w:t xml:space="preserve"> and</w:t>
      </w:r>
    </w:p>
    <w:p>
      <w:r>
        <w:rPr>
          <w:rFonts w:ascii="Consolas" w:hAnsi="Consolas"/>
        </w:rPr>
        <w:t xml:space="preserve">redirectDestination</w:t>
      </w:r>
      <w:r>
        <w:t xml:space="preserve"> were demanded by workers but no form could supply them,</w:t>
      </w:r>
    </w:p>
    <w:p>
      <w:r>
        <w:t xml:space="preserve">which stalled a live run with an incident.</w:t>
      </w:r>
    </w:p>
    <w:p>
      <w:pPr>
        <w:pStyle w:val="ListBullet"/>
      </w:pPr>
      <w:r>
        <w:rPr>
          <w:b/>
        </w:rPr>
        <w:t xml:space="preserve">The traceability.</w:t>
      </w:r>
      <w:r>
        <w:t xml:space="preserve"> 44 requirements traced at four levels — requirement,</w:t>
      </w:r>
    </w:p>
    <w:p>
      <w:r>
        <w:t xml:space="preserve">strategic activity, i* element, implementation artefact — 28 fully, 12 partly,</w:t>
      </w:r>
    </w:p>
    <w:p>
      <w:r>
        <w:t xml:space="preserve">2 not supported, 2 out of scope, with the two out-of-scope ones named as such.</w:t>
      </w:r>
    </w:p>
    <w:p>
      <w:pPr>
        <w:pStyle w:val="ListBullet"/>
      </w:pPr>
      <w:r>
        <w:rPr>
          <w:b/>
        </w:rPr>
        <w:t xml:space="preserve">The verification suite.</w:t>
      </w:r>
      <w:r>
        <w:t xml:space="preserve"> Nine checks, one command: build and 41 unit tests,</w:t>
      </w:r>
    </w:p>
    <w:p>
      <w:r>
        <w:t xml:space="preserve">model validation, deploy, 18 acceptance cases, 6 worker scenarios, document</w:t>
      </w:r>
    </w:p>
    <w:p>
      <w:r>
        <w:t xml:space="preserve">layout, form validation, form rendering, worker input contract. All pass in the</w:t>
      </w:r>
    </w:p>
    <w:p>
      <w:r>
        <w:t xml:space="preserve">workspace.</w:t>
      </w:r>
    </w:p>
    <w:p>
      <w:pPr>
        <w:pStyle w:val="Heading3"/>
        <w:keepNext/>
      </w:pPr>
      <w:r>
        <w:t xml:space="preserve">peter — forms, tests and the interactive run</w:t>
      </w:r>
    </w:p>
    <w:p>
      <w:pPr>
        <w:pStyle w:val="ListBullet"/>
      </w:pPr>
      <w:r>
        <w:rPr>
          <w:b/>
        </w:rPr>
        <w:t xml:space="preserve">The form-to-task binding.</w:t>
      </w:r>
      <w:r>
        <w:t xml:space="preserve"> 69 forms, 99 user tasks, every task bound, no</w:t>
      </w:r>
    </w:p>
    <w:p>
      <w:r>
        <w:t xml:space="preserve">orphans, no invalid JSON, and every form renders under </w:t>
      </w:r>
      <w:r>
        <w:rPr>
          <w:rFonts w:ascii="Consolas" w:hAnsi="Consolas"/>
        </w:rPr>
        <w:t xml:space="preserve">form-js</w:t>
      </w:r>
      <w:r>
        <w:t xml:space="preserve"> — the renderer</w:t>
      </w:r>
    </w:p>
    <w:p>
      <w:r>
        <w:t xml:space="preserve">Tasklist uses. A form can be valid JSON, deploy cleanly and still fail to render;</w:t>
      </w:r>
    </w:p>
    <w:p>
      <w:r>
        <w:t xml:space="preserve">only the renderer can tell you that.</w:t>
      </w:r>
    </w:p>
    <w:p>
      <w:pPr>
        <w:pStyle w:val="ListBullet"/>
      </w:pPr>
      <w:r>
        <w:rPr>
          <w:b/>
        </w:rPr>
        <w:t xml:space="preserve">Why a blank field is dangerous.</w:t>
      </w:r>
      <w:r>
        <w:t xml:space="preserve"> A form submits every field it renders, so a</w:t>
      </w:r>
    </w:p>
    <w:p>
      <w:r>
        <w:t xml:space="preserve">field left empty </w:t>
      </w:r>
      <w:r>
        <w:rPr>
          <w:b/>
        </w:rPr>
        <w:t xml:space="preserve">overwrites</w:t>
      </w:r>
      <w:r>
        <w:t xml:space="preserve"> an existing process variable with an empty</w:t>
      </w:r>
    </w:p>
    <w:p>
      <w:r>
        <w:t xml:space="preserve">string. That is how </w:t>
      </w:r>
      <w:r>
        <w:rPr>
          <w:rFonts w:ascii="Consolas" w:hAnsi="Consolas"/>
        </w:rPr>
        <w:t xml:space="preserve">appointmentReference</w:t>
      </w:r>
      <w:r>
        <w:t xml:space="preserve"> was wiped by the next task's form.</w:t>
      </w:r>
    </w:p>
    <w:p>
      <w:pPr>
        <w:pStyle w:val="ListBullet"/>
      </w:pPr>
      <w:r>
        <w:rPr>
          <w:b/>
        </w:rPr>
        <w:t xml:space="preserve">The Tasklist run.</w:t>
      </w:r>
      <w:r>
        <w:t xml:space="preserve"> One command starts the workers, opens Tasklist, logs in as</w:t>
      </w:r>
    </w:p>
    <w:p>
      <w:r>
        <w:rPr>
          <w:rFonts w:ascii="Consolas" w:hAnsi="Consolas"/>
        </w:rPr>
        <w:t xml:space="preserve">demo</w:t>
      </w:r>
      <w:r>
        <w:t xml:space="preserve"> and fills 19 forms in sequence while the workers handle the automated</w:t>
      </w:r>
    </w:p>
    <w:p>
      <w:r>
        <w:t xml:space="preserve">activities; the instance ends </w:t>
      </w:r>
      <w:r>
        <w:rPr>
          <w:rFonts w:ascii="Consolas" w:hAnsi="Consolas"/>
        </w:rPr>
        <w:t xml:space="preserve">COMPLETED</w:t>
      </w:r>
      <w:r>
        <w:t xml:space="preserve"> with no incidents.</w:t>
      </w:r>
    </w:p>
    <w:p>
      <w:pPr>
        <w:pStyle w:val="Heading2"/>
        <w:keepNext/>
      </w:pPr>
      <w:r>
        <w:t xml:space="preserve">4. Who did what, concretely</w:t>
      </w:r>
    </w:p>
    <w:p>
      <w:r>
        <w:t xml:space="preserve">Backlog identifiers (</w:t>
      </w:r>
      <w:r>
        <w:rPr>
          <w:rFonts w:ascii="Consolas" w:hAnsi="Consolas"/>
        </w:rPr>
        <w:t xml:space="preserve">PB-…</w:t>
      </w:r>
      <w:r>
        <w:t xml:space="preserve">, </w:t>
      </w:r>
      <w:r>
        <w:rPr>
          <w:rFonts w:ascii="Consolas" w:hAnsi="Consolas"/>
        </w:rPr>
        <w:t xml:space="preserve">S3-…</w:t>
      </w:r>
      <w:r>
        <w:t xml:space="preserve">, </w:t>
      </w:r>
      <w:r>
        <w:rPr>
          <w:rFonts w:ascii="Consolas" w:hAnsi="Consolas"/>
        </w:rPr>
        <w:t xml:space="preserve">S4-…</w:t>
      </w:r>
      <w:r>
        <w:t xml:space="preserve">) are the ones in the portfolio's own</w:t>
      </w:r>
    </w:p>
    <w:p>
      <w:r>
        <w:t xml:space="preserve">backlog and standup records, so every line here can be checked against them.</w:t>
      </w:r>
    </w:p>
    <w:p>
      <w:pPr>
        <w:pStyle w:val="Heading3"/>
        <w:keepNext/>
      </w:pPr>
      <w:r>
        <w:t xml:space="preserve">max — strategic BPMN and integration</w:t>
      </w:r>
    </w:p>
    <w:p>
      <w:r>
        <w:rPr>
          <w:b/>
        </w:rPr>
        <w:t xml:space="preserve">Portfolio work.</w:t>
      </w:r>
      <w:r>
        <w:t xml:space="preserve"> Modelled and merged the strategic view: </w:t>
      </w:r>
      <w:r>
        <w:rPr>
          <w:rFonts w:ascii="Consolas" w:hAnsi="Consolas"/>
        </w:rPr>
        <w:t xml:space="preserve">S3-02</w:t>
      </w:r>
      <w:r>
        <w:t xml:space="preserve"> built</w:t>
      </w:r>
    </w:p>
    <w:p>
      <w:r>
        <w:rPr>
          <w:rFonts w:ascii="Consolas" w:hAnsi="Consolas"/>
        </w:rPr>
        <w:t xml:space="preserve">S1_Strategic_Landscape</w:t>
      </w:r>
      <w:r>
        <w:t xml:space="preserve"> (24 flow nodes, 7 external participants) and the</w:t>
      </w:r>
    </w:p>
    <w:p>
      <w:r>
        <w:t xml:space="preserve">abstraction note; </w:t>
      </w:r>
      <w:r>
        <w:rPr>
          <w:rFonts w:ascii="Consolas" w:hAnsi="Consolas"/>
        </w:rPr>
        <w:t xml:space="preserve">S3-03</w:t>
      </w:r>
      <w:r>
        <w:t xml:space="preserve"> the six-lane referral-to-authorisation model; </w:t>
      </w:r>
      <w:r>
        <w:rPr>
          <w:rFonts w:ascii="Consolas" w:hAnsi="Consolas"/>
        </w:rPr>
        <w:t xml:space="preserve">S4-05</w:t>
      </w:r>
    </w:p>
    <w:p>
      <w:r>
        <w:t xml:space="preserve">rebuilt the three Sprint 1/2 fragments as one model family sharing one participant</w:t>
      </w:r>
    </w:p>
    <w:p>
      <w:r>
        <w:t xml:space="preserve">register and naming convention, and </w:t>
      </w:r>
      <w:r>
        <w:rPr>
          <w:rFonts w:ascii="Consolas" w:hAnsi="Consolas"/>
        </w:rPr>
        <w:t xml:space="preserve">O1_Operational_Merged</w:t>
      </w:r>
      <w:r>
        <w:t xml:space="preserve"> merged them at task</w:t>
      </w:r>
    </w:p>
    <w:p>
      <w:r>
        <w:t xml:space="preserve">level; </w:t>
      </w:r>
      <w:r>
        <w:rPr>
          <w:rFonts w:ascii="Consolas" w:hAnsi="Consolas"/>
        </w:rPr>
        <w:t xml:space="preserve">S4-06</w:t>
      </w:r>
      <w:r>
        <w:t xml:space="preserve"> wrote the message-flow register; </w:t>
      </w:r>
      <w:r>
        <w:rPr>
          <w:rFonts w:ascii="Consolas" w:hAnsi="Consolas"/>
        </w:rPr>
        <w:t xml:space="preserve">S4-07</w:t>
      </w:r>
      <w:r>
        <w:t xml:space="preserve"> fixed the correlation-key</w:t>
      </w:r>
    </w:p>
    <w:p>
      <w:r>
        <w:t xml:space="preserve">defect that made a message boundary event invalid. 45% of the BPMN activity and</w:t>
      </w:r>
    </w:p>
    <w:p>
      <w:r>
        <w:t xml:space="preserve">second owner on the traceability table.</w:t>
      </w:r>
    </w:p>
    <w:p>
      <w:r>
        <w:rPr>
          <w:b/>
        </w:rPr>
        <w:t xml:space="preserve">Implementation work.</w:t>
      </w:r>
      <w:r>
        <w:t xml:space="preserve"> </w:t>
      </w:r>
      <w:r>
        <w:rPr>
          <w:rFonts w:ascii="Consolas" w:hAnsi="Consolas"/>
        </w:rPr>
        <w:t xml:space="preserve">WorkersApplication.java</w:t>
      </w:r>
      <w:r>
        <w:t xml:space="preserve"> (registers the eleven workers</w:t>
      </w:r>
    </w:p>
    <w:p>
      <w:r>
        <w:t xml:space="preserve">and refuses to start if a declared job type has no subscriber — the coverage check</w:t>
      </w:r>
    </w:p>
    <w:p>
      <w:r>
        <w:t xml:space="preserve">that catches a process that would otherwise park silently) and </w:t>
      </w:r>
      <w:r>
        <w:rPr>
          <w:rFonts w:ascii="Consolas" w:hAnsi="Consolas"/>
        </w:rPr>
        <w:t xml:space="preserve">WorkerConfig.java</w:t>
      </w:r>
      <w:r>
        <w:t xml:space="preserve">;</w:t>
      </w:r>
    </w:p>
    <w:p>
      <w:r>
        <w:t xml:space="preserve">three workers: </w:t>
      </w:r>
      <w:r>
        <w:rPr>
          <w:rFonts w:ascii="Consolas" w:hAnsi="Consolas"/>
        </w:rPr>
        <w:t xml:space="preserve">SendReferralOutcomeWorker</w:t>
      </w:r>
      <w:r>
        <w:t xml:space="preserve">, </w:t>
      </w:r>
      <w:r>
        <w:rPr>
          <w:rFonts w:ascii="Consolas" w:hAnsi="Consolas"/>
        </w:rPr>
        <w:t xml:space="preserve">RedirectReferralWorker</w:t>
      </w:r>
      <w:r>
        <w:t xml:space="preserve">,</w:t>
      </w:r>
    </w:p>
    <w:p>
      <w:r>
        <w:rPr>
          <w:rFonts w:ascii="Consolas" w:hAnsi="Consolas"/>
        </w:rPr>
        <w:t xml:space="preserve">SendAppointmentConfirmationLetterWorker</w:t>
      </w:r>
      <w:r>
        <w:t xml:space="preserve">; the deployment path (</w:t>
      </w:r>
      <w:r>
        <w:rPr>
          <w:rFonts w:ascii="Consolas" w:hAnsi="Consolas"/>
        </w:rPr>
        <w:t xml:space="preserve">deploy-all.mjs</w:t>
      </w:r>
      <w:r>
        <w:t xml:space="preserve">)</w:t>
      </w:r>
    </w:p>
    <w:p>
      <w:r>
        <w:t xml:space="preserve">and the cluster evidence in </w:t>
      </w:r>
      <w:r>
        <w:rPr>
          <w:rFonts w:ascii="Consolas" w:hAnsi="Consolas"/>
        </w:rPr>
        <w:t xml:space="preserve">05_Test_Evidence/</w:t>
      </w:r>
      <w:r>
        <w:t xml:space="preserve">.</w:t>
      </w:r>
    </w:p>
    <w:p>
      <w:r>
        <w:rPr>
          <w:b/>
        </w:rPr>
        <w:t xml:space="preserve">Point at this.</w:t>
      </w:r>
      <w:r>
        <w:t xml:space="preserve"> </w:t>
      </w:r>
      <w:r>
        <w:rPr>
          <w:rFonts w:ascii="Consolas" w:hAnsi="Consolas"/>
        </w:rPr>
        <w:t xml:space="preserve">02_BPMN_Models/O1_Operational_Merged.bpmn</w:t>
      </w:r>
      <w:r>
        <w:t xml:space="preserve">, the 68/68 + 6</w:t>
      </w:r>
    </w:p>
    <w:p>
      <w:r>
        <w:t xml:space="preserve">process-definition deploy line, </w:t>
      </w:r>
      <w:r>
        <w:rPr>
          <w:rFonts w:ascii="Consolas" w:hAnsi="Consolas"/>
        </w:rPr>
        <w:t xml:space="preserve">05_Test_Evidence/</w:t>
      </w:r>
      <w:r>
        <w:t xml:space="preserve">.</w:t>
      </w:r>
    </w:p>
    <w:p>
      <w:r>
        <w:rPr>
          <w:b/>
        </w:rPr>
        <w:t xml:space="preserve">Ten-second proof.</w:t>
      </w:r>
      <w:r>
        <w:t xml:space="preserve"> Open </w:t>
      </w:r>
      <w:r>
        <w:rPr>
          <w:rFonts w:ascii="Consolas" w:hAnsi="Consolas"/>
        </w:rPr>
        <w:t xml:space="preserve">O1</w:t>
      </w:r>
      <w:r>
        <w:t xml:space="preserve"> in Camunda Modeler: eight lanes, 59 flow nodes,</w:t>
      </w:r>
    </w:p>
    <w:p>
      <w:r>
        <w:t xml:space="preserve">15 message flows, status bar clean.</w:t>
      </w:r>
    </w:p>
    <w:p>
      <w:pPr>
        <w:pStyle w:val="Heading3"/>
        <w:keepNext/>
      </w:pPr>
      <w:r>
        <w:t xml:space="preserve">finn — i* models and the external workers</w:t>
      </w:r>
    </w:p>
    <w:p>
      <w:r>
        <w:rPr>
          <w:b/>
        </w:rPr>
        <w:t xml:space="preserve">Portfolio work.</w:t>
      </w:r>
      <w:r>
        <w:t xml:space="preserve"> </w:t>
      </w:r>
      <w:r>
        <w:rPr>
          <w:rFonts w:ascii="Consolas" w:hAnsi="Consolas"/>
        </w:rPr>
        <w:t xml:space="preserve">S3-09</w:t>
      </w:r>
      <w:r>
        <w:t xml:space="preserve"> closed the i* tooling decision and drafted the SD</w:t>
      </w:r>
    </w:p>
    <w:p>
      <w:r>
        <w:t xml:space="preserve">model (12 actors, 27 dependencies); </w:t>
      </w:r>
      <w:r>
        <w:rPr>
          <w:rFonts w:ascii="Consolas" w:hAnsi="Consolas"/>
        </w:rPr>
        <w:t xml:space="preserve">S3-10</w:t>
      </w:r>
      <w:r>
        <w:t xml:space="preserve"> wrote the SR decompositions; </w:t>
      </w:r>
      <w:r>
        <w:rPr>
          <w:rFonts w:ascii="Consolas" w:hAnsi="Consolas"/>
        </w:rPr>
        <w:t xml:space="preserve">S4-12</w:t>
      </w:r>
    </w:p>
    <w:p>
      <w:r>
        <w:t xml:space="preserve">delivered SD v1.0 (16 actors, 40 typed dependencies) and </w:t>
      </w:r>
      <w:r>
        <w:rPr>
          <w:rFonts w:ascii="Consolas" w:hAnsi="Consolas"/>
        </w:rPr>
        <w:t xml:space="preserve">S4-13</w:t>
      </w:r>
      <w:r>
        <w:t xml:space="preserve"> the SR;</w:t>
      </w:r>
    </w:p>
    <w:p>
      <w:r>
        <w:rPr>
          <w:rFonts w:ascii="Consolas" w:hAnsi="Consolas"/>
        </w:rPr>
        <w:t xml:space="preserve">S4-14</w:t>
      </w:r>
      <w:r>
        <w:t xml:space="preserve"> recorded the soft goals with their conflicts; </w:t>
      </w:r>
      <w:r>
        <w:rPr>
          <w:rFonts w:ascii="Consolas" w:hAnsi="Consolas"/>
        </w:rPr>
        <w:t xml:space="preserve">S4-15</w:t>
      </w:r>
      <w:r>
        <w:t xml:space="preserve"> reconciled the</w:t>
      </w:r>
    </w:p>
    <w:p>
      <w:r>
        <w:t xml:space="preserve">assumptions note. 60% of the i* activity.</w:t>
      </w:r>
    </w:p>
    <w:p>
      <w:r>
        <w:rPr>
          <w:b/>
        </w:rPr>
        <w:t xml:space="preserve">Implementation work.</w:t>
      </w:r>
      <w:r>
        <w:t xml:space="preserve"> </w:t>
      </w:r>
      <w:r>
        <w:rPr>
          <w:rFonts w:ascii="Consolas" w:hAnsi="Consolas"/>
        </w:rPr>
        <w:t xml:space="preserve">AbstractWorker.java</w:t>
      </w:r>
      <w:r>
        <w:t xml:space="preserve"> — the single place that decides</w:t>
      </w:r>
    </w:p>
    <w:p>
      <w:r>
        <w:t xml:space="preserve">what a failure means (answer "no" is a business outcome; no answer is a retry;</w:t>
      </w:r>
    </w:p>
    <w:p>
      <w:r>
        <w:t xml:space="preserve">invalid input is a named error; anything unexpected is an incident);</w:t>
      </w:r>
    </w:p>
    <w:p>
      <w:r>
        <w:rPr>
          <w:rFonts w:ascii="Consolas" w:hAnsi="Consolas"/>
        </w:rPr>
        <w:t xml:space="preserve">HospitalStore.java</w:t>
      </w:r>
      <w:r>
        <w:t xml:space="preserve"> (episode correlation and duplicate-payment detection);</w:t>
      </w:r>
    </w:p>
    <w:p>
      <w:r>
        <w:rPr>
          <w:rFonts w:ascii="Consolas" w:hAnsi="Consolas"/>
        </w:rPr>
        <w:t xml:space="preserve">OperationsLog.java</w:t>
      </w:r>
      <w:r>
        <w:t xml:space="preserve"> (append-only audit with actor, time and action); the three</w:t>
      </w:r>
    </w:p>
    <w:p>
      <w:r>
        <w:t xml:space="preserve">workers that own a gateway variable: </w:t>
      </w:r>
      <w:r>
        <w:rPr>
          <w:rFonts w:ascii="Consolas" w:hAnsi="Consolas"/>
        </w:rPr>
        <w:t xml:space="preserve">QueryAvailableAppointmentSlotsWorker</w:t>
      </w:r>
    </w:p>
    <w:p>
      <w:r>
        <w:t xml:space="preserve">(</w:t>
      </w:r>
      <w:r>
        <w:rPr>
          <w:rFonts w:ascii="Consolas" w:hAnsi="Consolas"/>
        </w:rPr>
        <w:t xml:space="preserve">suitableSlotFound</w:t>
      </w:r>
      <w:r>
        <w:t xml:space="preserve">), </w:t>
      </w:r>
      <w:r>
        <w:rPr>
          <w:rFonts w:ascii="Consolas" w:hAnsi="Consolas"/>
        </w:rPr>
        <w:t xml:space="preserve">RequestTreatmentCapacityWorker</w:t>
      </w:r>
    </w:p>
    <w:p>
      <w:r>
        <w:t xml:space="preserve">(</w:t>
      </w:r>
      <w:r>
        <w:rPr>
          <w:rFonts w:ascii="Consolas" w:hAnsi="Consolas"/>
        </w:rPr>
        <w:t xml:space="preserve">treatmentCapacityConfirmed</w:t>
      </w:r>
      <w:r>
        <w:t xml:space="preserve">, with the attempt counter and next-attempt date that</w:t>
      </w:r>
    </w:p>
    <w:p>
      <w:r>
        <w:t xml:space="preserve">REQ-16 needs) and </w:t>
      </w:r>
      <w:r>
        <w:rPr>
          <w:rFonts w:ascii="Consolas" w:hAnsi="Consolas"/>
        </w:rPr>
        <w:t xml:space="preserve">RequestSecurePaymentWorker</w:t>
      </w:r>
      <w:r>
        <w:t xml:space="preserve"> (</w:t>
      </w:r>
      <w:r>
        <w:rPr>
          <w:rFonts w:ascii="Consolas" w:hAnsi="Consolas"/>
        </w:rPr>
        <w:t xml:space="preserve">paymentStatus</w:t>
      </w:r>
      <w:r>
        <w:t xml:space="preserve">, with the</w:t>
      </w:r>
    </w:p>
    <w:p>
      <w:r>
        <w:t xml:space="preserve">card-data exclusion and duplicate suppression). Author of the six worker-driven</w:t>
      </w:r>
    </w:p>
    <w:p>
      <w:r>
        <w:t xml:space="preserve">scenarios.</w:t>
      </w:r>
    </w:p>
    <w:p>
      <w:r>
        <w:rPr>
          <w:b/>
        </w:rPr>
        <w:t xml:space="preserve">Point at this.</w:t>
      </w:r>
      <w:r>
        <w:t xml:space="preserve"> </w:t>
      </w:r>
      <w:r>
        <w:rPr>
          <w:rFonts w:ascii="Consolas" w:hAnsi="Consolas"/>
        </w:rPr>
        <w:t xml:space="preserve">03_iStar_models/</w:t>
      </w:r>
      <w:r>
        <w:t xml:space="preserve">, the three worker classes named above,</w:t>
      </w:r>
    </w:p>
    <w:p>
      <w:r>
        <w:rPr>
          <w:rFonts w:ascii="Consolas" w:hAnsi="Consolas"/>
        </w:rPr>
        <w:t xml:space="preserve">05_Test_Evidence/worker-run/workers-capacity-unavailable.log</w:t>
      </w:r>
      <w:r>
        <w:t xml:space="preserve"> (the line</w:t>
      </w:r>
    </w:p>
    <w:p>
      <w:r>
        <w:rPr>
          <w:rFonts w:ascii="Consolas" w:hAnsi="Consolas"/>
        </w:rPr>
        <w:t xml:space="preserve">no capacity on attempt 1</w:t>
      </w:r>
      <w:r>
        <w:t xml:space="preserve"> followed by </w:t>
      </w:r>
      <w:r>
        <w:rPr>
          <w:rFonts w:ascii="Consolas" w:hAnsi="Consolas"/>
        </w:rPr>
        <w:t xml:space="preserve">capacity confirmed on attempt 2</w:t>
      </w:r>
      <w:r>
        <w:t xml:space="preserve">).</w:t>
      </w:r>
    </w:p>
    <w:p>
      <w:r>
        <w:rPr>
          <w:b/>
        </w:rPr>
        <w:t xml:space="preserve">Ten-second proof.</w:t>
      </w:r>
      <w:r>
        <w:t xml:space="preserve"> Open </w:t>
      </w:r>
      <w:r>
        <w:rPr>
          <w:rFonts w:ascii="Consolas" w:hAnsi="Consolas"/>
        </w:rPr>
        <w:t xml:space="preserve">iStar_SR_Initial_Release.pdf</w:t>
      </w:r>
      <w:r>
        <w:t xml:space="preserve">, then the</w:t>
      </w:r>
    </w:p>
    <w:p>
      <w:r>
        <w:t xml:space="preserve">capacity-unavailable scenario log.</w:t>
      </w:r>
    </w:p>
    <w:p>
      <w:pPr>
        <w:pStyle w:val="Heading3"/>
        <w:keepNext/>
      </w:pPr>
      <w:r>
        <w:t xml:space="preserve">henry — requirements, the variable contract, the evidence</w:t>
      </w:r>
    </w:p>
    <w:p>
      <w:r>
        <w:rPr>
          <w:b/>
        </w:rPr>
        <w:t xml:space="preserve">Portfolio work.</w:t>
      </w:r>
      <w:r>
        <w:t xml:space="preserve"> </w:t>
      </w:r>
      <w:r>
        <w:rPr>
          <w:rFonts w:ascii="Consolas" w:hAnsi="Consolas"/>
        </w:rPr>
        <w:t xml:space="preserve">S3-13</w:t>
      </w:r>
      <w:r>
        <w:t xml:space="preserve"> closed the requirements list at 44 identifiers with</w:t>
      </w:r>
    </w:p>
    <w:p>
      <w:r>
        <w:t xml:space="preserve">their source sentences; </w:t>
      </w:r>
      <w:r>
        <w:rPr>
          <w:rFonts w:ascii="Consolas" w:hAnsi="Consolas"/>
        </w:rPr>
        <w:t xml:space="preserve">S3-15</w:t>
      </w:r>
      <w:r>
        <w:t xml:space="preserve"> added the filename convention and the definition</w:t>
      </w:r>
    </w:p>
    <w:p>
      <w:r>
        <w:t xml:space="preserve">of done to the README; </w:t>
      </w:r>
      <w:r>
        <w:rPr>
          <w:rFonts w:ascii="Consolas" w:hAnsi="Consolas"/>
        </w:rPr>
        <w:t xml:space="preserve">S3-08</w:t>
      </w:r>
      <w:r>
        <w:t xml:space="preserve"> produced the version snapshots and started the</w:t>
      </w:r>
    </w:p>
    <w:p>
      <w:r>
        <w:t xml:space="preserve">traceability at 35 of 44 rows; </w:t>
      </w:r>
      <w:r>
        <w:rPr>
          <w:rFonts w:ascii="Consolas" w:hAnsi="Consolas"/>
        </w:rPr>
        <w:t xml:space="preserve">S4-16</w:t>
      </w:r>
      <w:r>
        <w:t xml:space="preserve"> completed the trace to 44 rows (28 fully,</w:t>
      </w:r>
    </w:p>
    <w:p>
      <w:r>
        <w:t xml:space="preserve">12 partly, 2 not supported, 2 out of scope); </w:t>
      </w:r>
      <w:r>
        <w:rPr>
          <w:rFonts w:ascii="Consolas" w:hAnsi="Consolas"/>
        </w:rPr>
        <w:t xml:space="preserve">S4-17</w:t>
      </w:r>
      <w:r>
        <w:t xml:space="preserve"> wrote the ten prioritised</w:t>
      </w:r>
    </w:p>
    <w:p>
      <w:r>
        <w:t xml:space="preserve">improvements; </w:t>
      </w:r>
      <w:r>
        <w:rPr>
          <w:rFonts w:ascii="Consolas" w:hAnsi="Consolas"/>
        </w:rPr>
        <w:t xml:space="preserve">S4-21</w:t>
      </w:r>
      <w:r>
        <w:t xml:space="preserve"> assembled the portfolio and ran the hand-in check.</w:t>
      </w:r>
    </w:p>
    <w:p>
      <w:r>
        <w:rPr>
          <w:rFonts w:ascii="Consolas" w:hAnsi="Consolas"/>
        </w:rPr>
        <w:t xml:space="preserve">PB-05</w:t>
      </w:r>
      <w:r>
        <w:t xml:space="preserve">/</w:t>
      </w:r>
      <w:r>
        <w:rPr>
          <w:rFonts w:ascii="Consolas" w:hAnsi="Consolas"/>
        </w:rPr>
        <w:t xml:space="preserve">PB-06</w:t>
      </w:r>
      <w:r>
        <w:t xml:space="preserve"> requirements and user stories, </w:t>
      </w:r>
      <w:r>
        <w:rPr>
          <w:rFonts w:ascii="Consolas" w:hAnsi="Consolas"/>
        </w:rPr>
        <w:t xml:space="preserve">PB-07</w:t>
      </w:r>
      <w:r>
        <w:t xml:space="preserve"> the traceability matrix,</w:t>
      </w:r>
    </w:p>
    <w:p>
      <w:r>
        <w:rPr>
          <w:rFonts w:ascii="Consolas" w:hAnsi="Consolas"/>
        </w:rPr>
        <w:t xml:space="preserve">PB-36</w:t>
      </w:r>
      <w:r>
        <w:t xml:space="preserve">/</w:t>
      </w:r>
      <w:r>
        <w:rPr>
          <w:rFonts w:ascii="Consolas" w:hAnsi="Consolas"/>
        </w:rPr>
        <w:t xml:space="preserve">PB-37</w:t>
      </w:r>
      <w:r>
        <w:t xml:space="preserve"> the alignment evaluation and its 44-requirement trace,</w:t>
      </w:r>
    </w:p>
    <w:p>
      <w:r>
        <w:rPr>
          <w:rFonts w:ascii="Consolas" w:hAnsi="Consolas"/>
        </w:rPr>
        <w:t xml:space="preserve">PB-38</w:t>
      </w:r>
      <w:r>
        <w:t xml:space="preserve">–</w:t>
      </w:r>
      <w:r>
        <w:rPr>
          <w:rFonts w:ascii="Consolas" w:hAnsi="Consolas"/>
        </w:rPr>
        <w:t xml:space="preserve">PB-40</w:t>
      </w:r>
      <w:r>
        <w:t xml:space="preserve"> the change log and criteria revisions, </w:t>
      </w:r>
      <w:r>
        <w:rPr>
          <w:rFonts w:ascii="Consolas" w:hAnsi="Consolas"/>
        </w:rPr>
        <w:t xml:space="preserve">PB-02</w:t>
      </w:r>
      <w:r>
        <w:t xml:space="preserve"> the repository,</w:t>
      </w:r>
    </w:p>
    <w:p>
      <w:r>
        <w:t xml:space="preserve">README and filename convention, </w:t>
      </w:r>
      <w:r>
        <w:rPr>
          <w:rFonts w:ascii="Consolas" w:hAnsi="Consolas"/>
        </w:rPr>
        <w:t xml:space="preserve">PB-03</w:t>
      </w:r>
      <w:r>
        <w:t xml:space="preserve">/</w:t>
      </w:r>
      <w:r>
        <w:rPr>
          <w:rFonts w:ascii="Consolas" w:hAnsi="Consolas"/>
        </w:rPr>
        <w:t xml:space="preserve">PB-04</w:t>
      </w:r>
      <w:r>
        <w:t xml:space="preserve"> the backlogs and definition of</w:t>
      </w:r>
    </w:p>
    <w:p>
      <w:r>
        <w:t xml:space="preserve">done, </w:t>
      </w:r>
      <w:r>
        <w:rPr>
          <w:rFonts w:ascii="Consolas" w:hAnsi="Consolas"/>
        </w:rPr>
        <w:t xml:space="preserve">PB-42</w:t>
      </w:r>
      <w:r>
        <w:t xml:space="preserve"> the feedback action log, </w:t>
      </w:r>
      <w:r>
        <w:rPr>
          <w:rFonts w:ascii="Consolas" w:hAnsi="Consolas"/>
        </w:rPr>
        <w:t xml:space="preserve">PB-43</w:t>
      </w:r>
      <w:r>
        <w:t xml:space="preserve"> the retrospectives. 45% of the</w:t>
      </w:r>
    </w:p>
    <w:p>
      <w:r>
        <w:t xml:space="preserve">evaluation activity, 60% of the documentation activity.</w:t>
      </w:r>
    </w:p>
    <w:p>
      <w:r>
        <w:rPr>
          <w:b/>
        </w:rPr>
        <w:t xml:space="preserve">Implementation work.</w:t>
      </w:r>
      <w:r>
        <w:t xml:space="preserve"> </w:t>
      </w:r>
      <w:r>
        <w:rPr>
          <w:rFonts w:ascii="Consolas" w:hAnsi="Consolas"/>
        </w:rPr>
        <w:t xml:space="preserve">JobContext.java</w:t>
      </w:r>
      <w:r>
        <w:t xml:space="preserve"> (validated reads: a missing or</w:t>
      </w:r>
    </w:p>
    <w:p>
      <w:r>
        <w:t xml:space="preserve">malformed variable is rejected </w:t>
      </w:r>
      <w:r>
        <w:rPr>
          <w:b/>
        </w:rPr>
        <w:t xml:space="preserve">by name</w:t>
      </w:r>
      <w:r>
        <w:t xml:space="preserve">, because a FEEL null on a gateway takes</w:t>
      </w:r>
    </w:p>
    <w:p>
      <w:r>
        <w:t xml:space="preserve">a branch nobody chose), </w:t>
      </w:r>
      <w:r>
        <w:rPr>
          <w:rFonts w:ascii="Consolas" w:hAnsi="Consolas"/>
        </w:rPr>
        <w:t xml:space="preserve">ValidationException.java</w:t>
      </w:r>
      <w:r>
        <w:t xml:space="preserve">, </w:t>
      </w:r>
      <w:r>
        <w:rPr>
          <w:rFonts w:ascii="Consolas" w:hAnsi="Consolas"/>
        </w:rPr>
        <w:t xml:space="preserve">Ids.java</w:t>
      </w:r>
      <w:r>
        <w:t xml:space="preserve">;</w:t>
      </w:r>
    </w:p>
    <w:p>
      <w:r>
        <w:rPr>
          <w:rFonts w:ascii="Consolas" w:hAnsi="Consolas"/>
        </w:rPr>
        <w:t xml:space="preserve">validate-contract.py</w:t>
      </w:r>
      <w:r>
        <w:t xml:space="preserve">, which checks that every variable a worker demands can</w:t>
      </w:r>
    </w:p>
    <w:p>
      <w:r>
        <w:t xml:space="preserve">actually be supplied and found two real gaps (</w:t>
      </w:r>
      <w:r>
        <w:rPr>
          <w:rFonts w:ascii="Consolas" w:hAnsi="Consolas"/>
        </w:rPr>
        <w:t xml:space="preserve">appointmentReference</w:t>
      </w:r>
      <w:r>
        <w:t xml:space="preserve">,</w:t>
      </w:r>
    </w:p>
    <w:p>
      <w:r>
        <w:rPr>
          <w:rFonts w:ascii="Consolas" w:hAnsi="Consolas"/>
        </w:rPr>
        <w:t xml:space="preserve">redirectDestination</w:t>
      </w:r>
      <w:r>
        <w:t xml:space="preserve">); the nine-step </w:t>
      </w:r>
      <w:r>
        <w:rPr>
          <w:rFonts w:ascii="Consolas" w:hAnsi="Consolas"/>
        </w:rPr>
        <w:t xml:space="preserve">verify-all.ps1</w:t>
      </w:r>
      <w:r>
        <w:t xml:space="preserve"> and its evidence; the</w:t>
      </w:r>
    </w:p>
    <w:p>
      <w:r>
        <w:t xml:space="preserve">requirement→test matrix (</w:t>
      </w:r>
      <w:r>
        <w:rPr>
          <w:rFonts w:ascii="Consolas" w:hAnsi="Consolas"/>
        </w:rPr>
        <w:t xml:space="preserve">build-reqtest.py</w:t>
      </w:r>
      <w:r>
        <w:t xml:space="preserve">, 44 requirements against the 18</w:t>
      </w:r>
    </w:p>
    <w:p>
      <w:r>
        <w:t xml:space="preserve">executed cases); two workers, </w:t>
      </w:r>
      <w:r>
        <w:rPr>
          <w:rFonts w:ascii="Consolas" w:hAnsi="Consolas"/>
        </w:rPr>
        <w:t xml:space="preserve">RequestMissingDocumentationWorker</w:t>
      </w:r>
      <w:r>
        <w:t xml:space="preserve"> and</w:t>
      </w:r>
    </w:p>
    <w:p>
      <w:r>
        <w:rPr>
          <w:rFonts w:ascii="Consolas" w:hAnsi="Consolas"/>
        </w:rPr>
        <w:t xml:space="preserve">DistributeClinicalCorrespondenceWorker</w:t>
      </w:r>
      <w:r>
        <w:t xml:space="preserve">.</w:t>
      </w:r>
    </w:p>
    <w:p>
      <w:r>
        <w:rPr>
          <w:b/>
        </w:rPr>
        <w:t xml:space="preserve">Point at this.</w:t>
      </w:r>
      <w:r>
        <w:t xml:space="preserve"> </w:t>
      </w:r>
      <w:r>
        <w:rPr>
          <w:rFonts w:ascii="Consolas" w:hAnsi="Consolas"/>
        </w:rPr>
        <w:t xml:space="preserve">04_Portfolio_documents/...Task03...</w:t>
      </w:r>
      <w:r>
        <w:t xml:space="preserve"> (the 44-row</w:t>
      </w:r>
    </w:p>
    <w:p>
      <w:r>
        <w:t xml:space="preserve">traceability), </w:t>
      </w:r>
      <w:r>
        <w:rPr>
          <w:rFonts w:ascii="Consolas" w:hAnsi="Consolas"/>
        </w:rPr>
        <w:t xml:space="preserve">04_Portfolio_documents/...Task04...</w:t>
      </w:r>
      <w:r>
        <w:t xml:space="preserve"> (the criteria evaluation),</w:t>
      </w:r>
    </w:p>
    <w:p>
      <w:r>
        <w:rPr>
          <w:rFonts w:ascii="Consolas" w:hAnsi="Consolas"/>
        </w:rPr>
        <w:t xml:space="preserve">09_Tests_and_Tools/validate-contract.py</w:t>
      </w:r>
      <w:r>
        <w:t xml:space="preserve">, </w:t>
      </w:r>
      <w:r>
        <w:rPr>
          <w:rFonts w:ascii="Consolas" w:hAnsi="Consolas"/>
        </w:rPr>
        <w:t xml:space="preserve">09_Tests_and_Tools/verify-all.ps1</w:t>
      </w:r>
      <w:r>
        <w:t xml:space="preserve">,</w:t>
      </w:r>
    </w:p>
    <w:p>
      <w:r>
        <w:rPr>
          <w:rFonts w:ascii="Consolas" w:hAnsi="Consolas"/>
        </w:rPr>
        <w:t xml:space="preserve">05_Test_Evidence/verification/</w:t>
      </w:r>
      <w:r>
        <w:t xml:space="preserve">.</w:t>
      </w:r>
    </w:p>
    <w:p>
      <w:r>
        <w:rPr>
          <w:b/>
        </w:rPr>
        <w:t xml:space="preserve">Ten-second proof.</w:t>
      </w:r>
      <w:r>
        <w:t xml:space="preserve"> Open the traceability table and read one row across its four</w:t>
      </w:r>
    </w:p>
    <w:p>
      <w:r>
        <w:t xml:space="preserve">levels, then run </w:t>
      </w:r>
      <w:r>
        <w:rPr>
          <w:rFonts w:ascii="Consolas" w:hAnsi="Consolas"/>
        </w:rPr>
        <w:t xml:space="preserve">validate-contract.py</w:t>
      </w:r>
      <w:r>
        <w:t xml:space="preserve"> and show the two gaps it caught.</w:t>
      </w:r>
    </w:p>
    <w:p>
      <w:pPr>
        <w:pStyle w:val="Heading3"/>
        <w:keepNext/>
      </w:pPr>
      <w:r>
        <w:t xml:space="preserve">peter — forms, testing and the interactive run</w:t>
      </w:r>
    </w:p>
    <w:p>
      <w:r>
        <w:rPr>
          <w:b/>
        </w:rPr>
        <w:t xml:space="preserve">Portfolio work.</w:t>
      </w:r>
      <w:r>
        <w:t xml:space="preserve"> </w:t>
      </w:r>
      <w:r>
        <w:rPr>
          <w:rFonts w:ascii="Consolas" w:hAnsi="Consolas"/>
        </w:rPr>
        <w:t xml:space="preserve">S3-14</w:t>
      </w:r>
      <w:r>
        <w:t xml:space="preserve"> produced the revised criteria table with the original</w:t>
      </w:r>
    </w:p>
    <w:p>
      <w:r>
        <w:t xml:space="preserve">wording retained beside each revision; </w:t>
      </w:r>
      <w:r>
        <w:rPr>
          <w:rFonts w:ascii="Consolas" w:hAnsi="Consolas"/>
        </w:rPr>
        <w:t xml:space="preserve">S3-16</w:t>
      </w:r>
      <w:r>
        <w:t xml:space="preserve"> built the repeatable lint and audit</w:t>
      </w:r>
    </w:p>
    <w:p>
      <w:r>
        <w:t xml:space="preserve">export; </w:t>
      </w:r>
      <w:r>
        <w:rPr>
          <w:rFonts w:ascii="Consolas" w:hAnsi="Consolas"/>
        </w:rPr>
        <w:t xml:space="preserve">S4-08</w:t>
      </w:r>
      <w:r>
        <w:t xml:space="preserve"> deployed the model family and re-validated it; </w:t>
      </w:r>
      <w:r>
        <w:rPr>
          <w:rFonts w:ascii="Consolas" w:hAnsi="Consolas"/>
        </w:rPr>
        <w:t xml:space="preserve">S4-19</w:t>
      </w:r>
      <w:r>
        <w:t xml:space="preserve"> executed the</w:t>
      </w:r>
    </w:p>
    <w:p>
      <w:r>
        <w:t xml:space="preserve">acceptance cases. 35% of the evaluation activity through the acceptance testing and</w:t>
      </w:r>
    </w:p>
    <w:p>
      <w:r>
        <w:t xml:space="preserve">the forms.</w:t>
      </w:r>
    </w:p>
    <w:p>
      <w:r>
        <w:rPr>
          <w:b/>
        </w:rPr>
        <w:t xml:space="preserve">Implementation work.</w:t>
      </w:r>
      <w:r>
        <w:t xml:space="preserve"> All 69 Camunda Forms and their bindings to 99 user tasks,</w:t>
      </w:r>
    </w:p>
    <w:p>
      <w:r>
        <w:t xml:space="preserve">including the field that closes the worker contract gap (</w:t>
      </w:r>
      <w:r>
        <w:rPr>
          <w:rFonts w:ascii="Consolas" w:hAnsi="Consolas"/>
        </w:rPr>
        <w:t xml:space="preserve">appointmentReference</w:t>
      </w:r>
      <w:r>
        <w:t xml:space="preserve"> on</w:t>
      </w:r>
    </w:p>
    <w:p>
      <w:r>
        <w:t xml:space="preserve">the booking forms, </w:t>
      </w:r>
      <w:r>
        <w:rPr>
          <w:rFonts w:ascii="Consolas" w:hAnsi="Consolas"/>
        </w:rPr>
        <w:t xml:space="preserve">redirectDestination</w:t>
      </w:r>
      <w:r>
        <w:t xml:space="preserve"> on the referral decision form);</w:t>
      </w:r>
    </w:p>
    <w:p>
      <w:r>
        <w:rPr>
          <w:rFonts w:ascii="Consolas" w:hAnsi="Consolas"/>
        </w:rPr>
        <w:t xml:space="preserve">support/ExternalServices.java</w:t>
      </w:r>
      <w:r>
        <w:t xml:space="preserve"> (the simulated providers, including the four</w:t>
      </w:r>
    </w:p>
    <w:p>
      <w:r>
        <w:t xml:space="preserve">payment outcomes the gateway distinguishes) and </w:t>
      </w:r>
      <w:r>
        <w:rPr>
          <w:rFonts w:ascii="Consolas" w:hAnsi="Consolas"/>
        </w:rPr>
        <w:t xml:space="preserve">support/FailureInjection.java</w:t>
      </w:r>
    </w:p>
    <w:p>
      <w:r>
        <w:t xml:space="preserve">(deterministic fault injection); three workers, </w:t>
      </w:r>
      <w:r>
        <w:rPr>
          <w:rFonts w:ascii="Consolas" w:hAnsi="Consolas"/>
        </w:rPr>
        <w:t xml:space="preserve">RequestBloodTestWorker</w:t>
      </w:r>
      <w:r>
        <w:t xml:space="preserve">,</w:t>
      </w:r>
    </w:p>
    <w:p>
      <w:r>
        <w:rPr>
          <w:rFonts w:ascii="Consolas" w:hAnsi="Consolas"/>
        </w:rPr>
        <w:t xml:space="preserve">RequestRefundWorker</w:t>
      </w:r>
      <w:r>
        <w:t xml:space="preserve">, </w:t>
      </w:r>
      <w:r>
        <w:rPr>
          <w:rFonts w:ascii="Consolas" w:hAnsi="Consolas"/>
        </w:rPr>
        <w:t xml:space="preserve">GenerateManagementReportsWorker</w:t>
      </w:r>
      <w:r>
        <w:t xml:space="preserve">; </w:t>
      </w:r>
      <w:r>
        <w:rPr>
          <w:rFonts w:ascii="Consolas" w:hAnsi="Consolas"/>
        </w:rPr>
        <w:t xml:space="preserve">validate-forms.py</w:t>
      </w:r>
      <w:r>
        <w:t xml:space="preserve">,</w:t>
      </w:r>
    </w:p>
    <w:p>
      <w:r>
        <w:rPr>
          <w:rFonts w:ascii="Consolas" w:hAnsi="Consolas"/>
        </w:rPr>
        <w:t xml:space="preserve">render-forms.mjs</w:t>
      </w:r>
      <w:r>
        <w:t xml:space="preserve"> (all 69 forms rendered by </w:t>
      </w:r>
      <w:r>
        <w:rPr>
          <w:rFonts w:ascii="Consolas" w:hAnsi="Consolas"/>
        </w:rPr>
        <w:t xml:space="preserve">form-js</w:t>
      </w:r>
      <w:r>
        <w:t xml:space="preserve">, the renderer Tasklist</w:t>
      </w:r>
    </w:p>
    <w:p>
      <w:r>
        <w:t xml:space="preserve">uses) and the 41 unit tests; </w:t>
      </w:r>
      <w:r>
        <w:rPr>
          <w:rFonts w:ascii="Consolas" w:hAnsi="Consolas"/>
        </w:rPr>
        <w:t xml:space="preserve">run-acceptance.mjs</w:t>
      </w:r>
      <w:r>
        <w:t xml:space="preserve"> (18 cases) and</w:t>
      </w:r>
    </w:p>
    <w:p>
      <w:r>
        <w:rPr>
          <w:rFonts w:ascii="Consolas" w:hAnsi="Consolas"/>
        </w:rPr>
        <w:t xml:space="preserve">run-form-tasklist.mjs</w:t>
      </w:r>
      <w:r>
        <w:t xml:space="preserve"> — the interactive run that opens Tasklist and fills 19</w:t>
      </w:r>
    </w:p>
    <w:p>
      <w:r>
        <w:t xml:space="preserve">forms in sequence.</w:t>
      </w:r>
    </w:p>
    <w:p>
      <w:r>
        <w:rPr>
          <w:b/>
        </w:rPr>
        <w:t xml:space="preserve">Point at this.</w:t>
      </w:r>
      <w:r>
        <w:t xml:space="preserve"> </w:t>
      </w:r>
      <w:r>
        <w:rPr>
          <w:rFonts w:ascii="Consolas" w:hAnsi="Consolas"/>
        </w:rPr>
        <w:t xml:space="preserve">03_Forms/</w:t>
      </w:r>
      <w:r>
        <w:t xml:space="preserve">, </w:t>
      </w:r>
      <w:r>
        <w:rPr>
          <w:rFonts w:ascii="Consolas" w:hAnsi="Consolas"/>
        </w:rPr>
        <w:t xml:space="preserve">05_Test_Evidence/worker-run/form-render.txt</w:t>
      </w:r>
    </w:p>
    <w:p>
      <w:r>
        <w:t xml:space="preserve">(</w:t>
      </w:r>
      <w:r>
        <w:rPr>
          <w:rFonts w:ascii="Consolas" w:hAnsi="Consolas"/>
        </w:rPr>
        <w:t xml:space="preserve">TOTAL=68 FAILED=0</w:t>
      </w:r>
      <w:r>
        <w:t xml:space="preserve">), </w:t>
      </w:r>
      <w:r>
        <w:rPr>
          <w:rFonts w:ascii="Consolas" w:hAnsi="Consolas"/>
        </w:rPr>
        <w:t xml:space="preserve">05_Test_Evidence/form-demo/</w:t>
      </w:r>
      <w:r>
        <w:t xml:space="preserve"> (19 screenshots),</w:t>
      </w:r>
    </w:p>
    <w:p>
      <w:r>
        <w:rPr>
          <w:rFonts w:ascii="Consolas" w:hAnsi="Consolas"/>
        </w:rPr>
        <w:t xml:space="preserve">04_Java_Worker/src/test/</w:t>
      </w:r>
      <w:r>
        <w:t xml:space="preserve">.</w:t>
      </w:r>
    </w:p>
    <w:p>
      <w:r>
        <w:rPr>
          <w:b/>
        </w:rPr>
        <w:t xml:space="preserve">Ten-second proof.</w:t>
      </w:r>
      <w:r>
        <w:t xml:space="preserve"> Run </w:t>
      </w:r>
      <w:r>
        <w:rPr>
          <w:rFonts w:ascii="Consolas" w:hAnsi="Consolas"/>
        </w:rPr>
        <w:t xml:space="preserve">run-form-tasklist.mjs</w:t>
      </w:r>
      <w:r>
        <w:t xml:space="preserve">: the browser opens, fills a form,</w:t>
      </w:r>
    </w:p>
    <w:p>
      <w:r>
        <w:t xml:space="preserve">moves to the next.</w:t>
      </w:r>
    </w:p>
    <w:p>
      <w:pPr>
        <w:pStyle w:val="Heading2"/>
        <w:keepNext/>
      </w:pPr>
      <w:r>
        <w:t xml:space="preserve">5. Working rules the group agreed</w:t>
      </w:r>
    </w:p>
    <w:p>
      <w:pPr>
        <w:pStyle w:val="ListNumber"/>
      </w:pPr>
      <w:r>
        <w:t xml:space="preserve">The first owner delivers and answers for the activity; the second owner keeps</w:t>
      </w:r>
    </w:p>
    <w:p>
      <w:r>
        <w:t xml:space="preserve">up to date so the work does not stop if the first cannot continue.</w:t>
      </w:r>
    </w:p>
    <w:p>
      <w:pPr>
        <w:pStyle w:val="ListNumber"/>
      </w:pPr>
      <w:r>
        <w:t xml:space="preserve">Nothing is Done until it has been reviewed by the second owner, is in the</w:t>
      </w:r>
    </w:p>
    <w:p>
      <w:r>
        <w:t xml:space="preserve">shared workspace, and is linked to its evidence.</w:t>
      </w:r>
    </w:p>
    <w:p>
      <w:pPr>
        <w:pStyle w:val="ListNumber"/>
      </w:pPr>
      <w:r>
        <w:t xml:space="preserve">A defect found by running the system is recorded, not quietly fixed: see</w:t>
      </w:r>
    </w:p>
    <w:p>
      <w:r>
        <w:rPr>
          <w:rFonts w:ascii="Consolas" w:hAnsi="Consolas"/>
        </w:rPr>
        <w:t xml:space="preserve">08_Repository_Documents/defect-log.md</w:t>
      </w:r>
      <w:r>
        <w:t xml:space="preserve">.</w:t>
      </w:r>
    </w:p>
    <w:p>
      <w:pPr>
        <w:pStyle w:val="ListNumber"/>
      </w:pPr>
      <w:r>
        <w:t xml:space="preserve">Evidence over assertion: a claim in a document must point at a file that can be</w:t>
      </w:r>
    </w:p>
    <w:p>
      <w:r>
        <w:t xml:space="preserve">re-run.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szCs w:val="21"/>
        <w:lang w:val="en-GB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40"/>
      <w:outlineLvl w:val="0"/>
    </w:pPr>
    <w:rPr>
      <w:b/>
      <w:sz w:val="44"/>
      <w:szCs w:val="44"/>
      <w:color w:val="1F3864"/>
    </w:rPr>
  </w:style>
  <w:style w:type="paragraph" w:styleId="Heading1">
    <w:name w:val="heading 1"/>
    <w:basedOn w:val="Normal"/>
    <w:next w:val="Normal"/>
    <w:pPr>
      <w:keepNext/>
      <w:spacing w:before="320" w:after="160"/>
      <w:outlineLvl w:val="0"/>
    </w:pPr>
    <w:rPr>
      <w:b/>
      <w:color w:val="1F3864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80" w:after="140"/>
      <w:outlineLvl w:val="1"/>
    </w:pPr>
    <w:rPr>
      <w:b/>
      <w:color w:val="2E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120"/>
      <w:outlineLvl w:val="2"/>
    </w:pPr>
    <w:rPr>
      <w:b/>
      <w:color w:val="2E5496"/>
      <w:sz w:val="23"/>
      <w:szCs w:val="23"/>
    </w:rPr>
  </w:style>
  <w:style w:type="paragraph" w:styleId="Heading4">
    <w:name w:val="heading 4"/>
    <w:basedOn w:val="Normal"/>
    <w:next w:val="Normal"/>
    <w:pPr>
      <w:keepNext/>
      <w:spacing w:before="200" w:after="100"/>
      <w:outlineLvl w:val="3"/>
    </w:pPr>
    <w:rPr>
      <w:b/>
      <w:color w:val="404040"/>
      <w:sz w:val="21"/>
      <w:szCs w:val="21"/>
    </w:rPr>
  </w:style>
  <w:style w:type="paragraph" w:styleId="ListBullet">
    <w:name w:val="List Bullet"/>
    <w:basedOn w:val="Normal"/>
    <w:pPr>
      <w:ind w:left="420" w:hanging="240"/>
      <w:spacing w:after="40"/>
    </w:pPr>
  </w:style>
  <w:style w:type="paragraph" w:styleId="ListNumber">
    <w:name w:val="List Number"/>
    <w:basedOn w:val="Normal"/>
    <w:pPr>
      <w:ind w:left="420" w:hanging="240"/>
      <w:spacing w:after="40"/>
    </w:pPr>
  </w:style>
  <w:style w:type="paragraph" w:styleId="Quote">
    <w:name w:val="Quote"/>
    <w:basedOn w:val="Normal"/>
    <w:pPr>
      <w:ind w:left="560"/>
    </w:pPr>
    <w:rPr>
      <w:i/>
      <w:color w:val="595959"/>
    </w:rPr>
  </w:style>
  <w:style w:type="paragraph" w:styleId="Code">
    <w:name w:val="Code"/>
    <w:basedOn w:val="Normal"/>
    <w:pPr>
      <w:spacing w:after="0" w:line="240" w:lineRule="auto"/>
      <w:ind w:left="120"/>
    </w:pPr>
    <w:rPr>
      <w:rFonts w:ascii="Consolas" w:hAnsi="Consolas"/>
      <w:sz w:val="15"/>
    </w:rPr>
  </w:style>
  <w:style w:type="table" w:styleId="TableGrid">
    <w:name w:val="Table Grid"/>
    <w:tblPr>
      <w:tblBorders>
        <w:top w:val="single" w:sz="6" w:color="808080"/>
        <w:left w:val="single" w:sz="6" w:color="808080"/>
        <w:bottom w:val="single" w:sz="6" w:color="808080"/>
        <w:right w:val="single" w:sz="6" w:color="808080"/>
        <w:insideH w:val="single" w:sz="6" w:color="808080"/>
        <w:insideV w:val="single" w:sz="6" w:color="80808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work-division</dc:title>
  <dc:creator>UFCEP4-0-3 group</dc:creator>
  <cp:lastModifiedBy>UFCEP4-0-3 group</cp:lastModifiedBy>
</cp:coreProperties>
</file>