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left"/>
      </w:pPr>
      <w:r>
        <w:t xml:space="preserve">Appendices</w:t>
      </w:r>
    </w:p>
    <w:p>
      <w:pPr>
        <w:pStyle w:val="Heading2"/>
        <w:keepNext/>
      </w:pPr>
      <w:r>
        <w:t xml:space="preserve">Appendix A — Model inventory</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1178"/>
        <w:gridCol w:w="4448"/>
        <w:gridCol w:w="2782"/>
        <w:gridCol w:w="1230"/>
      </w:tblGrid>
      <w:tr>
        <w:trPr>
          <w:tblHeader/>
        </w:trPr>
        <w:tc>
          <w:tcPr>
            <w:tcW w:w="1178" w:type="dxa"/>
            <w:shd w:val="clear" w:fill="EDEDED"/>
            <w:vAlign w:val="top"/>
          </w:tcPr>
          <w:p>
            <w:pPr>
              <w:spacing w:before="20" w:after="20"/>
            </w:pPr>
            <w:r>
              <w:rPr>
                <w:b/>
                <w:sz w:val="18"/>
                <w:szCs w:val="18"/>
              </w:rPr>
              <w:t xml:space="preserve">Model</w:t>
            </w:r>
          </w:p>
        </w:tc>
        <w:tc>
          <w:tcPr>
            <w:tcW w:w="4448" w:type="dxa"/>
            <w:shd w:val="clear" w:fill="EDEDED"/>
            <w:vAlign w:val="top"/>
          </w:tcPr>
          <w:p>
            <w:pPr>
              <w:spacing w:before="20" w:after="20"/>
            </w:pPr>
            <w:r>
              <w:rPr>
                <w:b/>
                <w:sz w:val="18"/>
                <w:szCs w:val="18"/>
              </w:rPr>
              <w:t xml:space="preserve">File</w:t>
            </w:r>
          </w:p>
        </w:tc>
        <w:tc>
          <w:tcPr>
            <w:tcW w:w="2782" w:type="dxa"/>
            <w:shd w:val="clear" w:fill="EDEDED"/>
            <w:vAlign w:val="top"/>
          </w:tcPr>
          <w:p>
            <w:pPr>
              <w:spacing w:before="20" w:after="20"/>
            </w:pPr>
            <w:r>
              <w:rPr>
                <w:b/>
                <w:sz w:val="18"/>
                <w:szCs w:val="18"/>
              </w:rPr>
              <w:t xml:space="preserve">Process definition(s)</w:t>
            </w:r>
          </w:p>
        </w:tc>
        <w:tc>
          <w:tcPr>
            <w:tcW w:w="1230" w:type="dxa"/>
            <w:shd w:val="clear" w:fill="EDEDED"/>
            <w:vAlign w:val="top"/>
          </w:tcPr>
          <w:p>
            <w:pPr>
              <w:spacing w:before="20" w:after="20"/>
            </w:pPr>
            <w:r>
              <w:rPr>
                <w:b/>
                <w:sz w:val="18"/>
                <w:szCs w:val="18"/>
              </w:rPr>
              <w:t xml:space="preserve">Contents</w:t>
            </w:r>
          </w:p>
        </w:tc>
      </w:tr>
      <w:tr>
        <w:tc>
          <w:tcPr>
            <w:tcW w:w="1178" w:type="dxa"/>
            <w:vAlign w:val="top"/>
          </w:tcPr>
          <w:p>
            <w:pPr>
              <w:spacing w:before="20" w:after="20"/>
            </w:pPr>
            <w:r>
              <w:rPr>
                <w:sz w:val="18"/>
                <w:szCs w:val="18"/>
              </w:rPr>
              <w:t xml:space="preserve">O1 operational merged model</w:t>
            </w:r>
          </w:p>
        </w:tc>
        <w:tc>
          <w:tcPr>
            <w:tcW w:w="4448" w:type="dxa"/>
            <w:vAlign w:val="top"/>
          </w:tcPr>
          <w:p>
            <w:pPr>
              <w:spacing w:before="20" w:after="20"/>
            </w:pPr>
            <w:r>
              <w:rPr>
                <w:rFonts w:ascii="Consolas" w:hAnsi="Consolas"/>
                <w:sz w:val="18"/>
                <w:szCs w:val="18"/>
              </w:rPr>
              <w:t xml:space="preserve">O1_Operational_Merged.bpmn</w:t>
            </w:r>
          </w:p>
        </w:tc>
        <w:tc>
          <w:tcPr>
            <w:tcW w:w="2782" w:type="dxa"/>
            <w:vAlign w:val="top"/>
          </w:tcPr>
          <w:p>
            <w:pPr>
              <w:spacing w:before="20" w:after="20"/>
            </w:pPr>
            <w:r>
              <w:rPr>
                <w:rFonts w:ascii="Consolas" w:hAnsi="Consolas"/>
                <w:sz w:val="18"/>
                <w:szCs w:val="18"/>
              </w:rPr>
              <w:t xml:space="preserve">PR_Operational_Merged</w:t>
            </w:r>
          </w:p>
        </w:tc>
        <w:tc>
          <w:tcPr>
            <w:tcW w:w="1230" w:type="dxa"/>
            <w:vAlign w:val="top"/>
          </w:tcPr>
          <w:p>
            <w:pPr>
              <w:spacing w:before="20" w:after="20"/>
            </w:pPr>
            <w:r>
              <w:rPr>
                <w:sz w:val="18"/>
                <w:szCs w:val="18"/>
              </w:rPr>
              <w:t xml:space="preserve">8 lanes, 59 flow nodes, 71 sequence flows, 15 message flows, 8 external participants</w:t>
            </w:r>
          </w:p>
        </w:tc>
      </w:tr>
      <w:tr>
        <w:tc>
          <w:tcPr>
            <w:tcW w:w="1178" w:type="dxa"/>
            <w:vAlign w:val="top"/>
          </w:tcPr>
          <w:p>
            <w:pPr>
              <w:spacing w:before="20" w:after="20"/>
            </w:pPr>
            <w:r>
              <w:rPr>
                <w:sz w:val="18"/>
                <w:szCs w:val="18"/>
              </w:rPr>
              <w:t xml:space="preserve">S1 strategic process landscape</w:t>
            </w:r>
          </w:p>
        </w:tc>
        <w:tc>
          <w:tcPr>
            <w:tcW w:w="4448" w:type="dxa"/>
            <w:vAlign w:val="top"/>
          </w:tcPr>
          <w:p>
            <w:pPr>
              <w:spacing w:before="20" w:after="20"/>
            </w:pPr>
            <w:r>
              <w:rPr>
                <w:rFonts w:ascii="Consolas" w:hAnsi="Consolas"/>
                <w:sz w:val="18"/>
                <w:szCs w:val="18"/>
              </w:rPr>
              <w:t xml:space="preserve">S1_Strategic_Landscape.bpmn</w:t>
            </w:r>
          </w:p>
        </w:tc>
        <w:tc>
          <w:tcPr>
            <w:tcW w:w="2782" w:type="dxa"/>
            <w:vAlign w:val="top"/>
          </w:tcPr>
          <w:p>
            <w:pPr>
              <w:spacing w:before="20" w:after="20"/>
            </w:pPr>
            <w:r>
              <w:rPr>
                <w:rFonts w:ascii="Consolas" w:hAnsi="Consolas"/>
                <w:sz w:val="18"/>
                <w:szCs w:val="18"/>
              </w:rPr>
              <w:t xml:space="preserve">PR_Landscape</w:t>
            </w:r>
          </w:p>
        </w:tc>
        <w:tc>
          <w:tcPr>
            <w:tcW w:w="1230" w:type="dxa"/>
            <w:vAlign w:val="top"/>
          </w:tcPr>
          <w:p>
            <w:pPr>
              <w:spacing w:before="20" w:after="20"/>
            </w:pPr>
            <w:r>
              <w:rPr>
                <w:sz w:val="18"/>
                <w:szCs w:val="18"/>
              </w:rPr>
              <w:t xml:space="preserve">1 pool, 24 flow nodes, 15 message flows, 7 external participants</w:t>
            </w:r>
          </w:p>
        </w:tc>
      </w:tr>
      <w:tr>
        <w:tc>
          <w:tcPr>
            <w:tcW w:w="1178" w:type="dxa"/>
            <w:vAlign w:val="top"/>
          </w:tcPr>
          <w:p>
            <w:pPr>
              <w:spacing w:before="20" w:after="20"/>
            </w:pPr>
            <w:r>
              <w:rPr>
                <w:sz w:val="18"/>
                <w:szCs w:val="18"/>
              </w:rPr>
              <w:t xml:space="preserve">S2 strategic collaboration</w:t>
            </w:r>
          </w:p>
        </w:tc>
        <w:tc>
          <w:tcPr>
            <w:tcW w:w="4448" w:type="dxa"/>
            <w:vAlign w:val="top"/>
          </w:tcPr>
          <w:p>
            <w:pPr>
              <w:spacing w:before="20" w:after="20"/>
            </w:pPr>
            <w:r>
              <w:rPr>
                <w:rFonts w:ascii="Consolas" w:hAnsi="Consolas"/>
                <w:sz w:val="18"/>
                <w:szCs w:val="18"/>
              </w:rPr>
              <w:t xml:space="preserve">S2_Strategic_Referral_To_Authorisation.bpmn</w:t>
            </w:r>
          </w:p>
        </w:tc>
        <w:tc>
          <w:tcPr>
            <w:tcW w:w="2782" w:type="dxa"/>
            <w:vAlign w:val="top"/>
          </w:tcPr>
          <w:p>
            <w:pPr>
              <w:spacing w:before="20" w:after="20"/>
            </w:pPr>
            <w:r>
              <w:rPr>
                <w:rFonts w:ascii="Consolas" w:hAnsi="Consolas"/>
                <w:sz w:val="18"/>
                <w:szCs w:val="18"/>
              </w:rPr>
              <w:t xml:space="preserve">PR_ReferralToAuthorisation</w:t>
            </w:r>
          </w:p>
        </w:tc>
        <w:tc>
          <w:tcPr>
            <w:tcW w:w="1230" w:type="dxa"/>
            <w:vAlign w:val="top"/>
          </w:tcPr>
          <w:p>
            <w:pPr>
              <w:spacing w:before="20" w:after="20"/>
            </w:pPr>
            <w:r>
              <w:rPr>
                <w:sz w:val="18"/>
                <w:szCs w:val="18"/>
              </w:rPr>
              <w:t xml:space="preserve">6 lanes, 36 flow nodes, 9 message flows, 5 external participants</w:t>
            </w:r>
          </w:p>
        </w:tc>
      </w:tr>
      <w:tr>
        <w:tc>
          <w:tcPr>
            <w:tcW w:w="1178" w:type="dxa"/>
            <w:vAlign w:val="top"/>
          </w:tcPr>
          <w:p>
            <w:pPr>
              <w:spacing w:before="20" w:after="20"/>
            </w:pPr>
            <w:r>
              <w:rPr>
                <w:sz w:val="18"/>
                <w:szCs w:val="18"/>
              </w:rPr>
              <w:t xml:space="preserve">S3 strategic collaboration</w:t>
            </w:r>
          </w:p>
        </w:tc>
        <w:tc>
          <w:tcPr>
            <w:tcW w:w="4448" w:type="dxa"/>
            <w:vAlign w:val="top"/>
          </w:tcPr>
          <w:p>
            <w:pPr>
              <w:spacing w:before="20" w:after="20"/>
            </w:pPr>
            <w:r>
              <w:rPr>
                <w:rFonts w:ascii="Consolas" w:hAnsi="Consolas"/>
                <w:sz w:val="18"/>
                <w:szCs w:val="18"/>
              </w:rPr>
              <w:t xml:space="preserve">S3_Strategic_Treatment_To_Aftercare.bpmn</w:t>
            </w:r>
          </w:p>
        </w:tc>
        <w:tc>
          <w:tcPr>
            <w:tcW w:w="2782" w:type="dxa"/>
            <w:vAlign w:val="top"/>
          </w:tcPr>
          <w:p>
            <w:pPr>
              <w:spacing w:before="20" w:after="20"/>
            </w:pPr>
            <w:r>
              <w:rPr>
                <w:rFonts w:ascii="Consolas" w:hAnsi="Consolas"/>
                <w:sz w:val="18"/>
                <w:szCs w:val="18"/>
              </w:rPr>
              <w:t xml:space="preserve">PR_TreatmentToAftercare</w:t>
            </w:r>
            <w:r>
              <w:rPr>
                <w:sz w:val="18"/>
                <w:szCs w:val="18"/>
              </w:rPr>
              <w:t xml:space="preserve">, </w:t>
            </w:r>
            <w:r>
              <w:rPr>
                <w:rFonts w:ascii="Consolas" w:hAnsi="Consolas"/>
                <w:sz w:val="18"/>
                <w:szCs w:val="18"/>
              </w:rPr>
              <w:t xml:space="preserve">PR_EnquiryHandling</w:t>
            </w:r>
            <w:r>
              <w:rPr>
                <w:sz w:val="18"/>
                <w:szCs w:val="18"/>
              </w:rPr>
              <w:t xml:space="preserve">, </w:t>
            </w:r>
            <w:r>
              <w:rPr>
                <w:rFonts w:ascii="Consolas" w:hAnsi="Consolas"/>
                <w:sz w:val="18"/>
                <w:szCs w:val="18"/>
              </w:rPr>
              <w:t xml:space="preserve">PR_ManagementReporting</w:t>
            </w:r>
          </w:p>
        </w:tc>
        <w:tc>
          <w:tcPr>
            <w:tcW w:w="1230" w:type="dxa"/>
            <w:vAlign w:val="top"/>
          </w:tcPr>
          <w:p>
            <w:pPr>
              <w:spacing w:before="20" w:after="20"/>
            </w:pPr>
            <w:r>
              <w:rPr>
                <w:sz w:val="18"/>
                <w:szCs w:val="18"/>
              </w:rPr>
              <w:t xml:space="preserve">7 + 3 + 1 lanes, 74 flow nodes, 13 message flows, 6 external participants</w:t>
            </w:r>
          </w:p>
        </w:tc>
      </w:tr>
    </w:tbl>
    <w:p>
      <w:pPr>
        <w:spacing w:after="0"/>
      </w:pPr>
    </w:p>
    <w:p>
      <w:r>
        <w:t xml:space="preserve">Lane attribution, task identifiers, gateway conditions, form references and Zeebe job types for every model are listed in </w:t>
      </w:r>
      <w:r>
        <w:rPr>
          <w:rFonts w:ascii="Consolas" w:hAnsi="Consolas"/>
        </w:rPr>
        <w:t xml:space="preserve">08_Repository_Documents/model-inventory.md</w:t>
      </w:r>
      <w:r>
        <w:t xml:space="preserve">, which is generated from the model definitions rather than written by hand.</w:t>
      </w:r>
    </w:p>
    <w:p>
      <w:pPr>
        <w:pStyle w:val="Heading2"/>
        <w:keepNext/>
      </w:pPr>
      <w:r>
        <w:t xml:space="preserve">Appendix B — Validation, deployment and execution</w:t>
      </w:r>
    </w:p>
    <w:p>
      <w:r>
        <w:rPr>
          <w:b/>
        </w:rPr>
        <w:t xml:space="preserve">B.1 Model validation.</w:t>
      </w:r>
      <w:r>
        <w:t xml:space="preserve"> Each model was checked with the toolchain Camunda Modeler itself uses.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6438"/>
        <w:gridCol w:w="3200"/>
      </w:tblGrid>
      <w:tr>
        <w:trPr>
          <w:tblHeader/>
        </w:trPr>
        <w:tc>
          <w:tcPr>
            <w:tcW w:w="6438" w:type="dxa"/>
            <w:shd w:val="clear" w:fill="EDEDED"/>
            <w:vAlign w:val="top"/>
          </w:tcPr>
          <w:p>
            <w:pPr>
              <w:spacing w:before="20" w:after="20"/>
            </w:pPr>
            <w:r>
              <w:rPr>
                <w:b/>
                <w:sz w:val="21"/>
                <w:szCs w:val="21"/>
              </w:rPr>
              <w:t xml:space="preserve">Check</w:t>
            </w:r>
          </w:p>
        </w:tc>
        <w:tc>
          <w:tcPr>
            <w:tcW w:w="3200" w:type="dxa"/>
            <w:shd w:val="clear" w:fill="EDEDED"/>
            <w:vAlign w:val="top"/>
          </w:tcPr>
          <w:p>
            <w:pPr>
              <w:spacing w:before="20" w:after="20"/>
            </w:pPr>
            <w:r>
              <w:rPr>
                <w:b/>
                <w:sz w:val="21"/>
                <w:szCs w:val="21"/>
              </w:rPr>
              <w:t xml:space="preserve">Result</w:t>
            </w:r>
          </w:p>
        </w:tc>
      </w:tr>
      <w:tr>
        <w:tc>
          <w:tcPr>
            <w:tcW w:w="6438" w:type="dxa"/>
            <w:vAlign w:val="top"/>
          </w:tcPr>
          <w:p>
            <w:pPr>
              <w:spacing w:before="20" w:after="20"/>
            </w:pPr>
            <w:r>
              <w:rPr>
                <w:sz w:val="21"/>
                <w:szCs w:val="21"/>
              </w:rPr>
              <w:t xml:space="preserve">Schema round-trip (</w:t>
            </w:r>
            <w:r>
              <w:rPr>
                <w:rFonts w:ascii="Consolas" w:hAnsi="Consolas"/>
                <w:sz w:val="21"/>
                <w:szCs w:val="21"/>
              </w:rPr>
              <w:t xml:space="preserve">bpmn-moddle</w:t>
            </w:r>
            <w:r>
              <w:rPr>
                <w:sz w:val="21"/>
                <w:szCs w:val="21"/>
              </w:rPr>
              <w:t xml:space="preserve"> 10.1.0, Zeebe 1.18 and modeler extensions)</w:t>
            </w:r>
          </w:p>
        </w:tc>
        <w:tc>
          <w:tcPr>
            <w:tcW w:w="3200" w:type="dxa"/>
            <w:vAlign w:val="top"/>
          </w:tcPr>
          <w:p>
            <w:pPr>
              <w:spacing w:before="20" w:after="20"/>
            </w:pPr>
            <w:r>
              <w:rPr>
                <w:sz w:val="21"/>
                <w:szCs w:val="21"/>
              </w:rPr>
              <w:t xml:space="preserve">0 warnings in all four models</w:t>
            </w:r>
          </w:p>
        </w:tc>
      </w:tr>
      <w:tr>
        <w:tc>
          <w:tcPr>
            <w:tcW w:w="6438" w:type="dxa"/>
            <w:vAlign w:val="top"/>
          </w:tcPr>
          <w:p>
            <w:pPr>
              <w:spacing w:before="20" w:after="20"/>
            </w:pPr>
            <w:r>
              <w:rPr>
                <w:sz w:val="21"/>
                <w:szCs w:val="21"/>
              </w:rPr>
              <w:t xml:space="preserve">Camunda compatibility lint (</w:t>
            </w:r>
            <w:r>
              <w:rPr>
                <w:rFonts w:ascii="Consolas" w:hAnsi="Consolas"/>
                <w:sz w:val="21"/>
                <w:szCs w:val="21"/>
              </w:rPr>
              <w:t xml:space="preserve">@camunda/linting</w:t>
            </w:r>
            <w:r>
              <w:rPr>
                <w:sz w:val="21"/>
                <w:szCs w:val="21"/>
              </w:rPr>
              <w:t xml:space="preserve"> 3.57.0, Camunda Cloud target)</w:t>
            </w:r>
          </w:p>
        </w:tc>
        <w:tc>
          <w:tcPr>
            <w:tcW w:w="3200" w:type="dxa"/>
            <w:vAlign w:val="top"/>
          </w:tcPr>
          <w:p>
            <w:pPr>
              <w:spacing w:before="20" w:after="20"/>
            </w:pPr>
            <w:r>
              <w:rPr>
                <w:sz w:val="21"/>
                <w:szCs w:val="21"/>
              </w:rPr>
              <w:t xml:space="preserve">0 reports in all four models</w:t>
            </w:r>
          </w:p>
        </w:tc>
      </w:tr>
      <w:tr>
        <w:tc>
          <w:tcPr>
            <w:tcW w:w="6438" w:type="dxa"/>
            <w:vAlign w:val="top"/>
          </w:tcPr>
          <w:p>
            <w:pPr>
              <w:spacing w:before="20" w:after="20"/>
            </w:pPr>
            <w:r>
              <w:rPr>
                <w:sz w:val="21"/>
                <w:szCs w:val="21"/>
              </w:rPr>
              <w:t xml:space="preserve">Structural audit (connectivity, reachability, gateway defaults, duplicate identifiers, empty lanes)</w:t>
            </w:r>
          </w:p>
        </w:tc>
        <w:tc>
          <w:tcPr>
            <w:tcW w:w="3200" w:type="dxa"/>
            <w:vAlign w:val="top"/>
          </w:tcPr>
          <w:p>
            <w:pPr>
              <w:spacing w:before="20" w:after="20"/>
            </w:pPr>
            <w:r>
              <w:rPr>
                <w:sz w:val="21"/>
                <w:szCs w:val="21"/>
              </w:rPr>
              <w:t xml:space="preserve">0 defects</w:t>
            </w:r>
          </w:p>
        </w:tc>
      </w:tr>
      <w:tr>
        <w:tc>
          <w:tcPr>
            <w:tcW w:w="6438" w:type="dxa"/>
            <w:vAlign w:val="top"/>
          </w:tcPr>
          <w:p>
            <w:pPr>
              <w:spacing w:before="20" w:after="20"/>
            </w:pPr>
            <w:r>
              <w:rPr>
                <w:sz w:val="21"/>
                <w:szCs w:val="21"/>
              </w:rPr>
              <w:t xml:space="preserve">Layout audit (nodes inside lanes, no overlaps)</w:t>
            </w:r>
          </w:p>
        </w:tc>
        <w:tc>
          <w:tcPr>
            <w:tcW w:w="3200" w:type="dxa"/>
            <w:vAlign w:val="top"/>
          </w:tcPr>
          <w:p>
            <w:pPr>
              <w:spacing w:before="20" w:after="20"/>
            </w:pPr>
            <w:r>
              <w:rPr>
                <w:sz w:val="21"/>
                <w:szCs w:val="21"/>
              </w:rPr>
              <w:t xml:space="preserve">0 defects</w:t>
            </w:r>
          </w:p>
        </w:tc>
      </w:tr>
    </w:tbl>
    <w:p>
      <w:pPr>
        <w:spacing w:after="0"/>
      </w:pPr>
    </w:p>
    <w:p>
      <w:r>
        <w:rPr>
          <w:b/>
        </w:rPr>
        <w:t xml:space="preserve">B.2 Deployment and execution.</w:t>
      </w:r>
      <w:r>
        <w:t xml:space="preserve"> The models were deployed to a running Camunda 8 Run 8.10.0-alpha5 cluster through the Orchestration Cluster API.</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556"/>
        <w:gridCol w:w="5082"/>
      </w:tblGrid>
      <w:tr>
        <w:trPr>
          <w:tblHeader/>
        </w:trPr>
        <w:tc>
          <w:tcPr>
            <w:tcW w:w="4556" w:type="dxa"/>
            <w:shd w:val="clear" w:fill="EDEDED"/>
            <w:vAlign w:val="top"/>
          </w:tcPr>
          <w:p>
            <w:pPr>
              <w:spacing w:before="20" w:after="20"/>
            </w:pPr>
            <w:r>
              <w:rPr>
                <w:b/>
                <w:sz w:val="21"/>
                <w:szCs w:val="21"/>
              </w:rPr>
              <w:t xml:space="preserve">Check</w:t>
            </w:r>
          </w:p>
        </w:tc>
        <w:tc>
          <w:tcPr>
            <w:tcW w:w="5082" w:type="dxa"/>
            <w:shd w:val="clear" w:fill="EDEDED"/>
            <w:vAlign w:val="top"/>
          </w:tcPr>
          <w:p>
            <w:pPr>
              <w:spacing w:before="20" w:after="20"/>
            </w:pPr>
            <w:r>
              <w:rPr>
                <w:b/>
                <w:sz w:val="21"/>
                <w:szCs w:val="21"/>
              </w:rPr>
              <w:t xml:space="preserve">Result</w:t>
            </w:r>
          </w:p>
        </w:tc>
      </w:tr>
      <w:tr>
        <w:tc>
          <w:tcPr>
            <w:tcW w:w="4556" w:type="dxa"/>
            <w:vAlign w:val="top"/>
          </w:tcPr>
          <w:p>
            <w:pPr>
              <w:spacing w:before="20" w:after="20"/>
            </w:pPr>
            <w:r>
              <w:rPr>
                <w:sz w:val="21"/>
                <w:szCs w:val="21"/>
              </w:rPr>
              <w:t xml:space="preserve">Process definitions deployed</w:t>
            </w:r>
          </w:p>
        </w:tc>
        <w:tc>
          <w:tcPr>
            <w:tcW w:w="5082" w:type="dxa"/>
            <w:vAlign w:val="top"/>
          </w:tcPr>
          <w:p>
            <w:pPr>
              <w:spacing w:before="20" w:after="20"/>
            </w:pPr>
            <w:r>
              <w:rPr>
                <w:sz w:val="21"/>
                <w:szCs w:val="21"/>
              </w:rPr>
              <w:t xml:space="preserve">6 of 6</w:t>
            </w:r>
          </w:p>
        </w:tc>
      </w:tr>
      <w:tr>
        <w:tc>
          <w:tcPr>
            <w:tcW w:w="4556" w:type="dxa"/>
            <w:vAlign w:val="top"/>
          </w:tcPr>
          <w:p>
            <w:pPr>
              <w:spacing w:before="20" w:after="20"/>
            </w:pPr>
            <w:r>
              <w:rPr>
                <w:sz w:val="21"/>
                <w:szCs w:val="21"/>
              </w:rPr>
              <w:t xml:space="preserve">Camunda Forms deployed</w:t>
            </w:r>
          </w:p>
        </w:tc>
        <w:tc>
          <w:tcPr>
            <w:tcW w:w="5082" w:type="dxa"/>
            <w:vAlign w:val="top"/>
          </w:tcPr>
          <w:p>
            <w:pPr>
              <w:spacing w:before="20" w:after="20"/>
            </w:pPr>
            <w:r>
              <w:rPr>
                <w:sz w:val="21"/>
                <w:szCs w:val="21"/>
              </w:rPr>
              <w:t xml:space="preserve">68 of 68, generated from the models</w:t>
            </w:r>
          </w:p>
        </w:tc>
      </w:tr>
      <w:tr>
        <w:tc>
          <w:tcPr>
            <w:tcW w:w="4556" w:type="dxa"/>
            <w:vAlign w:val="top"/>
          </w:tcPr>
          <w:p>
            <w:pPr>
              <w:spacing w:before="20" w:after="20"/>
            </w:pPr>
            <w:r>
              <w:rPr>
                <w:sz w:val="21"/>
                <w:szCs w:val="21"/>
              </w:rPr>
              <w:t xml:space="preserve">Acceptance test cases executed</w:t>
            </w:r>
          </w:p>
        </w:tc>
        <w:tc>
          <w:tcPr>
            <w:tcW w:w="5082" w:type="dxa"/>
            <w:vAlign w:val="top"/>
          </w:tcPr>
          <w:p>
            <w:pPr>
              <w:spacing w:before="20" w:after="20"/>
            </w:pPr>
            <w:r>
              <w:rPr>
                <w:sz w:val="21"/>
                <w:szCs w:val="21"/>
              </w:rPr>
              <w:t xml:space="preserve">18</w:t>
            </w:r>
          </w:p>
        </w:tc>
      </w:tr>
      <w:tr>
        <w:tc>
          <w:tcPr>
            <w:tcW w:w="4556" w:type="dxa"/>
            <w:vAlign w:val="top"/>
          </w:tcPr>
          <w:p>
            <w:pPr>
              <w:spacing w:before="20" w:after="20"/>
            </w:pPr>
            <w:r>
              <w:rPr>
                <w:sz w:val="21"/>
                <w:szCs w:val="21"/>
              </w:rPr>
              <w:t xml:space="preserve">Cases passed</w:t>
            </w:r>
          </w:p>
        </w:tc>
        <w:tc>
          <w:tcPr>
            <w:tcW w:w="5082" w:type="dxa"/>
            <w:vAlign w:val="top"/>
          </w:tcPr>
          <w:p>
            <w:pPr>
              <w:spacing w:before="20" w:after="20"/>
            </w:pPr>
            <w:r>
              <w:rPr>
                <w:sz w:val="21"/>
                <w:szCs w:val="21"/>
              </w:rPr>
              <w:t xml:space="preserve">18</w:t>
            </w:r>
          </w:p>
        </w:tc>
      </w:tr>
      <w:tr>
        <w:tc>
          <w:tcPr>
            <w:tcW w:w="4556" w:type="dxa"/>
            <w:vAlign w:val="top"/>
          </w:tcPr>
          <w:p>
            <w:pPr>
              <w:spacing w:before="20" w:after="20"/>
            </w:pPr>
            <w:r>
              <w:rPr>
                <w:sz w:val="21"/>
                <w:szCs w:val="21"/>
              </w:rPr>
              <w:t xml:space="preserve">Incidents during the run</w:t>
            </w:r>
          </w:p>
        </w:tc>
        <w:tc>
          <w:tcPr>
            <w:tcW w:w="5082" w:type="dxa"/>
            <w:vAlign w:val="top"/>
          </w:tcPr>
          <w:p>
            <w:pPr>
              <w:spacing w:before="20" w:after="20"/>
            </w:pPr>
            <w:r>
              <w:rPr>
                <w:sz w:val="21"/>
                <w:szCs w:val="21"/>
              </w:rPr>
              <w:t xml:space="preserve">0</w:t>
            </w:r>
          </w:p>
        </w:tc>
      </w:tr>
      <w:tr>
        <w:tc>
          <w:tcPr>
            <w:tcW w:w="4556" w:type="dxa"/>
            <w:vAlign w:val="top"/>
          </w:tcPr>
          <w:p>
            <w:pPr>
              <w:spacing w:before="20" w:after="20"/>
            </w:pPr>
            <w:r>
              <w:rPr>
                <w:sz w:val="21"/>
                <w:szCs w:val="21"/>
              </w:rPr>
              <w:t xml:space="preserve">Defects found by deploying and executing</w:t>
            </w:r>
          </w:p>
        </w:tc>
        <w:tc>
          <w:tcPr>
            <w:tcW w:w="5082" w:type="dxa"/>
            <w:vAlign w:val="top"/>
          </w:tcPr>
          <w:p>
            <w:pPr>
              <w:spacing w:before="20" w:after="20"/>
            </w:pPr>
            <w:r>
              <w:rPr>
                <w:sz w:val="21"/>
                <w:szCs w:val="21"/>
              </w:rPr>
              <w:t xml:space="preserve">4 (</w:t>
            </w:r>
            <w:r>
              <w:rPr>
                <w:rFonts w:ascii="Consolas" w:hAnsi="Consolas"/>
                <w:sz w:val="21"/>
                <w:szCs w:val="21"/>
              </w:rPr>
              <w:t xml:space="preserve">DEP-01</w:t>
            </w:r>
            <w:r>
              <w:rPr>
                <w:sz w:val="21"/>
                <w:szCs w:val="21"/>
              </w:rPr>
              <w:t xml:space="preserve"> to </w:t>
            </w:r>
            <w:r>
              <w:rPr>
                <w:rFonts w:ascii="Consolas" w:hAnsi="Consolas"/>
                <w:sz w:val="21"/>
                <w:szCs w:val="21"/>
              </w:rPr>
              <w:t xml:space="preserve">DEP-04</w:t>
            </w:r>
            <w:r>
              <w:rPr>
                <w:sz w:val="21"/>
                <w:szCs w:val="21"/>
              </w:rPr>
              <w:t xml:space="preserve">), all fixed and re-verified</w:t>
            </w:r>
          </w:p>
        </w:tc>
      </w:tr>
    </w:tbl>
    <w:p>
      <w:pPr>
        <w:spacing w:after="0"/>
      </w:pPr>
    </w:p>
    <w:p>
      <w:r>
        <w:t xml:space="preserve">The per-case record — instance key, final state, every element instance reached, the variables set at each step and the completion trace — is in </w:t>
      </w:r>
      <w:r>
        <w:rPr>
          <w:rFonts w:ascii="Consolas" w:hAnsi="Consolas"/>
        </w:rPr>
        <w:t xml:space="preserve">08_Repository_Documents/test-evidence/acceptance-run.json</w:t>
      </w:r>
      <w:r>
        <w:t xml:space="preserve">, with the console log alongside. Operate and Tasklist screenshots are in </w:t>
      </w:r>
      <w:r>
        <w:rPr>
          <w:rFonts w:ascii="Consolas" w:hAnsi="Consolas"/>
        </w:rPr>
        <w:t xml:space="preserve">05_Test_Evidence/screenshots/</w:t>
      </w:r>
      <w:r>
        <w:t xml:space="preserve">.</w:t>
      </w:r>
    </w:p>
    <w:p>
      <w:r>
        <w:rPr>
          <w:b/>
        </w:rPr>
        <w:t xml:space="preserve">B.3 Defect summary.</w:t>
      </w:r>
      <w:r>
        <w:t xml:space="preserve"> Sixteen defect categories were found in the Sprint 1 and Sprint 2 working files; fifteen are fixed and one is superseded by the rebuild. Four further defects were found by deploying and executing. The full log, with the correction and the closing evidence for each, is </w:t>
      </w:r>
      <w:r>
        <w:rPr>
          <w:rFonts w:ascii="Consolas" w:hAnsi="Consolas"/>
        </w:rPr>
        <w:t xml:space="preserve">08_Repository_Documents/defect-log.md</w:t>
      </w:r>
      <w:r>
        <w:t xml:space="preserve">.</w:t>
      </w:r>
    </w:p>
    <w:p>
      <w:pPr>
        <w:pStyle w:val="Heading2"/>
        <w:keepNext/>
      </w:pPr>
      <w:r>
        <w:t xml:space="preserve">Appendix C — Submitted files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3532"/>
        <w:gridCol w:w="6106"/>
      </w:tblGrid>
      <w:tr>
        <w:trPr>
          <w:tblHeader/>
        </w:trPr>
        <w:tc>
          <w:tcPr>
            <w:tcW w:w="3532" w:type="dxa"/>
            <w:shd w:val="clear" w:fill="EDEDED"/>
            <w:vAlign w:val="top"/>
          </w:tcPr>
          <w:p>
            <w:pPr>
              <w:spacing w:before="20" w:after="20"/>
            </w:pPr>
            <w:r>
              <w:rPr>
                <w:b/>
                <w:sz w:val="21"/>
                <w:szCs w:val="21"/>
              </w:rPr>
              <w:t xml:space="preserve">Folder</w:t>
            </w:r>
          </w:p>
        </w:tc>
        <w:tc>
          <w:tcPr>
            <w:tcW w:w="6106" w:type="dxa"/>
            <w:shd w:val="clear" w:fill="EDEDED"/>
            <w:vAlign w:val="top"/>
          </w:tcPr>
          <w:p>
            <w:pPr>
              <w:spacing w:before="20" w:after="20"/>
            </w:pPr>
            <w:r>
              <w:rPr>
                <w:b/>
                <w:sz w:val="21"/>
                <w:szCs w:val="21"/>
              </w:rPr>
              <w:t xml:space="preserve">Contents</w:t>
            </w:r>
          </w:p>
        </w:tc>
      </w:tr>
      <w:tr>
        <w:tc>
          <w:tcPr>
            <w:tcW w:w="3532" w:type="dxa"/>
            <w:vAlign w:val="top"/>
          </w:tcPr>
          <w:p>
            <w:pPr>
              <w:spacing w:before="20" w:after="20"/>
            </w:pPr>
            <w:r>
              <w:rPr>
                <w:rFonts w:ascii="Consolas" w:hAnsi="Consolas"/>
                <w:sz w:val="21"/>
                <w:szCs w:val="21"/>
              </w:rPr>
              <w:t xml:space="preserve">02_BPMN_Models/</w:t>
            </w:r>
          </w:p>
        </w:tc>
        <w:tc>
          <w:tcPr>
            <w:tcW w:w="6106" w:type="dxa"/>
            <w:vAlign w:val="top"/>
          </w:tcPr>
          <w:p>
            <w:pPr>
              <w:spacing w:before="20" w:after="20"/>
            </w:pPr>
            <w:r>
              <w:rPr>
                <w:sz w:val="21"/>
                <w:szCs w:val="21"/>
              </w:rPr>
              <w:t xml:space="preserve">The four </w:t>
            </w:r>
            <w:r>
              <w:rPr>
                <w:rFonts w:ascii="Consolas" w:hAnsi="Consolas"/>
                <w:sz w:val="21"/>
                <w:szCs w:val="21"/>
              </w:rPr>
              <w:t xml:space="preserve">.bpmn</w:t>
            </w:r>
            <w:r>
              <w:rPr>
                <w:sz w:val="21"/>
                <w:szCs w:val="21"/>
              </w:rPr>
              <w:t xml:space="preserve"> models and </w:t>
            </w:r>
            <w:r>
              <w:rPr>
                <w:rFonts w:ascii="Consolas" w:hAnsi="Consolas"/>
                <w:sz w:val="21"/>
                <w:szCs w:val="21"/>
              </w:rPr>
              <w:t xml:space="preserve">forms/</w:t>
            </w:r>
            <w:r>
              <w:rPr>
                <w:sz w:val="21"/>
                <w:szCs w:val="21"/>
              </w:rPr>
              <w:t>, the 69 Camunda Forms. Deploy the models and the forms together and the processes run end to end</w:t>
            </w:r>
          </w:p>
        </w:tc>
      </w:tr>
      <w:tr>
        <w:tc>
          <w:tcPr>
            <w:tcW w:w="3532" w:type="dxa"/>
            <w:vAlign w:val="top"/>
          </w:tcPr>
          <w:p>
            <w:pPr>
              <w:spacing w:before="20" w:after="20"/>
            </w:pPr>
            <w:r>
              <w:rPr>
                <w:rFonts w:ascii="Consolas" w:hAnsi="Consolas"/>
                <w:sz w:val="21"/>
                <w:szCs w:val="21"/>
              </w:rPr>
              <w:t xml:space="preserve">02_BPMN_Models/readable_02_BPMN_Models/readable_exports/</w:t>
            </w:r>
          </w:p>
        </w:tc>
        <w:tc>
          <w:tcPr>
            <w:tcW w:w="6106" w:type="dxa"/>
            <w:vAlign w:val="top"/>
          </w:tcPr>
          <w:p>
            <w:pPr>
              <w:spacing w:before="20" w:after="20"/>
            </w:pPr>
            <w:r>
              <w:rPr>
                <w:sz w:val="21"/>
                <w:szCs w:val="21"/>
              </w:rPr>
              <w:t xml:space="preserve">PDF (single page, zoomable), PNG and SVG for each model, plus detail panels for O1, S2 and S3</w:t>
            </w:r>
          </w:p>
        </w:tc>
      </w:tr>
      <w:tr>
        <w:tc>
          <w:tcPr>
            <w:tcW w:w="3532" w:type="dxa"/>
            <w:vAlign w:val="top"/>
          </w:tcPr>
          <w:p>
            <w:pPr>
              <w:spacing w:before="20" w:after="20"/>
            </w:pPr>
            <w:r>
              <w:rPr>
                <w:rFonts w:ascii="Consolas" w:hAnsi="Consolas"/>
                <w:sz w:val="21"/>
                <w:szCs w:val="21"/>
              </w:rPr>
              <w:t xml:space="preserve">03_iStar_models/</w:t>
            </w:r>
          </w:p>
        </w:tc>
        <w:tc>
          <w:tcPr>
            <w:tcW w:w="6106" w:type="dxa"/>
            <w:vAlign w:val="top"/>
          </w:tcPr>
          <w:p>
            <w:pPr>
              <w:spacing w:before="20" w:after="20"/>
            </w:pPr>
            <w:r>
              <w:rPr>
                <w:sz w:val="21"/>
                <w:szCs w:val="21"/>
              </w:rPr>
              <w:t xml:space="preserve">SD and SR as PDF, PNG and editable SVG, plus </w:t>
            </w:r>
            <w:r>
              <w:rPr>
                <w:rFonts w:ascii="Consolas" w:hAnsi="Consolas"/>
                <w:sz w:val="21"/>
                <w:szCs w:val="21"/>
              </w:rPr>
              <w:t xml:space="preserve">iStar_models_source.json</w:t>
            </w:r>
            <w:r>
              <w:rPr>
                <w:sz w:val="21"/>
                <w:szCs w:val="21"/>
              </w:rPr>
              <w:t xml:space="preserve">, the model source from which both are generated</w:t>
            </w:r>
          </w:p>
        </w:tc>
      </w:tr>
      <w:tr>
        <w:tc>
          <w:tcPr>
            <w:tcW w:w="3532" w:type="dxa"/>
            <w:vAlign w:val="top"/>
          </w:tcPr>
          <w:p>
            <w:pPr>
              <w:spacing w:before="20" w:after="20"/>
            </w:pPr>
            <w:r>
              <w:rPr>
                <w:rFonts w:ascii="Consolas" w:hAnsi="Consolas"/>
                <w:sz w:val="21"/>
                <w:szCs w:val="21"/>
              </w:rPr>
              <w:t xml:space="preserve">04_Portfolio_documents/</w:t>
            </w:r>
          </w:p>
        </w:tc>
        <w:tc>
          <w:tcPr>
            <w:tcW w:w="6106" w:type="dxa"/>
            <w:vAlign w:val="top"/>
          </w:tcPr>
          <w:p>
            <w:pPr>
              <w:spacing w:before="20" w:after="20"/>
            </w:pPr>
            <w:r>
              <w:rPr>
                <w:sz w:val="21"/>
                <w:szCs w:val="21"/>
              </w:rPr>
              <w:t xml:space="preserve">This document, plus the same content split into sections</w:t>
            </w:r>
          </w:p>
        </w:tc>
      </w:tr>
      <w:tr>
        <w:tc>
          <w:tcPr>
            <w:tcW w:w="3532" w:type="dxa"/>
            <w:vAlign w:val="top"/>
          </w:tcPr>
          <w:p>
            <w:pPr>
              <w:spacing w:before="20" w:after="20"/>
            </w:pPr>
            <w:r>
              <w:rPr>
                <w:rFonts w:ascii="Consolas" w:hAnsi="Consolas"/>
                <w:sz w:val="21"/>
                <w:szCs w:val="21"/>
              </w:rPr>
              <w:t xml:space="preserve">05_Test_Evidence/</w:t>
            </w:r>
          </w:p>
        </w:tc>
        <w:tc>
          <w:tcPr>
            <w:tcW w:w="6106" w:type="dxa"/>
            <w:vAlign w:val="top"/>
          </w:tcPr>
          <w:p>
            <w:pPr>
              <w:spacing w:before="20" w:after="20"/>
            </w:pPr>
            <w:r>
              <w:rPr>
                <w:sz w:val="21"/>
                <w:szCs w:val="21"/>
              </w:rPr>
              <w:t xml:space="preserve">Validation output, the deployment record, the acceptance run JSON and log, Operate and Tasklist screenshots, and the worker-driven scenario runs in </w:t>
            </w:r>
            <w:r>
              <w:rPr>
                <w:rFonts w:ascii="Consolas" w:hAnsi="Consolas"/>
                <w:sz w:val="21"/>
                <w:szCs w:val="21"/>
              </w:rPr>
              <w:t xml:space="preserve">worker-run/</w:t>
            </w:r>
          </w:p>
        </w:tc>
      </w:tr>
      <w:tr>
        <w:tc>
          <w:tcPr>
            <w:tcW w:w="3532" w:type="dxa"/>
            <w:vAlign w:val="top"/>
          </w:tcPr>
          <w:p>
            <w:pPr>
              <w:spacing w:before="20" w:after="20"/>
            </w:pPr>
            <w:r>
              <w:rPr>
                <w:rFonts w:ascii="Consolas" w:hAnsi="Consolas"/>
                <w:sz w:val="21"/>
                <w:szCs w:val="21"/>
              </w:rPr>
              <w:t xml:space="preserve">04_Java_Worker/</w:t>
            </w:r>
          </w:p>
        </w:tc>
        <w:tc>
          <w:tcPr>
            <w:tcW w:w="6106" w:type="dxa"/>
            <w:vAlign w:val="top"/>
          </w:tcPr>
          <w:p>
            <w:pPr>
              <w:spacing w:before="20" w:after="20"/>
            </w:pPr>
            <w:r>
              <w:rPr>
                <w:sz w:val="21"/>
                <w:szCs w:val="21"/>
              </w:rPr>
              <w:t xml:space="preserve">The Java job workers: one worker per job type, with the Maven build, run scripts, </w:t>
            </w:r>
            <w:r>
              <w:rPr>
                <w:rFonts w:ascii="Consolas" w:hAnsi="Consolas"/>
                <w:sz w:val="21"/>
                <w:szCs w:val="21"/>
              </w:rPr>
              <w:t xml:space="preserve">README.md</w:t>
            </w:r>
            <w:r>
              <w:rPr>
                <w:sz w:val="21"/>
                <w:szCs w:val="21"/>
              </w:rPr>
              <w:t xml:space="preserve"> and </w:t>
            </w:r>
            <w:r>
              <w:rPr>
                <w:rFonts w:ascii="Consolas" w:hAnsi="Consolas"/>
                <w:sz w:val="21"/>
                <w:szCs w:val="21"/>
              </w:rPr>
              <w:t xml:space="preserve">DEPLOYMENT.md</w:t>
            </w:r>
          </w:p>
        </w:tc>
      </w:tr>
      <w:tr>
        <w:tc>
          <w:tcPr>
            <w:tcW w:w="3532" w:type="dxa"/>
            <w:vAlign w:val="top"/>
          </w:tcPr>
          <w:p>
            <w:pPr>
              <w:spacing w:before="20" w:after="20"/>
            </w:pPr>
            <w:r>
              <w:rPr>
                <w:rFonts w:ascii="Consolas" w:hAnsi="Consolas"/>
                <w:sz w:val="21"/>
                <w:szCs w:val="21"/>
              </w:rPr>
              <w:t xml:space="preserve">08_Repository_Documents/</w:t>
            </w:r>
          </w:p>
        </w:tc>
        <w:tc>
          <w:tcPr>
            <w:tcW w:w="6106" w:type="dxa"/>
            <w:vAlign w:val="top"/>
          </w:tcPr>
          <w:p>
            <w:pPr>
              <w:spacing w:before="20" w:after="20"/>
            </w:pPr>
            <w:r>
              <w:rPr>
                <w:sz w:val="21"/>
                <w:szCs w:val="21"/>
              </w:rPr>
              <w:t xml:space="preserve">Model inventory, defect log, integration decision, i* assumptions, assumption register, improvement proposals, strategic-to-operational map, version snapshots and test evidence</w:t>
            </w:r>
          </w:p>
        </w:tc>
      </w:tr>
    </w:tbl>
    <w:p>
      <w:pPr>
        <w:spacing w:after="0"/>
      </w:pPr>
    </w:p>
    <w:p>
      <w:r>
        <w:t xml:space="preserve">The team's model-definition generators and working notes are retained in the shared project workspace rather than included in this package; the delivered worker source is in </w:t>
      </w:r>
      <w:r>
        <w:rPr>
          <w:rFonts w:ascii="Consolas" w:hAnsi="Consolas"/>
        </w:rPr>
        <w:t xml:space="preserve">04_Java_Worker/</w:t>
      </w:r>
      <w:r>
        <w:t xml:space="preserve">.</w:t>
      </w:r>
    </w:p>
    <w:p>
      <w:pPr>
        <w:pStyle w:val="Heading2"/>
        <w:keepNext/>
      </w:pPr>
      <w:r>
        <w:t xml:space="preserve">Appendix D — Files to submit</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819"/>
        <w:gridCol w:w="4819"/>
      </w:tblGrid>
      <w:tr>
        <w:trPr>
          <w:tblHeader/>
        </w:trPr>
        <w:tc>
          <w:tcPr>
            <w:tcW w:w="4819" w:type="dxa"/>
            <w:shd w:val="clear" w:fill="EDEDED"/>
            <w:vAlign w:val="top"/>
          </w:tcPr>
          <w:p>
            <w:pPr>
              <w:spacing w:before="20" w:after="20"/>
            </w:pPr>
            <w:r>
              <w:rPr>
                <w:b/>
                <w:sz w:val="21"/>
                <w:szCs w:val="21"/>
              </w:rPr>
              <w:t xml:space="preserve">Required by the specification</w:t>
            </w:r>
          </w:p>
        </w:tc>
        <w:tc>
          <w:tcPr>
            <w:tcW w:w="4819" w:type="dxa"/>
            <w:shd w:val="clear" w:fill="EDEDED"/>
            <w:vAlign w:val="top"/>
          </w:tcPr>
          <w:p>
            <w:pPr>
              <w:spacing w:before="20" w:after="20"/>
            </w:pPr>
            <w:r>
              <w:rPr>
                <w:b/>
                <w:sz w:val="21"/>
                <w:szCs w:val="21"/>
              </w:rPr>
              <w:t xml:space="preserve">Where</w:t>
            </w:r>
          </w:p>
        </w:tc>
      </w:tr>
      <w:tr>
        <w:tc>
          <w:tcPr>
            <w:tcW w:w="4819" w:type="dxa"/>
            <w:vAlign w:val="top"/>
          </w:tcPr>
          <w:p>
            <w:pPr>
              <w:spacing w:before="20" w:after="20"/>
            </w:pPr>
            <w:r>
              <w:rPr>
                <w:sz w:val="21"/>
                <w:szCs w:val="21"/>
              </w:rPr>
              <w:t xml:space="preserve">Strategic BPMN — </w:t>
            </w:r>
            <w:r>
              <w:rPr>
                <w:rFonts w:ascii="Consolas" w:hAnsi="Consolas"/>
                <w:sz w:val="21"/>
                <w:szCs w:val="21"/>
              </w:rPr>
              <w:t xml:space="preserve">.bpmn</w:t>
            </w:r>
            <w:r>
              <w:rPr>
                <w:sz w:val="21"/>
                <w:szCs w:val="21"/>
              </w:rPr>
              <w:t xml:space="preserve"> files</w:t>
            </w:r>
          </w:p>
        </w:tc>
        <w:tc>
          <w:tcPr>
            <w:tcW w:w="4819" w:type="dxa"/>
            <w:vAlign w:val="top"/>
          </w:tcPr>
          <w:p>
            <w:pPr>
              <w:spacing w:before="20" w:after="20"/>
            </w:pPr>
            <w:r>
              <w:rPr>
                <w:rFonts w:ascii="Consolas" w:hAnsi="Consolas"/>
                <w:sz w:val="21"/>
                <w:szCs w:val="21"/>
              </w:rPr>
              <w:t xml:space="preserve">02_BPMN_Models/</w:t>
            </w:r>
          </w:p>
        </w:tc>
      </w:tr>
      <w:tr>
        <w:tc>
          <w:tcPr>
            <w:tcW w:w="4819" w:type="dxa"/>
            <w:vAlign w:val="top"/>
          </w:tcPr>
          <w:p>
            <w:pPr>
              <w:spacing w:before="20" w:after="20"/>
            </w:pPr>
            <w:r>
              <w:rPr>
                <w:sz w:val="21"/>
                <w:szCs w:val="21"/>
              </w:rPr>
              <w:t xml:space="preserve">Strategic BPMN — readable PDF exports</w:t>
            </w:r>
          </w:p>
        </w:tc>
        <w:tc>
          <w:tcPr>
            <w:tcW w:w="4819" w:type="dxa"/>
            <w:vAlign w:val="top"/>
          </w:tcPr>
          <w:p>
            <w:pPr>
              <w:spacing w:before="20" w:after="20"/>
            </w:pPr>
            <w:r>
              <w:rPr>
                <w:rFonts w:ascii="Consolas" w:hAnsi="Consolas"/>
                <w:sz w:val="21"/>
                <w:szCs w:val="21"/>
              </w:rPr>
              <w:t xml:space="preserve">02_BPMN_Models/readable_02_BPMN_Models/readable_exports/</w:t>
            </w:r>
          </w:p>
        </w:tc>
      </w:tr>
      <w:tr>
        <w:tc>
          <w:tcPr>
            <w:tcW w:w="4819" w:type="dxa"/>
            <w:vAlign w:val="top"/>
          </w:tcPr>
          <w:p>
            <w:pPr>
              <w:spacing w:before="20" w:after="20"/>
            </w:pPr>
            <w:r>
              <w:rPr>
                <w:sz w:val="21"/>
                <w:szCs w:val="21"/>
              </w:rPr>
              <w:t xml:space="preserve">i* models — SD and SR PDF exports</w:t>
            </w:r>
          </w:p>
        </w:tc>
        <w:tc>
          <w:tcPr>
            <w:tcW w:w="4819" w:type="dxa"/>
            <w:vAlign w:val="top"/>
          </w:tcPr>
          <w:p>
            <w:pPr>
              <w:spacing w:before="20" w:after="20"/>
            </w:pPr>
            <w:r>
              <w:rPr>
                <w:rFonts w:ascii="Consolas" w:hAnsi="Consolas"/>
                <w:sz w:val="21"/>
                <w:szCs w:val="21"/>
              </w:rPr>
              <w:t xml:space="preserve">03_iStar_models/</w:t>
            </w:r>
          </w:p>
        </w:tc>
      </w:tr>
      <w:tr>
        <w:tc>
          <w:tcPr>
            <w:tcW w:w="4819" w:type="dxa"/>
            <w:vAlign w:val="top"/>
          </w:tcPr>
          <w:p>
            <w:pPr>
              <w:spacing w:before="20" w:after="20"/>
            </w:pPr>
            <w:r>
              <w:rPr>
                <w:sz w:val="21"/>
                <w:szCs w:val="21"/>
              </w:rPr>
              <w:t xml:space="preserve">i* models — editable source files</w:t>
            </w:r>
          </w:p>
        </w:tc>
        <w:tc>
          <w:tcPr>
            <w:tcW w:w="4819" w:type="dxa"/>
            <w:vAlign w:val="top"/>
          </w:tcPr>
          <w:p>
            <w:pPr>
              <w:spacing w:before="20" w:after="20"/>
            </w:pPr>
            <w:r>
              <w:rPr>
                <w:rFonts w:ascii="Consolas" w:hAnsi="Consolas"/>
                <w:sz w:val="21"/>
                <w:szCs w:val="21"/>
              </w:rPr>
              <w:t xml:space="preserve">03_iStar_models/</w:t>
            </w:r>
            <w:r>
              <w:rPr>
                <w:sz w:val="21"/>
                <w:szCs w:val="21"/>
              </w:rPr>
              <w:t xml:space="preserve"> (SVG and JSON)</w:t>
            </w:r>
          </w:p>
        </w:tc>
      </w:tr>
      <w:tr>
        <w:tc>
          <w:tcPr>
            <w:tcW w:w="4819" w:type="dxa"/>
            <w:vAlign w:val="top"/>
          </w:tcPr>
          <w:p>
            <w:pPr>
              <w:spacing w:before="20" w:after="20"/>
            </w:pPr>
            <w:r>
              <w:rPr>
                <w:sz w:val="21"/>
                <w:szCs w:val="21"/>
              </w:rPr>
              <w:t xml:space="preserve">Alignment evaluation with a requirements traceability table</w:t>
            </w:r>
          </w:p>
        </w:tc>
        <w:tc>
          <w:tcPr>
            <w:tcW w:w="4819" w:type="dxa"/>
            <w:vAlign w:val="top"/>
          </w:tcPr>
          <w:p>
            <w:pPr>
              <w:spacing w:before="20" w:after="20"/>
            </w:pPr>
            <w:r>
              <w:rPr>
                <w:rFonts w:ascii="Consolas" w:hAnsi="Consolas"/>
                <w:sz w:val="21"/>
                <w:szCs w:val="21"/>
              </w:rPr>
              <w:t xml:space="preserve">04_Portfolio_documents/</w:t>
            </w:r>
          </w:p>
        </w:tc>
      </w:tr>
      <w:tr>
        <w:tc>
          <w:tcPr>
            <w:tcW w:w="4819" w:type="dxa"/>
            <w:vAlign w:val="top"/>
          </w:tcPr>
          <w:p>
            <w:pPr>
              <w:spacing w:before="20" w:after="20"/>
            </w:pPr>
            <w:r>
              <w:rPr>
                <w:sz w:val="21"/>
                <w:szCs w:val="21"/>
              </w:rPr>
              <w:t xml:space="preserve">Acceptance evaluation with test results and evidence</w:t>
            </w:r>
          </w:p>
        </w:tc>
        <w:tc>
          <w:tcPr>
            <w:tcW w:w="4819" w:type="dxa"/>
            <w:vAlign w:val="top"/>
          </w:tcPr>
          <w:p>
            <w:pPr>
              <w:spacing w:before="20" w:after="20"/>
            </w:pPr>
            <w:r>
              <w:rPr>
                <w:rFonts w:ascii="Consolas" w:hAnsi="Consolas"/>
                <w:sz w:val="21"/>
                <w:szCs w:val="21"/>
              </w:rPr>
              <w:t xml:space="preserve">04_Portfolio_documents/</w:t>
            </w:r>
          </w:p>
        </w:tc>
      </w:tr>
      <w:tr>
        <w:tc>
          <w:tcPr>
            <w:tcW w:w="4819" w:type="dxa"/>
            <w:vAlign w:val="top"/>
          </w:tcPr>
          <w:p>
            <w:pPr>
              <w:spacing w:before="20" w:after="20"/>
            </w:pPr>
            <w:r>
              <w:rPr>
                <w:sz w:val="21"/>
                <w:szCs w:val="21"/>
              </w:rPr>
              <w:t xml:space="preserve">Product backlog, sprint backlogs, definition of done, retrospectives</w:t>
            </w:r>
          </w:p>
        </w:tc>
        <w:tc>
          <w:tcPr>
            <w:tcW w:w="4819" w:type="dxa"/>
            <w:vAlign w:val="top"/>
          </w:tcPr>
          <w:p>
            <w:pPr>
              <w:spacing w:before="20" w:after="20"/>
            </w:pPr>
            <w:r>
              <w:rPr>
                <w:rFonts w:ascii="Consolas" w:hAnsi="Consolas"/>
                <w:sz w:val="21"/>
                <w:szCs w:val="21"/>
              </w:rPr>
              <w:t xml:space="preserve">04_Portfolio_documents/</w:t>
            </w:r>
          </w:p>
        </w:tc>
      </w:tr>
      <w:tr>
        <w:tc>
          <w:tcPr>
            <w:tcW w:w="4819" w:type="dxa"/>
            <w:vAlign w:val="top"/>
          </w:tcPr>
          <w:p>
            <w:pPr>
              <w:spacing w:before="20" w:after="20"/>
            </w:pPr>
            <w:r>
              <w:rPr>
                <w:sz w:val="21"/>
                <w:szCs w:val="21"/>
              </w:rPr>
              <w:t xml:space="preserve">Records of the two marked standups and the two sprint reviews</w:t>
            </w:r>
          </w:p>
        </w:tc>
        <w:tc>
          <w:tcPr>
            <w:tcW w:w="4819" w:type="dxa"/>
            <w:vAlign w:val="top"/>
          </w:tcPr>
          <w:p>
            <w:pPr>
              <w:spacing w:before="20" w:after="20"/>
            </w:pPr>
            <w:r>
              <w:rPr>
                <w:rFonts w:ascii="Consolas" w:hAnsi="Consolas"/>
                <w:sz w:val="21"/>
                <w:szCs w:val="21"/>
              </w:rPr>
              <w:t xml:space="preserve">04_Portfolio_documents/</w:t>
            </w:r>
          </w:p>
        </w:tc>
      </w:tr>
      <w:tr>
        <w:tc>
          <w:tcPr>
            <w:tcW w:w="4819" w:type="dxa"/>
            <w:vAlign w:val="top"/>
          </w:tcPr>
          <w:p>
            <w:pPr>
              <w:spacing w:before="20" w:after="20"/>
            </w:pPr>
            <w:r>
              <w:rPr>
                <w:sz w:val="21"/>
                <w:szCs w:val="21"/>
              </w:rPr>
              <w:t xml:space="preserve">Feedback action record and contribution evidence</w:t>
            </w:r>
          </w:p>
        </w:tc>
        <w:tc>
          <w:tcPr>
            <w:tcW w:w="4819" w:type="dxa"/>
            <w:vAlign w:val="top"/>
          </w:tcPr>
          <w:p>
            <w:pPr>
              <w:spacing w:before="20" w:after="20"/>
            </w:pPr>
            <w:r>
              <w:rPr>
                <w:rFonts w:ascii="Consolas" w:hAnsi="Consolas"/>
                <w:sz w:val="21"/>
                <w:szCs w:val="21"/>
              </w:rPr>
              <w:t xml:space="preserve">04_Portfolio_documents/</w:t>
            </w:r>
          </w:p>
        </w:tc>
      </w:tr>
      <w:tr>
        <w:tc>
          <w:tcPr>
            <w:tcW w:w="4819" w:type="dxa"/>
            <w:vAlign w:val="top"/>
          </w:tcPr>
          <w:p>
            <w:pPr>
              <w:spacing w:before="20" w:after="20"/>
            </w:pPr>
            <w:r>
              <w:rPr>
                <w:sz w:val="21"/>
                <w:szCs w:val="21"/>
              </w:rPr>
              <w:t xml:space="preserve">External workers — source, dependencies and configuration</w:t>
            </w:r>
          </w:p>
        </w:tc>
        <w:tc>
          <w:tcPr>
            <w:tcW w:w="4819" w:type="dxa"/>
            <w:vAlign w:val="top"/>
          </w:tcPr>
          <w:p>
            <w:pPr>
              <w:spacing w:before="20" w:after="20"/>
            </w:pPr>
            <w:r>
              <w:rPr>
                <w:rFonts w:ascii="Consolas" w:hAnsi="Consolas"/>
                <w:sz w:val="21"/>
                <w:szCs w:val="21"/>
              </w:rPr>
              <w:t xml:space="preserve">04_Java_Worker/</w:t>
            </w:r>
            <w:r>
              <w:rPr>
                <w:sz w:val="21"/>
                <w:szCs w:val="21"/>
              </w:rPr>
              <w:t xml:space="preserve"> (</w:t>
            </w:r>
            <w:r>
              <w:rPr>
                <w:rFonts w:ascii="Consolas" w:hAnsi="Consolas"/>
                <w:sz w:val="21"/>
                <w:szCs w:val="21"/>
              </w:rPr>
              <w:t xml:space="preserve">pom.xml</w:t>
            </w:r>
            <w:r>
              <w:rPr>
                <w:sz w:val="21"/>
                <w:szCs w:val="21"/>
              </w:rPr>
              <w:t xml:space="preserve">, </w:t>
            </w:r>
            <w:r>
              <w:rPr>
                <w:rFonts w:ascii="Consolas" w:hAnsi="Consolas"/>
                <w:sz w:val="21"/>
                <w:szCs w:val="21"/>
              </w:rPr>
              <w:t xml:space="preserve">src/</w:t>
            </w:r>
            <w:r>
              <w:rPr>
                <w:sz w:val="21"/>
                <w:szCs w:val="21"/>
              </w:rPr>
              <w:t xml:space="preserve">, </w:t>
            </w:r>
            <w:r>
              <w:rPr>
                <w:rFonts w:ascii="Consolas" w:hAnsi="Consolas"/>
                <w:sz w:val="21"/>
                <w:szCs w:val="21"/>
              </w:rPr>
              <w:t xml:space="preserve">README.md</w:t>
            </w:r>
            <w:r>
              <w:rPr>
                <w:sz w:val="21"/>
                <w:szCs w:val="21"/>
              </w:rPr>
              <w:t xml:space="preserve">, </w:t>
            </w:r>
            <w:r>
              <w:rPr>
                <w:rFonts w:ascii="Consolas" w:hAnsi="Consolas"/>
                <w:sz w:val="21"/>
                <w:szCs w:val="21"/>
              </w:rPr>
              <w:t xml:space="preserve">DEPLOYMENT.md</w:t>
            </w:r>
            <w:r>
              <w:rPr>
                <w:sz w:val="21"/>
                <w:szCs w:val="21"/>
              </w:rPr>
              <w:t xml:space="preserve">)</w:t>
            </w:r>
          </w:p>
        </w:tc>
      </w:tr>
      <w:tr>
        <w:tc>
          <w:tcPr>
            <w:tcW w:w="4819" w:type="dxa"/>
            <w:vAlign w:val="top"/>
          </w:tcPr>
          <w:p>
            <w:pPr>
              <w:spacing w:before="20" w:after="20"/>
            </w:pPr>
            <w:r>
              <w:rPr>
                <w:sz w:val="21"/>
                <w:szCs w:val="21"/>
              </w:rPr>
              <w:t xml:space="preserve">Worker-driven execution evidence</w:t>
            </w:r>
          </w:p>
        </w:tc>
        <w:tc>
          <w:tcPr>
            <w:tcW w:w="4819" w:type="dxa"/>
            <w:vAlign w:val="top"/>
          </w:tcPr>
          <w:p>
            <w:pPr>
              <w:spacing w:before="20" w:after="20"/>
            </w:pPr>
            <w:r>
              <w:rPr>
                <w:rFonts w:ascii="Consolas" w:hAnsi="Consolas"/>
                <w:sz w:val="21"/>
                <w:szCs w:val="21"/>
              </w:rPr>
              <w:t xml:space="preserve">05_Test_Evidence/worker-run/</w:t>
            </w:r>
          </w:p>
        </w:tc>
      </w:tr>
      <w:tr>
        <w:tc>
          <w:tcPr>
            <w:tcW w:w="4819" w:type="dxa"/>
            <w:vAlign w:val="top"/>
          </w:tcPr>
          <w:p>
            <w:pPr>
              <w:spacing w:before="20" w:after="20"/>
            </w:pPr>
            <w:r>
              <w:rPr>
                <w:sz w:val="21"/>
                <w:szCs w:val="21"/>
              </w:rPr>
              <w:t xml:space="preserve">Repository links</w:t>
            </w:r>
          </w:p>
        </w:tc>
        <w:tc>
          <w:tcPr>
            <w:tcW w:w="4819" w:type="dxa"/>
            <w:vAlign w:val="top"/>
          </w:tcPr>
          <w:p>
            <w:pPr>
              <w:spacing w:before="20" w:after="20"/>
            </w:pPr>
            <w:r>
              <w:rPr>
                <w:sz w:val="21"/>
                <w:szCs w:val="21"/>
              </w:rPr>
              <w:t xml:space="preserve">https://github.com/XieQiBin0490/camunda-hospital-referral-group - the repository documents are also included in this submission as </w:t>
            </w:r>
            <w:r>
              <w:rPr>
                <w:rFonts w:ascii="Consolas" w:hAnsi="Consolas"/>
                <w:sz w:val="21"/>
                <w:szCs w:val="21"/>
              </w:rPr>
              <w:t xml:space="preserve">08_Repository_Documents/</w:t>
            </w:r>
          </w:p>
        </w:tc>
      </w:tr>
    </w:tbl>
    <w:p>
      <w:pPr>
        <w:spacing w:after="0"/>
      </w:pP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lang w:val="en-GB"/>
      </w:rPr>
    </w:rPrDefault>
    <w:pPrDefault>
      <w:pPr>
        <w:spacing w:after="120" w:line="264" w:lineRule="auto"/>
      </w:pPr>
    </w:pPrDefault>
  </w:docDefaults>
  <w:style w:type="paragraph" w:default="1" w:styleId="Normal">
    <w:name w:val="Normal"/>
  </w:style>
  <w:style w:type="paragraph" w:styleId="Title">
    <w:name w:val="Title"/>
    <w:basedOn w:val="Normal"/>
    <w:pPr>
      <w:spacing w:before="0" w:after="240"/>
      <w:outlineLvl w:val="0"/>
    </w:pPr>
    <w:rPr>
      <w:b/>
      <w:sz w:val="44"/>
      <w:szCs w:val="44"/>
      <w:color w:val="1F3864"/>
    </w:rPr>
  </w:style>
  <w:style w:type="paragraph" w:styleId="Heading1">
    <w:name w:val="heading 1"/>
    <w:basedOn w:val="Normal"/>
    <w:next w:val="Normal"/>
    <w:pPr>
      <w:keepNext/>
      <w:spacing w:before="320" w:after="160"/>
      <w:outlineLvl w:val="0"/>
    </w:pPr>
    <w:rPr>
      <w:b/>
      <w:color w:val="1F3864"/>
      <w:sz w:val="32"/>
      <w:szCs w:val="32"/>
    </w:rPr>
  </w:style>
  <w:style w:type="paragraph" w:styleId="Heading2">
    <w:name w:val="heading 2"/>
    <w:basedOn w:val="Normal"/>
    <w:next w:val="Normal"/>
    <w:pPr>
      <w:keepNext/>
      <w:spacing w:before="280" w:after="140"/>
      <w:outlineLvl w:val="1"/>
    </w:pPr>
    <w:rPr>
      <w:b/>
      <w:color w:val="2E5496"/>
      <w:sz w:val="26"/>
      <w:szCs w:val="26"/>
    </w:rPr>
  </w:style>
  <w:style w:type="paragraph" w:styleId="Heading3">
    <w:name w:val="heading 3"/>
    <w:basedOn w:val="Normal"/>
    <w:next w:val="Normal"/>
    <w:pPr>
      <w:keepNext/>
      <w:spacing w:before="240" w:after="120"/>
      <w:outlineLvl w:val="2"/>
    </w:pPr>
    <w:rPr>
      <w:b/>
      <w:color w:val="2E5496"/>
      <w:sz w:val="23"/>
      <w:szCs w:val="23"/>
    </w:rPr>
  </w:style>
  <w:style w:type="paragraph" w:styleId="Heading4">
    <w:name w:val="heading 4"/>
    <w:basedOn w:val="Normal"/>
    <w:next w:val="Normal"/>
    <w:pPr>
      <w:keepNext/>
      <w:spacing w:before="200" w:after="100"/>
      <w:outlineLvl w:val="3"/>
    </w:pPr>
    <w:rPr>
      <w:b/>
      <w:color w:val="404040"/>
      <w:sz w:val="21"/>
      <w:szCs w:val="21"/>
    </w:rPr>
  </w:style>
  <w:style w:type="paragraph" w:styleId="ListBullet">
    <w:name w:val="List Bullet"/>
    <w:basedOn w:val="Normal"/>
    <w:pPr>
      <w:ind w:left="420" w:hanging="240"/>
      <w:spacing w:after="40"/>
    </w:pPr>
  </w:style>
  <w:style w:type="paragraph" w:styleId="ListNumber">
    <w:name w:val="List Number"/>
    <w:basedOn w:val="Normal"/>
    <w:pPr>
      <w:ind w:left="420" w:hanging="240"/>
      <w:spacing w:after="40"/>
    </w:pPr>
  </w:style>
  <w:style w:type="paragraph" w:styleId="Quote">
    <w:name w:val="Quote"/>
    <w:basedOn w:val="Normal"/>
    <w:pPr>
      <w:ind w:left="560"/>
    </w:pPr>
    <w:rPr>
      <w:i/>
      <w:color w:val="595959"/>
    </w:rPr>
  </w:style>
  <w:style w:type="paragraph" w:styleId="Code">
    <w:name w:val="Code"/>
    <w:basedOn w:val="Normal"/>
    <w:pPr>
      <w:spacing w:after="0" w:line="240" w:lineRule="auto"/>
      <w:ind w:left="120"/>
    </w:pPr>
    <w:rPr>
      <w:rFonts w:ascii="Consolas" w:hAnsi="Consolas"/>
      <w:sz w:val="15"/>
    </w:rPr>
  </w:style>
  <w:style w:type="table" w:styleId="TableGrid">
    <w:name w:val="Table Grid"/>
    <w:tblPr>
      <w:tblBorders>
        <w:top w:val="single" w:sz="6" w:color="808080"/>
        <w:left w:val="single" w:sz="6" w:color="808080"/>
        <w:bottom w:val="single" w:sz="6" w:color="808080"/>
        <w:right w:val="single" w:sz="6" w:color="808080"/>
        <w:insideH w:val="single" w:sz="6" w:color="808080"/>
        <w:insideV w:val="single" w:sz="6" w:color="80808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06-appendices</dc:title>
  <dc:creator>UFCEP4-0-3 group</dc:creator>
  <cp:lastModifiedBy>UFCEP4-0-3 group</cp:lastModifiedBy>
</cp:coreProperties>
</file>