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pPr>
      <w:r>
        <w:rPr>
          <w:b/>
          <w:color w:val="1F3864"/>
          <w:sz w:val="68"/>
        </w:rPr>
        <w:t>Portfolio</w:t>
      </w:r>
    </w:p>
    <w:p>
      <w:pPr>
        <w:spacing w:after="280"/>
      </w:pPr>
      <w:r>
        <w:rPr>
          <w:color w:val="1F3864"/>
          <w:sz w:val="28"/>
        </w:rPr>
        <w:t>Initial release of the Hospital Patient Referral, Treatment and Administration System</w:t>
      </w:r>
    </w:p>
    <w:p>
      <w:r>
        <w:rPr>
          <w:b w:val="0"/>
          <w:i w:val="0"/>
        </w:rPr>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381"/>
        <w:gridCol w:w="7257"/>
      </w:tblGrid>
      <w:tr>
        <w:trPr>
          <w:tblHeader w:val="true"/>
        </w:trPr>
        <w:tc>
          <w:tcPr>
            <w:tcW w:type="dxa" w:w="2381"/>
            <w:shd w:val="clear" w:color="auto" w:fill="1F3864"/>
          </w:tcPr>
          <w:p>
            <w:pPr>
              <w:spacing w:after="20"/>
            </w:pPr>
            <w:r/>
            <w:r>
              <w:rPr>
                <w:b/>
                <w:color w:val="FFFFFF"/>
                <w:sz w:val="19"/>
              </w:rPr>
              <w:t>Item</w:t>
            </w:r>
          </w:p>
        </w:tc>
        <w:tc>
          <w:tcPr>
            <w:tcW w:type="dxa" w:w="7257"/>
            <w:shd w:val="clear" w:color="auto" w:fill="1F3864"/>
          </w:tcPr>
          <w:p>
            <w:pPr>
              <w:spacing w:after="20"/>
            </w:pPr>
            <w:r/>
            <w:r>
              <w:rPr>
                <w:b/>
                <w:color w:val="FFFFFF"/>
                <w:sz w:val="19"/>
              </w:rPr>
              <w:t>Detail</w:t>
            </w:r>
          </w:p>
        </w:tc>
      </w:tr>
      <w:tr>
        <w:trPr>
          <w:cantSplit w:val="true"/>
        </w:trPr>
        <w:tc>
          <w:tcPr>
            <w:tcW w:type="dxa" w:w="2381"/>
          </w:tcPr>
          <w:p>
            <w:pPr>
              <w:spacing w:after="20"/>
            </w:pPr>
            <w:r/>
            <w:r>
              <w:rPr>
                <w:sz w:val="19"/>
              </w:rPr>
              <w:t>Module</w:t>
            </w:r>
          </w:p>
        </w:tc>
        <w:tc>
          <w:tcPr>
            <w:tcW w:type="dxa" w:w="7257"/>
          </w:tcPr>
          <w:p>
            <w:pPr>
              <w:spacing w:after="20"/>
            </w:pPr>
            <w:r/>
            <w:r>
              <w:rPr>
                <w:sz w:val="19"/>
              </w:rPr>
              <w:t>UFCEP6-0-3 Advanced Information Systems Development</w:t>
            </w:r>
          </w:p>
        </w:tc>
      </w:tr>
      <w:tr>
        <w:trPr>
          <w:cantSplit w:val="true"/>
        </w:trPr>
        <w:tc>
          <w:tcPr>
            <w:tcW w:type="dxa" w:w="2381"/>
            <w:shd w:val="clear" w:color="auto" w:fill="EEF2F8"/>
          </w:tcPr>
          <w:p>
            <w:pPr>
              <w:spacing w:after="20"/>
            </w:pPr>
            <w:r/>
            <w:r>
              <w:rPr>
                <w:sz w:val="19"/>
              </w:rPr>
              <w:t>Assessment</w:t>
            </w:r>
          </w:p>
        </w:tc>
        <w:tc>
          <w:tcPr>
            <w:tcW w:type="dxa" w:w="7257"/>
            <w:shd w:val="clear" w:color="auto" w:fill="EEF2F8"/>
          </w:tcPr>
          <w:p>
            <w:pPr>
              <w:spacing w:after="20"/>
            </w:pPr>
            <w:r/>
            <w:r>
              <w:rPr>
                <w:sz w:val="19"/>
              </w:rPr>
              <w:t>Portfolio (50% of the unit) — initial release, ready for client review</w:t>
            </w:r>
          </w:p>
        </w:tc>
      </w:tr>
      <w:tr>
        <w:trPr>
          <w:cantSplit w:val="true"/>
        </w:trPr>
        <w:tc>
          <w:tcPr>
            <w:tcW w:type="dxa" w:w="2381"/>
          </w:tcPr>
          <w:p>
            <w:pPr>
              <w:spacing w:after="20"/>
            </w:pPr>
            <w:r/>
            <w:r>
              <w:rPr>
                <w:sz w:val="19"/>
              </w:rPr>
              <w:t>School</w:t>
            </w:r>
          </w:p>
        </w:tc>
        <w:tc>
          <w:tcPr>
            <w:tcW w:type="dxa" w:w="7257"/>
          </w:tcPr>
          <w:p>
            <w:pPr>
              <w:spacing w:after="20"/>
            </w:pPr>
            <w:r/>
            <w:r>
              <w:rPr>
                <w:sz w:val="19"/>
              </w:rPr>
              <w:t>School of Computing and Creative Technologies, UWE Bristol</w:t>
            </w:r>
          </w:p>
        </w:tc>
      </w:tr>
      <w:tr>
        <w:trPr>
          <w:cantSplit w:val="true"/>
        </w:trPr>
        <w:tc>
          <w:tcPr>
            <w:tcW w:type="dxa" w:w="2381"/>
            <w:shd w:val="clear" w:color="auto" w:fill="EEF2F8"/>
          </w:tcPr>
          <w:p>
            <w:pPr>
              <w:spacing w:after="20"/>
            </w:pPr>
            <w:r/>
            <w:r>
              <w:rPr>
                <w:sz w:val="19"/>
              </w:rPr>
              <w:t>Group</w:t>
            </w:r>
          </w:p>
        </w:tc>
        <w:tc>
          <w:tcPr>
            <w:tcW w:type="dxa" w:w="7257"/>
            <w:shd w:val="clear" w:color="auto" w:fill="EEF2F8"/>
          </w:tcPr>
          <w:p>
            <w:pPr>
              <w:spacing w:after="20"/>
            </w:pPr>
            <w:r/>
            <w:r>
              <w:rPr>
                <w:sz w:val="19"/>
              </w:rPr>
              <w:t>max, finn, henry, peter (four members; group size agreed with the tutor)</w:t>
            </w:r>
          </w:p>
        </w:tc>
      </w:tr>
      <w:tr>
        <w:trPr>
          <w:cantSplit w:val="true"/>
        </w:trPr>
        <w:tc>
          <w:tcPr>
            <w:tcW w:type="dxa" w:w="2381"/>
          </w:tcPr>
          <w:p>
            <w:pPr>
              <w:spacing w:after="20"/>
            </w:pPr>
            <w:r/>
            <w:r>
              <w:rPr>
                <w:sz w:val="19"/>
              </w:rPr>
              <w:t>Submission</w:t>
            </w:r>
          </w:p>
        </w:tc>
        <w:tc>
          <w:tcPr>
            <w:tcW w:type="dxa" w:w="7257"/>
          </w:tcPr>
          <w:p>
            <w:pPr>
              <w:spacing w:after="20"/>
            </w:pPr>
            <w:r/>
            <w:r>
              <w:rPr>
                <w:sz w:val="19"/>
              </w:rPr>
              <w:t>Blackboard, group submission (no 48-hour grace period)</w:t>
            </w:r>
          </w:p>
        </w:tc>
      </w:tr>
      <w:tr>
        <w:trPr>
          <w:cantSplit w:val="true"/>
        </w:trPr>
        <w:tc>
          <w:tcPr>
            <w:tcW w:type="dxa" w:w="2381"/>
            <w:shd w:val="clear" w:color="auto" w:fill="EEF2F8"/>
          </w:tcPr>
          <w:p>
            <w:pPr>
              <w:spacing w:after="20"/>
            </w:pPr>
            <w:r/>
            <w:r>
              <w:rPr>
                <w:sz w:val="19"/>
              </w:rPr>
              <w:t>Repository</w:t>
            </w:r>
          </w:p>
        </w:tc>
        <w:tc>
          <w:tcPr>
            <w:tcW w:type="dxa" w:w="7257"/>
            <w:shd w:val="clear" w:color="auto" w:fill="EEF2F8"/>
          </w:tcPr>
          <w:p>
            <w:pPr>
              <w:spacing w:after="20"/>
            </w:pPr>
            <w:r/>
            <w:r>
              <w:rPr>
                <w:sz w:val="19"/>
              </w:rPr>
              <w:t>https://github.com/XieQiBin0490/camunda-hospital-referral-group</w:t>
            </w:r>
          </w:p>
        </w:tc>
      </w:tr>
      <w:tr>
        <w:trPr>
          <w:cantSplit w:val="true"/>
        </w:trPr>
        <w:tc>
          <w:tcPr>
            <w:tcW w:type="dxa" w:w="2381"/>
          </w:tcPr>
          <w:p>
            <w:pPr>
              <w:spacing w:after="20"/>
            </w:pPr>
            <w:r/>
            <w:r>
              <w:rPr>
                <w:sz w:val="19"/>
              </w:rPr>
              <w:t>Version submitted</w:t>
            </w:r>
          </w:p>
        </w:tc>
        <w:tc>
          <w:tcPr>
            <w:tcW w:type="dxa" w:w="7257"/>
          </w:tcPr>
          <w:p>
            <w:pPr>
              <w:spacing w:after="20"/>
            </w:pPr>
            <w:r/>
            <w:r>
              <w:rPr>
                <w:sz w:val="19"/>
              </w:rPr>
              <w:t>tag p6-submission</w:t>
            </w:r>
          </w:p>
        </w:tc>
      </w:tr>
      <w:tr>
        <w:trPr>
          <w:cantSplit w:val="true"/>
        </w:trPr>
        <w:tc>
          <w:tcPr>
            <w:tcW w:type="dxa" w:w="2381"/>
            <w:shd w:val="clear" w:color="auto" w:fill="EEF2F8"/>
          </w:tcPr>
          <w:p>
            <w:pPr>
              <w:spacing w:after="20"/>
            </w:pPr>
            <w:r/>
            <w:r>
              <w:rPr>
                <w:sz w:val="19"/>
              </w:rPr>
              <w:t>Review snapshots</w:t>
            </w:r>
          </w:p>
        </w:tc>
        <w:tc>
          <w:tcPr>
            <w:tcW w:type="dxa" w:w="7257"/>
            <w:shd w:val="clear" w:color="auto" w:fill="EEF2F8"/>
          </w:tcPr>
          <w:p>
            <w:pPr>
              <w:spacing w:after="20"/>
            </w:pPr>
            <w:r/>
            <w:r>
              <w:rPr>
                <w:sz w:val="19"/>
              </w:rPr>
              <w:t>tag sr1, commit 95bf652 (increment at SR1, 17 September 2026); tag sr2, commit 772d928 (initial release with the 26 September acceptance evidence)</w:t>
            </w:r>
          </w:p>
        </w:tc>
      </w:tr>
      <w:tr>
        <w:trPr>
          <w:cantSplit w:val="true"/>
        </w:trPr>
        <w:tc>
          <w:tcPr>
            <w:tcW w:type="dxa" w:w="2381"/>
          </w:tcPr>
          <w:p>
            <w:pPr>
              <w:spacing w:after="20"/>
            </w:pPr>
            <w:r/>
            <w:r>
              <w:rPr>
                <w:sz w:val="19"/>
              </w:rPr>
              <w:t>Demonstration</w:t>
            </w:r>
          </w:p>
        </w:tc>
        <w:tc>
          <w:tcPr>
            <w:tcW w:type="dxa" w:w="7257"/>
          </w:tcPr>
          <w:p>
            <w:pPr>
              <w:spacing w:after="20"/>
            </w:pPr>
            <w:r/>
            <w:r>
              <w:rPr>
                <w:sz w:val="19"/>
              </w:rPr>
              <w:t>Demonstration of the working initial release at the scheduled session</w:t>
            </w:r>
          </w:p>
        </w:tc>
      </w:tr>
    </w:tbl>
    <w:p>
      <w:pPr>
        <w:spacing w:after="40"/>
      </w:pPr>
    </w:p>
    <w:tbl>
      <w:tblPr>
        <w:tblW w:type="auto" w:w="0"/>
        <w:jc w:val="center"/>
        <w:tblLook w:firstColumn="1" w:firstRow="1" w:lastColumn="0" w:lastRow="0" w:noHBand="0" w:noVBand="1" w:val="04A0"/>
        <w:tblLayout w:type="autofit"/>
        <w:tblCellMar>
          <w:top w:w="70" w:type="dxa"/>
          <w:left w:w="110" w:type="dxa"/>
          <w:bottom w:w="70" w:type="dxa"/>
          <w:right w:w="110" w:type="dxa"/>
        </w:tblCellMar>
      </w:tblPr>
      <w:tblGrid>
        <w:gridCol w:w="9638"/>
      </w:tblGrid>
      <w:tr>
        <w:tc>
          <w:tcPr>
            <w:tcW w:type="dxa" w:w="9638"/>
            <w:shd w:val="clear" w:color="auto" w:fill="FFF4E5"/>
          </w:tcPr>
          <w:p>
            <w:r/>
            <w:r>
              <w:rPr>
                <w:sz w:val="18"/>
              </w:rPr>
              <w:t>Release identity used throughout this pack. The artefacts described are the initial release of the system (build 1.0), snapshotted as tag sr2: the four models, 68 Camunda Forms and six deployed process definitions, executed on 26 September 2026 (18 of 18 acceptance cases). One form, form-register-referral-landscape, was added after that snapshot with the S1 gateway fix recorded as DEF-19, so the repository at the submitted version contains 69 forms. Where a count appears, the text says whether it is the sr2 snapshot or the submitted version; neither is an error.</w:t>
            </w:r>
          </w:p>
        </w:tc>
      </w:tr>
    </w:tbl>
    <w:p>
      <w:pPr>
        <w:spacing w:after="40"/>
      </w:pPr>
    </w:p>
    <w:p>
      <w:r>
        <w:rPr>
          <w:b w:val="0"/>
          <w:i w:val="0"/>
        </w:rPr>
        <w:t>Table numbers run continuously across the whole portfolio, so a section document (one criterion on its own) starts at the number its section has reached. That is deliberate: the numbering is the same in the merged file and in the section files, so a reference to Table 20 means the same table wherever it is read.</w:t>
      </w:r>
    </w:p>
    <w:p>
      <w:pPr>
        <w:pStyle w:val="Heading2"/>
      </w:pPr>
      <w:r>
        <w:t>Contents</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907"/>
        <w:gridCol w:w="4195"/>
        <w:gridCol w:w="3402"/>
        <w:gridCol w:w="1134"/>
      </w:tblGrid>
      <w:tr>
        <w:trPr>
          <w:tblHeader w:val="true"/>
        </w:trPr>
        <w:tc>
          <w:tcPr>
            <w:tcW w:type="dxa" w:w="907"/>
            <w:shd w:val="clear" w:color="auto" w:fill="1F3864"/>
          </w:tcPr>
          <w:p>
            <w:pPr>
              <w:spacing w:after="20"/>
            </w:pPr>
            <w:r/>
            <w:r>
              <w:rPr>
                <w:b/>
                <w:color w:val="FFFFFF"/>
                <w:sz w:val="18"/>
              </w:rPr>
              <w:t>Section</w:t>
            </w:r>
          </w:p>
        </w:tc>
        <w:tc>
          <w:tcPr>
            <w:tcW w:type="dxa" w:w="4195"/>
            <w:shd w:val="clear" w:color="auto" w:fill="1F3864"/>
          </w:tcPr>
          <w:p>
            <w:pPr>
              <w:spacing w:after="20"/>
            </w:pPr>
            <w:r/>
            <w:r>
              <w:rPr>
                <w:b/>
                <w:color w:val="FFFFFF"/>
                <w:sz w:val="18"/>
              </w:rPr>
              <w:t>Deliverable</w:t>
            </w:r>
          </w:p>
        </w:tc>
        <w:tc>
          <w:tcPr>
            <w:tcW w:type="dxa" w:w="3402"/>
            <w:shd w:val="clear" w:color="auto" w:fill="1F3864"/>
          </w:tcPr>
          <w:p>
            <w:pPr>
              <w:spacing w:after="20"/>
            </w:pPr>
            <w:r/>
            <w:r>
              <w:rPr>
                <w:b/>
                <w:color w:val="FFFFFF"/>
                <w:sz w:val="18"/>
              </w:rPr>
              <w:t>Criterion</w:t>
            </w:r>
          </w:p>
        </w:tc>
        <w:tc>
          <w:tcPr>
            <w:tcW w:type="dxa" w:w="1134"/>
            <w:shd w:val="clear" w:color="auto" w:fill="1F3864"/>
          </w:tcPr>
          <w:p>
            <w:pPr>
              <w:spacing w:after="20"/>
            </w:pPr>
            <w:r/>
            <w:r>
              <w:rPr>
                <w:b/>
                <w:color w:val="FFFFFF"/>
                <w:sz w:val="18"/>
              </w:rPr>
              <w:t>Weight</w:t>
            </w:r>
          </w:p>
        </w:tc>
      </w:tr>
      <w:tr>
        <w:trPr>
          <w:cantSplit w:val="true"/>
        </w:trPr>
        <w:tc>
          <w:tcPr>
            <w:tcW w:type="dxa" w:w="907"/>
          </w:tcPr>
          <w:p>
            <w:pPr>
              <w:spacing w:after="20"/>
            </w:pPr>
            <w:r/>
            <w:r>
              <w:rPr>
                <w:sz w:val="18"/>
              </w:rPr>
              <w:t>1</w:t>
            </w:r>
          </w:p>
        </w:tc>
        <w:tc>
          <w:tcPr>
            <w:tcW w:type="dxa" w:w="4195"/>
          </w:tcPr>
          <w:p>
            <w:pPr>
              <w:spacing w:after="20"/>
            </w:pPr>
            <w:r/>
            <w:r>
              <w:rPr>
                <w:sz w:val="18"/>
              </w:rPr>
              <w:t>Operational BPMN model</w:t>
            </w:r>
          </w:p>
        </w:tc>
        <w:tc>
          <w:tcPr>
            <w:tcW w:type="dxa" w:w="3402"/>
          </w:tcPr>
          <w:p>
            <w:pPr>
              <w:spacing w:after="20"/>
            </w:pPr>
            <w:r/>
            <w:r>
              <w:rPr>
                <w:sz w:val="18"/>
              </w:rPr>
              <w:t>Operational BPMN (LO2, LO4)</w:t>
            </w:r>
          </w:p>
        </w:tc>
        <w:tc>
          <w:tcPr>
            <w:tcW w:type="dxa" w:w="1134"/>
          </w:tcPr>
          <w:p>
            <w:pPr>
              <w:spacing w:after="20"/>
            </w:pPr>
            <w:r/>
            <w:r>
              <w:rPr>
                <w:sz w:val="18"/>
              </w:rPr>
              <w:t>15%</w:t>
            </w:r>
          </w:p>
        </w:tc>
      </w:tr>
      <w:tr>
        <w:trPr>
          <w:cantSplit w:val="true"/>
        </w:trPr>
        <w:tc>
          <w:tcPr>
            <w:tcW w:type="dxa" w:w="907"/>
            <w:shd w:val="clear" w:color="auto" w:fill="EEF2F8"/>
          </w:tcPr>
          <w:p>
            <w:pPr>
              <w:spacing w:after="20"/>
            </w:pPr>
            <w:r/>
            <w:r>
              <w:rPr>
                <w:sz w:val="18"/>
              </w:rPr>
              <w:t>2</w:t>
            </w:r>
          </w:p>
        </w:tc>
        <w:tc>
          <w:tcPr>
            <w:tcW w:type="dxa" w:w="4195"/>
            <w:shd w:val="clear" w:color="auto" w:fill="EEF2F8"/>
          </w:tcPr>
          <w:p>
            <w:pPr>
              <w:spacing w:after="20"/>
            </w:pPr>
            <w:r/>
            <w:r>
              <w:rPr>
                <w:sz w:val="18"/>
              </w:rPr>
              <w:t>External workers</w:t>
            </w:r>
          </w:p>
        </w:tc>
        <w:tc>
          <w:tcPr>
            <w:tcW w:type="dxa" w:w="3402"/>
            <w:shd w:val="clear" w:color="auto" w:fill="EEF2F8"/>
          </w:tcPr>
          <w:p>
            <w:pPr>
              <w:spacing w:after="20"/>
            </w:pPr>
            <w:r/>
            <w:r>
              <w:rPr>
                <w:sz w:val="18"/>
              </w:rPr>
              <w:t>External workers (LO2, LO4, LO5)</w:t>
            </w:r>
          </w:p>
        </w:tc>
        <w:tc>
          <w:tcPr>
            <w:tcW w:type="dxa" w:w="1134"/>
            <w:shd w:val="clear" w:color="auto" w:fill="EEF2F8"/>
          </w:tcPr>
          <w:p>
            <w:pPr>
              <w:spacing w:after="20"/>
            </w:pPr>
            <w:r/>
            <w:r>
              <w:rPr>
                <w:sz w:val="18"/>
              </w:rPr>
              <w:t>15%</w:t>
            </w:r>
          </w:p>
        </w:tc>
      </w:tr>
      <w:tr>
        <w:trPr>
          <w:cantSplit w:val="true"/>
        </w:trPr>
        <w:tc>
          <w:tcPr>
            <w:tcW w:type="dxa" w:w="907"/>
          </w:tcPr>
          <w:p>
            <w:pPr>
              <w:spacing w:after="20"/>
            </w:pPr>
            <w:r/>
            <w:r>
              <w:rPr>
                <w:sz w:val="18"/>
              </w:rPr>
              <w:t>3</w:t>
            </w:r>
          </w:p>
        </w:tc>
        <w:tc>
          <w:tcPr>
            <w:tcW w:type="dxa" w:w="4195"/>
          </w:tcPr>
          <w:p>
            <w:pPr>
              <w:spacing w:after="20"/>
            </w:pPr>
            <w:r/>
            <w:r>
              <w:rPr>
                <w:sz w:val="18"/>
              </w:rPr>
              <w:t>Camunda Forms</w:t>
            </w:r>
          </w:p>
        </w:tc>
        <w:tc>
          <w:tcPr>
            <w:tcW w:type="dxa" w:w="3402"/>
          </w:tcPr>
          <w:p>
            <w:pPr>
              <w:spacing w:after="20"/>
            </w:pPr>
            <w:r/>
            <w:r>
              <w:rPr>
                <w:sz w:val="18"/>
              </w:rPr>
              <w:t>Camunda Forms (LO1, LO4, LO2, LO5)</w:t>
            </w:r>
          </w:p>
        </w:tc>
        <w:tc>
          <w:tcPr>
            <w:tcW w:type="dxa" w:w="1134"/>
          </w:tcPr>
          <w:p>
            <w:pPr>
              <w:spacing w:after="20"/>
            </w:pPr>
            <w:r/>
            <w:r>
              <w:rPr>
                <w:sz w:val="18"/>
              </w:rPr>
              <w:t>15%</w:t>
            </w:r>
          </w:p>
        </w:tc>
      </w:tr>
      <w:tr>
        <w:trPr>
          <w:cantSplit w:val="true"/>
        </w:trPr>
        <w:tc>
          <w:tcPr>
            <w:tcW w:type="dxa" w:w="907"/>
            <w:shd w:val="clear" w:color="auto" w:fill="EEF2F8"/>
          </w:tcPr>
          <w:p>
            <w:pPr>
              <w:spacing w:after="20"/>
            </w:pPr>
            <w:r/>
            <w:r>
              <w:rPr>
                <w:sz w:val="18"/>
              </w:rPr>
              <w:t>4</w:t>
            </w:r>
          </w:p>
        </w:tc>
        <w:tc>
          <w:tcPr>
            <w:tcW w:type="dxa" w:w="4195"/>
            <w:shd w:val="clear" w:color="auto" w:fill="EEF2F8"/>
          </w:tcPr>
          <w:p>
            <w:pPr>
              <w:spacing w:after="20"/>
            </w:pPr>
            <w:r/>
            <w:r>
              <w:rPr>
                <w:sz w:val="18"/>
              </w:rPr>
              <w:t>Project and test plan</w:t>
            </w:r>
          </w:p>
        </w:tc>
        <w:tc>
          <w:tcPr>
            <w:tcW w:type="dxa" w:w="3402"/>
            <w:shd w:val="clear" w:color="auto" w:fill="EEF2F8"/>
          </w:tcPr>
          <w:p>
            <w:pPr>
              <w:spacing w:after="20"/>
            </w:pPr>
            <w:r/>
            <w:r>
              <w:rPr>
                <w:sz w:val="18"/>
              </w:rPr>
              <w:t>Project &amp; Test Plan (LO3, LO5)</w:t>
            </w:r>
          </w:p>
        </w:tc>
        <w:tc>
          <w:tcPr>
            <w:tcW w:type="dxa" w:w="1134"/>
            <w:shd w:val="clear" w:color="auto" w:fill="EEF2F8"/>
          </w:tcPr>
          <w:p>
            <w:pPr>
              <w:spacing w:after="20"/>
            </w:pPr>
            <w:r/>
            <w:r>
              <w:rPr>
                <w:sz w:val="18"/>
              </w:rPr>
              <w:t>10%</w:t>
            </w:r>
          </w:p>
        </w:tc>
      </w:tr>
      <w:tr>
        <w:trPr>
          <w:cantSplit w:val="true"/>
        </w:trPr>
        <w:tc>
          <w:tcPr>
            <w:tcW w:type="dxa" w:w="907"/>
          </w:tcPr>
          <w:p>
            <w:pPr>
              <w:spacing w:after="20"/>
            </w:pPr>
            <w:r/>
            <w:r>
              <w:rPr>
                <w:sz w:val="18"/>
              </w:rPr>
              <w:t>5</w:t>
            </w:r>
          </w:p>
        </w:tc>
        <w:tc>
          <w:tcPr>
            <w:tcW w:type="dxa" w:w="4195"/>
          </w:tcPr>
          <w:p>
            <w:pPr>
              <w:spacing w:after="20"/>
            </w:pPr>
            <w:r/>
            <w:r>
              <w:rPr>
                <w:sz w:val="18"/>
              </w:rPr>
              <w:t>Marked standups and sprint reviews</w:t>
            </w:r>
          </w:p>
        </w:tc>
        <w:tc>
          <w:tcPr>
            <w:tcW w:type="dxa" w:w="3402"/>
          </w:tcPr>
          <w:p>
            <w:pPr>
              <w:spacing w:after="20"/>
            </w:pPr>
            <w:r/>
            <w:r>
              <w:rPr>
                <w:sz w:val="18"/>
              </w:rPr>
              <w:t>SU1 5%, SU2 5%, SR1 10%, SR2 10%</w:t>
            </w:r>
          </w:p>
        </w:tc>
        <w:tc>
          <w:tcPr>
            <w:tcW w:type="dxa" w:w="1134"/>
          </w:tcPr>
          <w:p>
            <w:pPr>
              <w:spacing w:after="20"/>
            </w:pPr>
            <w:r/>
            <w:r>
              <w:rPr>
                <w:sz w:val="18"/>
              </w:rPr>
              <w:t>30%</w:t>
            </w:r>
          </w:p>
        </w:tc>
      </w:tr>
      <w:tr>
        <w:trPr>
          <w:cantSplit w:val="true"/>
        </w:trPr>
        <w:tc>
          <w:tcPr>
            <w:tcW w:type="dxa" w:w="907"/>
            <w:shd w:val="clear" w:color="auto" w:fill="EEF2F8"/>
          </w:tcPr>
          <w:p>
            <w:pPr>
              <w:spacing w:after="20"/>
            </w:pPr>
            <w:r/>
            <w:r>
              <w:rPr>
                <w:sz w:val="18"/>
              </w:rPr>
              <w:t>6</w:t>
            </w:r>
          </w:p>
        </w:tc>
        <w:tc>
          <w:tcPr>
            <w:tcW w:type="dxa" w:w="4195"/>
            <w:shd w:val="clear" w:color="auto" w:fill="EEF2F8"/>
          </w:tcPr>
          <w:p>
            <w:pPr>
              <w:spacing w:after="20"/>
            </w:pPr>
            <w:r/>
            <w:r>
              <w:rPr>
                <w:sz w:val="18"/>
              </w:rPr>
              <w:t>Demonstration</w:t>
            </w:r>
          </w:p>
        </w:tc>
        <w:tc>
          <w:tcPr>
            <w:tcW w:type="dxa" w:w="3402"/>
            <w:shd w:val="clear" w:color="auto" w:fill="EEF2F8"/>
          </w:tcPr>
          <w:p>
            <w:pPr>
              <w:spacing w:after="20"/>
            </w:pPr>
            <w:r/>
            <w:r>
              <w:rPr>
                <w:sz w:val="18"/>
              </w:rPr>
              <w:t>Demonstration (LO2, LO4, LO5)</w:t>
            </w:r>
          </w:p>
        </w:tc>
        <w:tc>
          <w:tcPr>
            <w:tcW w:type="dxa" w:w="1134"/>
            <w:shd w:val="clear" w:color="auto" w:fill="EEF2F8"/>
          </w:tcPr>
          <w:p>
            <w:pPr>
              <w:spacing w:after="20"/>
            </w:pPr>
            <w:r/>
            <w:r>
              <w:rPr>
                <w:sz w:val="18"/>
              </w:rPr>
              <w:t>15%</w:t>
            </w:r>
          </w:p>
        </w:tc>
      </w:tr>
      <w:tr>
        <w:trPr>
          <w:cantSplit w:val="true"/>
        </w:trPr>
        <w:tc>
          <w:tcPr>
            <w:tcW w:type="dxa" w:w="907"/>
          </w:tcPr>
          <w:p>
            <w:pPr>
              <w:spacing w:after="20"/>
            </w:pPr>
            <w:r/>
            <w:r>
              <w:rPr>
                <w:sz w:val="18"/>
              </w:rPr>
              <w:t>7</w:t>
            </w:r>
          </w:p>
        </w:tc>
        <w:tc>
          <w:tcPr>
            <w:tcW w:type="dxa" w:w="4195"/>
          </w:tcPr>
          <w:p>
            <w:pPr>
              <w:spacing w:after="20"/>
            </w:pPr>
            <w:r/>
            <w:r>
              <w:rPr>
                <w:sz w:val="18"/>
              </w:rPr>
              <w:t>Evidence index and references</w:t>
            </w:r>
          </w:p>
        </w:tc>
        <w:tc>
          <w:tcPr>
            <w:tcW w:type="dxa" w:w="3402"/>
          </w:tcPr>
          <w:p>
            <w:pPr>
              <w:spacing w:after="20"/>
            </w:pPr>
            <w:r/>
            <w:r>
              <w:rPr>
                <w:sz w:val="18"/>
              </w:rPr>
              <w:t>Supports every criterion above</w:t>
            </w:r>
          </w:p>
        </w:tc>
        <w:tc>
          <w:tcPr>
            <w:tcW w:type="dxa" w:w="1134"/>
          </w:tcPr>
          <w:p>
            <w:pPr>
              <w:spacing w:after="20"/>
            </w:pPr>
            <w:r/>
            <w:r>
              <w:rPr>
                <w:sz w:val="18"/>
              </w:rPr>
              <w:t>—</w:t>
            </w:r>
          </w:p>
        </w:tc>
      </w:tr>
    </w:tbl>
    <w:p>
      <w:pPr>
        <w:spacing w:after="40"/>
      </w:pPr>
    </w:p>
    <w:p>
      <w:pPr>
        <w:pStyle w:val="Heading2"/>
      </w:pPr>
      <w:r>
        <w:t>How this portfolio is organised</w:t>
      </w:r>
    </w:p>
    <w:p>
      <w:r>
        <w:rPr>
          <w:b w:val="0"/>
          <w:i w:val="0"/>
        </w:rPr>
        <w:t>One document per marking criterion, in the order of the marking scheme. Each document does three things: it states what was built, it points at the evidence that shows the thing works, and it states the limitations the group knows about. The rule applied throughout is that a claim without an evidence pointer is not made.</w:t>
      </w:r>
    </w:p>
    <w:p>
      <w:r>
        <w:rPr>
          <w:b w:val="0"/>
          <w:i w:val="0"/>
        </w:rPr>
        <w:t>Evidence pointers use repository paths and, where a run exists, the process instance key the engine itself issued, so any result can be re-read in Operate rather than taken on trust. Section 7 is an index from marking criterion to the evidence that answers it.</w:t>
      </w:r>
    </w:p>
    <w:p>
      <w:r>
        <w:rPr>
          <w:b w:val="0"/>
          <w:i w:val="0"/>
        </w:rPr>
        <w:t>Four kinds of evidence are kept separate, because they answer different questions: model validation (the file is well formed and lints clean), deployment (the engine accepted it), execution (instances reached the expected state), and inspection (a property is visible in the model or the code but was not executed). Where something was only inspected, it is labelled as such.</w:t>
      </w:r>
    </w:p>
    <w:p>
      <w:pPr>
        <w:pStyle w:val="Heading2"/>
      </w:pPr>
      <w:r>
        <w:t>Members and responsibilities</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020"/>
        <w:gridCol w:w="4762"/>
        <w:gridCol w:w="3855"/>
      </w:tblGrid>
      <w:tr>
        <w:trPr>
          <w:tblHeader w:val="true"/>
        </w:trPr>
        <w:tc>
          <w:tcPr>
            <w:tcW w:type="dxa" w:w="1020"/>
            <w:shd w:val="clear" w:color="auto" w:fill="1F3864"/>
          </w:tcPr>
          <w:p>
            <w:pPr>
              <w:spacing w:after="20"/>
            </w:pPr>
            <w:r/>
            <w:r>
              <w:rPr>
                <w:b/>
                <w:color w:val="FFFFFF"/>
                <w:sz w:val="18"/>
              </w:rPr>
              <w:t>Member</w:t>
            </w:r>
          </w:p>
        </w:tc>
        <w:tc>
          <w:tcPr>
            <w:tcW w:type="dxa" w:w="4762"/>
            <w:shd w:val="clear" w:color="auto" w:fill="1F3864"/>
          </w:tcPr>
          <w:p>
            <w:pPr>
              <w:spacing w:after="20"/>
            </w:pPr>
            <w:r/>
            <w:r>
              <w:rPr>
                <w:b/>
                <w:color w:val="FFFFFF"/>
                <w:sz w:val="18"/>
              </w:rPr>
              <w:t>First-owner responsibilities</w:t>
            </w:r>
          </w:p>
        </w:tc>
        <w:tc>
          <w:tcPr>
            <w:tcW w:type="dxa" w:w="3855"/>
            <w:shd w:val="clear" w:color="auto" w:fill="1F3864"/>
          </w:tcPr>
          <w:p>
            <w:pPr>
              <w:spacing w:after="20"/>
            </w:pPr>
            <w:r/>
            <w:r>
              <w:rPr>
                <w:b/>
                <w:color w:val="FFFFFF"/>
                <w:sz w:val="18"/>
              </w:rPr>
              <w:t>Second-owner support</w:t>
            </w:r>
          </w:p>
        </w:tc>
      </w:tr>
      <w:tr>
        <w:trPr>
          <w:cantSplit w:val="true"/>
        </w:trPr>
        <w:tc>
          <w:tcPr>
            <w:tcW w:type="dxa" w:w="1020"/>
          </w:tcPr>
          <w:p>
            <w:pPr>
              <w:spacing w:after="20"/>
            </w:pPr>
            <w:r/>
            <w:r>
              <w:rPr>
                <w:sz w:val="18"/>
              </w:rPr>
              <w:t>max</w:t>
            </w:r>
          </w:p>
        </w:tc>
        <w:tc>
          <w:tcPr>
            <w:tcW w:type="dxa" w:w="4762"/>
          </w:tcPr>
          <w:p>
            <w:pPr>
              <w:spacing w:after="20"/>
            </w:pPr>
            <w:r/>
            <w:r>
              <w:rPr>
                <w:sz w:val="18"/>
              </w:rPr>
              <w:t>Operational model, model integration, cross-pool message flows, deployment</w:t>
            </w:r>
          </w:p>
        </w:tc>
        <w:tc>
          <w:tcPr>
            <w:tcW w:type="dxa" w:w="3855"/>
          </w:tcPr>
          <w:p>
            <w:pPr>
              <w:spacing w:after="20"/>
            </w:pPr>
            <w:r/>
            <w:r>
              <w:rPr>
                <w:sz w:val="18"/>
              </w:rPr>
              <w:t>requirements traceability, evidence files</w:t>
            </w:r>
          </w:p>
        </w:tc>
      </w:tr>
      <w:tr>
        <w:trPr>
          <w:cantSplit w:val="true"/>
        </w:trPr>
        <w:tc>
          <w:tcPr>
            <w:tcW w:type="dxa" w:w="1020"/>
            <w:shd w:val="clear" w:color="auto" w:fill="EEF2F8"/>
          </w:tcPr>
          <w:p>
            <w:pPr>
              <w:spacing w:after="20"/>
            </w:pPr>
            <w:r/>
            <w:r>
              <w:rPr>
                <w:sz w:val="18"/>
              </w:rPr>
              <w:t>finn</w:t>
            </w:r>
          </w:p>
        </w:tc>
        <w:tc>
          <w:tcPr>
            <w:tcW w:type="dxa" w:w="4762"/>
            <w:shd w:val="clear" w:color="auto" w:fill="EEF2F8"/>
          </w:tcPr>
          <w:p>
            <w:pPr>
              <w:spacing w:after="20"/>
            </w:pPr>
            <w:r/>
            <w:r>
              <w:rPr>
                <w:sz w:val="18"/>
              </w:rPr>
              <w:t>External workers, failure handling and the data store</w:t>
            </w:r>
          </w:p>
        </w:tc>
        <w:tc>
          <w:tcPr>
            <w:tcW w:type="dxa" w:w="3855"/>
            <w:shd w:val="clear" w:color="auto" w:fill="EEF2F8"/>
          </w:tcPr>
          <w:p>
            <w:pPr>
              <w:spacing w:after="20"/>
            </w:pPr>
            <w:r/>
            <w:r>
              <w:rPr>
                <w:sz w:val="18"/>
              </w:rPr>
              <w:t>forms, worker configuration</w:t>
            </w:r>
          </w:p>
        </w:tc>
      </w:tr>
      <w:tr>
        <w:trPr>
          <w:cantSplit w:val="true"/>
        </w:trPr>
        <w:tc>
          <w:tcPr>
            <w:tcW w:type="dxa" w:w="1020"/>
          </w:tcPr>
          <w:p>
            <w:pPr>
              <w:spacing w:after="20"/>
            </w:pPr>
            <w:r/>
            <w:r>
              <w:rPr>
                <w:sz w:val="18"/>
              </w:rPr>
              <w:t>henry</w:t>
            </w:r>
          </w:p>
        </w:tc>
        <w:tc>
          <w:tcPr>
            <w:tcW w:type="dxa" w:w="4762"/>
          </w:tcPr>
          <w:p>
            <w:pPr>
              <w:spacing w:after="20"/>
            </w:pPr>
            <w:r/>
            <w:r>
              <w:rPr>
                <w:sz w:val="18"/>
              </w:rPr>
              <w:t>Requirements, traceability, variable-to-gateway contract, documentation</w:t>
            </w:r>
          </w:p>
        </w:tc>
        <w:tc>
          <w:tcPr>
            <w:tcW w:type="dxa" w:w="3855"/>
          </w:tcPr>
          <w:p>
            <w:pPr>
              <w:spacing w:after="20"/>
            </w:pPr>
            <w:r/>
            <w:r>
              <w:rPr>
                <w:sz w:val="18"/>
              </w:rPr>
              <w:t>model validation, evidence</w:t>
            </w:r>
          </w:p>
        </w:tc>
      </w:tr>
      <w:tr>
        <w:trPr>
          <w:cantSplit w:val="true"/>
        </w:trPr>
        <w:tc>
          <w:tcPr>
            <w:tcW w:type="dxa" w:w="1020"/>
            <w:shd w:val="clear" w:color="auto" w:fill="EEF2F8"/>
          </w:tcPr>
          <w:p>
            <w:pPr>
              <w:spacing w:after="20"/>
            </w:pPr>
            <w:r/>
            <w:r>
              <w:rPr>
                <w:sz w:val="18"/>
              </w:rPr>
              <w:t>peter</w:t>
            </w:r>
          </w:p>
        </w:tc>
        <w:tc>
          <w:tcPr>
            <w:tcW w:type="dxa" w:w="4762"/>
            <w:shd w:val="clear" w:color="auto" w:fill="EEF2F8"/>
          </w:tcPr>
          <w:p>
            <w:pPr>
              <w:spacing w:after="20"/>
            </w:pPr>
            <w:r/>
            <w:r>
              <w:rPr>
                <w:sz w:val="18"/>
              </w:rPr>
              <w:t>Camunda Forms, form validation, acceptance test harness and execution</w:t>
            </w:r>
          </w:p>
        </w:tc>
        <w:tc>
          <w:tcPr>
            <w:tcW w:type="dxa" w:w="3855"/>
            <w:shd w:val="clear" w:color="auto" w:fill="EEF2F8"/>
          </w:tcPr>
          <w:p>
            <w:pPr>
              <w:spacing w:after="20"/>
            </w:pPr>
            <w:r/>
            <w:r>
              <w:rPr>
                <w:sz w:val="18"/>
              </w:rPr>
              <w:t>deployment, worker tests</w:t>
            </w:r>
          </w:p>
        </w:tc>
      </w:tr>
    </w:tbl>
    <w:p>
      <w:pPr>
        <w:spacing w:after="40"/>
      </w:pPr>
    </w:p>
    <w:p>
      <w:r>
        <w:rPr>
          <w:b w:val="0"/>
          <w:i w:val="0"/>
        </w:rPr>
        <w:t>Every activity in the backlog carries a first owner and a second owner. The second owner keeps current enough to take the activity over; section 5 records where that handover was actually exercised.</w:t>
      </w:r>
    </w:p>
    <w:sectPr w:rsidR="00FC693F" w:rsidRPr="0006063C" w:rsidSect="00034616">
      <w:headerReference w:type="default" r:id="rId9"/>
      <w:footerReference w:type="default" r:id="rId10"/>
      <w:pgSz w:w="11906" w:h="16838"/>
      <w:pgMar w:top="1077" w:right="1134" w:bottom="107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Group 17  ·  page </w:t>
    </w:r>
    <w:r>
      <w:rPr>
        <w:color w:val="595959"/>
        <w:sz w:val="16"/>
      </w:rPr>
    </w:r>
    <w:fldSimple w:instr=" PAGE ">
      <w:r>
        <w:rPr>
          <w:sz w:val="16"/>
        </w:rPr>
        <w:t>1</w:t>
      </w:r>
    </w:fldSimple>
    <w:r>
      <w:rPr>
        <w:color w:val="595959"/>
        <w:sz w:val="16"/>
      </w:rPr>
      <w:t xml:space="preserve"> of </w:t>
    </w:r>
    <w:r>
      <w:rPr>
        <w:color w:val="595959"/>
        <w:sz w:val="16"/>
      </w:rPr>
    </w:r>
    <w:fldSimple w:instr=" NUMPAGES ">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color w:val="595959"/>
        <w:sz w:val="15"/>
      </w:rPr>
      <w:t>UFCEP6-0-3 Portfolio  |  Hospital Patient Referral, Treatment and Administration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val="0"/>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contents and how to read this portfolio</dc:title>
  <dc:subject>UFCEP6-0-3 Portfolio — cover</dc:subject>
  <dc:creator>UFCEP6-0-3 group</dc:creator>
  <cp:keywords/>
  <dc:description>Initial release portfolio, UFCEP6-0-3 Advanced Information Systems Development</dc:description>
  <cp:lastModifiedBy>UFCEP6-0-3 group</cp:lastModifiedBy>
  <cp:revision>1</cp:revision>
  <dcterms:created xsi:type="dcterms:W3CDTF">2013-12-23T23:15:00Z</dcterms:created>
  <dcterms:modified xsi:type="dcterms:W3CDTF">2013-12-23T23:15:00Z</dcterms:modified>
  <cp:category>Assessment submission</cp:category>
</cp:coreProperties>
</file>