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Operational BPMN model</w:t>
      </w:r>
    </w:p>
    <w:p>
      <w:r>
        <w:rPr>
          <w:b w:val="0"/>
          <w:i w:val="0"/>
        </w:rPr>
        <w:t>Criterion: Operational BPMN (15%). Learning outcomes LO2 and LO4.</w:t>
      </w:r>
    </w:p>
    <w:p>
      <w:r>
        <w:rPr>
          <w:b w:val="0"/>
          <w:i w:val="0"/>
        </w:rPr>
        <w:t>The deliverable is an executable BPMN model of the hospital referral pathway, configured for Camunda 8 and deployed to a running engine, together with the evidence that its normal, alternative and exception paths execute.</w:t>
      </w:r>
    </w:p>
    <w:p>
      <w:pPr>
        <w:pStyle w:val="Heading2"/>
      </w:pPr>
      <w:r>
        <w:t>1.1  What the model family contains</w:t>
      </w:r>
    </w:p>
    <w:p>
      <w:r>
        <w:rPr>
          <w:b w:val="0"/>
          <w:i w:val="0"/>
        </w:rPr>
        <w:t>The pathway is modelled as four files: one merged operational model that runs, and three strategic views that place the same activities in their organisational context. The operational model is the deliverable for this criterion; the strategic views are submitted with the portfolio unit and are listed here only so the reader knows why four files exist.</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438"/>
        <w:gridCol w:w="2608"/>
        <w:gridCol w:w="1701"/>
        <w:gridCol w:w="737"/>
        <w:gridCol w:w="1020"/>
        <w:gridCol w:w="1134"/>
      </w:tblGrid>
      <w:tr>
        <w:trPr>
          <w:tblHeader w:val="true"/>
        </w:trPr>
        <w:tc>
          <w:tcPr>
            <w:tcW w:type="dxa" w:w="2438"/>
            <w:shd w:val="clear" w:color="auto" w:fill="1F3864"/>
          </w:tcPr>
          <w:p>
            <w:pPr>
              <w:spacing w:after="20"/>
            </w:pPr>
            <w:r/>
            <w:r>
              <w:rPr>
                <w:b/>
                <w:color w:val="FFFFFF"/>
                <w:sz w:val="17"/>
              </w:rPr>
              <w:t>Model</w:t>
            </w:r>
          </w:p>
        </w:tc>
        <w:tc>
          <w:tcPr>
            <w:tcW w:type="dxa" w:w="2608"/>
            <w:shd w:val="clear" w:color="auto" w:fill="1F3864"/>
          </w:tcPr>
          <w:p>
            <w:pPr>
              <w:spacing w:after="20"/>
            </w:pPr>
            <w:r/>
            <w:r>
              <w:rPr>
                <w:b/>
                <w:color w:val="FFFFFF"/>
                <w:sz w:val="17"/>
              </w:rPr>
              <w:t>Process definition(s)</w:t>
            </w:r>
          </w:p>
        </w:tc>
        <w:tc>
          <w:tcPr>
            <w:tcW w:type="dxa" w:w="1701"/>
            <w:shd w:val="clear" w:color="auto" w:fill="1F3864"/>
          </w:tcPr>
          <w:p>
            <w:pPr>
              <w:spacing w:after="20"/>
            </w:pPr>
            <w:r/>
            <w:r>
              <w:rPr>
                <w:b/>
                <w:color w:val="FFFFFF"/>
                <w:sz w:val="17"/>
              </w:rPr>
              <w:t>Pools (executable + black box)</w:t>
            </w:r>
          </w:p>
        </w:tc>
        <w:tc>
          <w:tcPr>
            <w:tcW w:type="dxa" w:w="737"/>
            <w:shd w:val="clear" w:color="auto" w:fill="1F3864"/>
          </w:tcPr>
          <w:p>
            <w:pPr>
              <w:spacing w:after="20"/>
            </w:pPr>
            <w:r/>
            <w:r>
              <w:rPr>
                <w:b/>
                <w:color w:val="FFFFFF"/>
                <w:sz w:val="17"/>
              </w:rPr>
              <w:t>Lanes</w:t>
            </w:r>
          </w:p>
        </w:tc>
        <w:tc>
          <w:tcPr>
            <w:tcW w:type="dxa" w:w="1020"/>
            <w:shd w:val="clear" w:color="auto" w:fill="1F3864"/>
          </w:tcPr>
          <w:p>
            <w:pPr>
              <w:spacing w:after="20"/>
            </w:pPr>
            <w:r/>
            <w:r>
              <w:rPr>
                <w:b/>
                <w:color w:val="FFFFFF"/>
                <w:sz w:val="17"/>
              </w:rPr>
              <w:t>Flow nodes</w:t>
            </w:r>
          </w:p>
        </w:tc>
        <w:tc>
          <w:tcPr>
            <w:tcW w:type="dxa" w:w="1134"/>
            <w:shd w:val="clear" w:color="auto" w:fill="1F3864"/>
          </w:tcPr>
          <w:p>
            <w:pPr>
              <w:spacing w:after="20"/>
            </w:pPr>
            <w:r/>
            <w:r>
              <w:rPr>
                <w:b/>
                <w:color w:val="FFFFFF"/>
                <w:sz w:val="17"/>
              </w:rPr>
              <w:t>Message flows</w:t>
            </w:r>
          </w:p>
        </w:tc>
      </w:tr>
      <w:tr>
        <w:trPr>
          <w:cantSplit w:val="true"/>
        </w:trPr>
        <w:tc>
          <w:tcPr>
            <w:tcW w:type="dxa" w:w="2438"/>
          </w:tcPr>
          <w:p>
            <w:pPr>
              <w:spacing w:after="20"/>
            </w:pPr>
            <w:r/>
            <w:r>
              <w:rPr>
                <w:sz w:val="17"/>
              </w:rPr>
              <w:t>O1 Operational Merged</w:t>
            </w:r>
          </w:p>
        </w:tc>
        <w:tc>
          <w:tcPr>
            <w:tcW w:type="dxa" w:w="2608"/>
          </w:tcPr>
          <w:p>
            <w:pPr>
              <w:spacing w:after="20"/>
            </w:pPr>
            <w:r/>
            <w:r>
              <w:rPr>
                <w:sz w:val="17"/>
              </w:rPr>
              <w:t>PR_Operational_Merged, PR_ReferringOrganisation</w:t>
            </w:r>
          </w:p>
        </w:tc>
        <w:tc>
          <w:tcPr>
            <w:tcW w:type="dxa" w:w="1701"/>
          </w:tcPr>
          <w:p>
            <w:pPr>
              <w:spacing w:after="20"/>
            </w:pPr>
            <w:r/>
            <w:r>
              <w:rPr>
                <w:sz w:val="17"/>
              </w:rPr>
              <w:t>2 + 7</w:t>
            </w:r>
          </w:p>
        </w:tc>
        <w:tc>
          <w:tcPr>
            <w:tcW w:type="dxa" w:w="737"/>
          </w:tcPr>
          <w:p>
            <w:pPr>
              <w:spacing w:after="20"/>
              <w:jc w:val="right"/>
            </w:pPr>
            <w:r/>
            <w:r>
              <w:rPr>
                <w:sz w:val="17"/>
              </w:rPr>
              <w:t>8</w:t>
            </w:r>
          </w:p>
        </w:tc>
        <w:tc>
          <w:tcPr>
            <w:tcW w:type="dxa" w:w="1020"/>
          </w:tcPr>
          <w:p>
            <w:pPr>
              <w:spacing w:after="20"/>
              <w:jc w:val="right"/>
            </w:pPr>
            <w:r/>
            <w:r>
              <w:rPr>
                <w:sz w:val="17"/>
              </w:rPr>
              <w:t>60</w:t>
            </w:r>
          </w:p>
        </w:tc>
        <w:tc>
          <w:tcPr>
            <w:tcW w:type="dxa" w:w="1134"/>
          </w:tcPr>
          <w:p>
            <w:pPr>
              <w:spacing w:after="20"/>
              <w:jc w:val="right"/>
            </w:pPr>
            <w:r/>
            <w:r>
              <w:rPr>
                <w:sz w:val="17"/>
              </w:rPr>
              <w:t>15</w:t>
            </w:r>
          </w:p>
        </w:tc>
      </w:tr>
      <w:tr>
        <w:trPr>
          <w:cantSplit w:val="true"/>
        </w:trPr>
        <w:tc>
          <w:tcPr>
            <w:tcW w:type="dxa" w:w="2438"/>
            <w:shd w:val="clear" w:color="auto" w:fill="EEF2F8"/>
          </w:tcPr>
          <w:p>
            <w:pPr>
              <w:spacing w:after="20"/>
            </w:pPr>
            <w:r/>
            <w:r>
              <w:rPr>
                <w:sz w:val="17"/>
              </w:rPr>
              <w:t>S1 Strategic Landscape</w:t>
            </w:r>
          </w:p>
        </w:tc>
        <w:tc>
          <w:tcPr>
            <w:tcW w:type="dxa" w:w="2608"/>
            <w:shd w:val="clear" w:color="auto" w:fill="EEF2F8"/>
          </w:tcPr>
          <w:p>
            <w:pPr>
              <w:spacing w:after="20"/>
            </w:pPr>
            <w:r/>
            <w:r>
              <w:rPr>
                <w:sz w:val="17"/>
              </w:rPr>
              <w:t>PR_Landscape</w:t>
            </w:r>
          </w:p>
        </w:tc>
        <w:tc>
          <w:tcPr>
            <w:tcW w:type="dxa" w:w="1701"/>
            <w:shd w:val="clear" w:color="auto" w:fill="EEF2F8"/>
          </w:tcPr>
          <w:p>
            <w:pPr>
              <w:spacing w:after="20"/>
            </w:pPr>
            <w:r/>
            <w:r>
              <w:rPr>
                <w:sz w:val="17"/>
              </w:rPr>
              <w:t>1 + 7</w:t>
            </w:r>
          </w:p>
        </w:tc>
        <w:tc>
          <w:tcPr>
            <w:tcW w:type="dxa" w:w="737"/>
            <w:shd w:val="clear" w:color="auto" w:fill="EEF2F8"/>
          </w:tcPr>
          <w:p>
            <w:pPr>
              <w:spacing w:after="20"/>
              <w:jc w:val="right"/>
            </w:pPr>
            <w:r/>
            <w:r>
              <w:rPr>
                <w:sz w:val="17"/>
              </w:rPr>
              <w:t>—</w:t>
            </w:r>
          </w:p>
        </w:tc>
        <w:tc>
          <w:tcPr>
            <w:tcW w:type="dxa" w:w="1020"/>
            <w:shd w:val="clear" w:color="auto" w:fill="EEF2F8"/>
          </w:tcPr>
          <w:p>
            <w:pPr>
              <w:spacing w:after="20"/>
              <w:jc w:val="right"/>
            </w:pPr>
            <w:r/>
            <w:r>
              <w:rPr>
                <w:sz w:val="17"/>
              </w:rPr>
              <w:t>25</w:t>
            </w:r>
          </w:p>
        </w:tc>
        <w:tc>
          <w:tcPr>
            <w:tcW w:type="dxa" w:w="1134"/>
            <w:shd w:val="clear" w:color="auto" w:fill="EEF2F8"/>
          </w:tcPr>
          <w:p>
            <w:pPr>
              <w:spacing w:after="20"/>
              <w:jc w:val="right"/>
            </w:pPr>
            <w:r/>
            <w:r>
              <w:rPr>
                <w:sz w:val="17"/>
              </w:rPr>
              <w:t>15</w:t>
            </w:r>
          </w:p>
        </w:tc>
      </w:tr>
      <w:tr>
        <w:trPr>
          <w:cantSplit w:val="true"/>
        </w:trPr>
        <w:tc>
          <w:tcPr>
            <w:tcW w:type="dxa" w:w="2438"/>
          </w:tcPr>
          <w:p>
            <w:pPr>
              <w:spacing w:after="20"/>
            </w:pPr>
            <w:r/>
            <w:r>
              <w:rPr>
                <w:sz w:val="17"/>
              </w:rPr>
              <w:t>S2 Strategic Referral To Authorisation</w:t>
            </w:r>
          </w:p>
        </w:tc>
        <w:tc>
          <w:tcPr>
            <w:tcW w:type="dxa" w:w="2608"/>
          </w:tcPr>
          <w:p>
            <w:pPr>
              <w:spacing w:after="20"/>
            </w:pPr>
            <w:r/>
            <w:r>
              <w:rPr>
                <w:sz w:val="17"/>
              </w:rPr>
              <w:t>PR_ReferralToAuthorisation</w:t>
            </w:r>
          </w:p>
        </w:tc>
        <w:tc>
          <w:tcPr>
            <w:tcW w:type="dxa" w:w="1701"/>
          </w:tcPr>
          <w:p>
            <w:pPr>
              <w:spacing w:after="20"/>
            </w:pPr>
            <w:r/>
            <w:r>
              <w:rPr>
                <w:sz w:val="17"/>
              </w:rPr>
              <w:t>1 + 5</w:t>
            </w:r>
          </w:p>
        </w:tc>
        <w:tc>
          <w:tcPr>
            <w:tcW w:type="dxa" w:w="737"/>
          </w:tcPr>
          <w:p>
            <w:pPr>
              <w:spacing w:after="20"/>
              <w:jc w:val="right"/>
            </w:pPr>
            <w:r/>
            <w:r>
              <w:rPr>
                <w:sz w:val="17"/>
              </w:rPr>
              <w:t>7</w:t>
            </w:r>
          </w:p>
        </w:tc>
        <w:tc>
          <w:tcPr>
            <w:tcW w:type="dxa" w:w="1020"/>
          </w:tcPr>
          <w:p>
            <w:pPr>
              <w:spacing w:after="20"/>
              <w:jc w:val="right"/>
            </w:pPr>
            <w:r/>
            <w:r>
              <w:rPr>
                <w:sz w:val="17"/>
              </w:rPr>
              <w:t>37</w:t>
            </w:r>
          </w:p>
        </w:tc>
        <w:tc>
          <w:tcPr>
            <w:tcW w:type="dxa" w:w="1134"/>
          </w:tcPr>
          <w:p>
            <w:pPr>
              <w:spacing w:after="20"/>
              <w:jc w:val="right"/>
            </w:pPr>
            <w:r/>
            <w:r>
              <w:rPr>
                <w:sz w:val="17"/>
              </w:rPr>
              <w:t>9</w:t>
            </w:r>
          </w:p>
        </w:tc>
      </w:tr>
      <w:tr>
        <w:trPr>
          <w:cantSplit w:val="true"/>
        </w:trPr>
        <w:tc>
          <w:tcPr>
            <w:tcW w:type="dxa" w:w="2438"/>
            <w:shd w:val="clear" w:color="auto" w:fill="EEF2F8"/>
          </w:tcPr>
          <w:p>
            <w:pPr>
              <w:spacing w:after="20"/>
            </w:pPr>
            <w:r/>
            <w:r>
              <w:rPr>
                <w:sz w:val="17"/>
              </w:rPr>
              <w:t>S3 Strategic Treatment To Aftercare</w:t>
            </w:r>
          </w:p>
        </w:tc>
        <w:tc>
          <w:tcPr>
            <w:tcW w:type="dxa" w:w="2608"/>
            <w:shd w:val="clear" w:color="auto" w:fill="EEF2F8"/>
          </w:tcPr>
          <w:p>
            <w:pPr>
              <w:spacing w:after="20"/>
            </w:pPr>
            <w:r/>
            <w:r>
              <w:rPr>
                <w:sz w:val="17"/>
              </w:rPr>
              <w:t>PR_TreatmentToAftercare, PR_EnquiryHandling, PR_ManagementReporting</w:t>
            </w:r>
          </w:p>
        </w:tc>
        <w:tc>
          <w:tcPr>
            <w:tcW w:type="dxa" w:w="1701"/>
            <w:shd w:val="clear" w:color="auto" w:fill="EEF2F8"/>
          </w:tcPr>
          <w:p>
            <w:pPr>
              <w:spacing w:after="20"/>
            </w:pPr>
            <w:r/>
            <w:r>
              <w:rPr>
                <w:sz w:val="17"/>
              </w:rPr>
              <w:t>3 + 6</w:t>
            </w:r>
          </w:p>
        </w:tc>
        <w:tc>
          <w:tcPr>
            <w:tcW w:type="dxa" w:w="737"/>
            <w:shd w:val="clear" w:color="auto" w:fill="EEF2F8"/>
          </w:tcPr>
          <w:p>
            <w:pPr>
              <w:spacing w:after="20"/>
              <w:jc w:val="right"/>
            </w:pPr>
            <w:r/>
            <w:r>
              <w:rPr>
                <w:sz w:val="17"/>
              </w:rPr>
              <w:t>11</w:t>
            </w:r>
          </w:p>
        </w:tc>
        <w:tc>
          <w:tcPr>
            <w:tcW w:type="dxa" w:w="1020"/>
            <w:shd w:val="clear" w:color="auto" w:fill="EEF2F8"/>
          </w:tcPr>
          <w:p>
            <w:pPr>
              <w:spacing w:after="20"/>
              <w:jc w:val="right"/>
            </w:pPr>
            <w:r/>
            <w:r>
              <w:rPr>
                <w:sz w:val="17"/>
              </w:rPr>
              <w:t>79</w:t>
            </w:r>
          </w:p>
        </w:tc>
        <w:tc>
          <w:tcPr>
            <w:tcW w:type="dxa" w:w="1134"/>
            <w:shd w:val="clear" w:color="auto" w:fill="EEF2F8"/>
          </w:tcPr>
          <w:p>
            <w:pPr>
              <w:spacing w:after="20"/>
              <w:jc w:val="right"/>
            </w:pPr>
            <w:r/>
            <w:r>
              <w:rPr>
                <w:sz w:val="17"/>
              </w:rPr>
              <w:t>13</w:t>
            </w:r>
          </w:p>
        </w:tc>
      </w:tr>
    </w:tbl>
    <w:p>
      <w:pPr>
        <w:spacing w:after="40"/>
      </w:pPr>
    </w:p>
    <w:p>
      <w:pPr>
        <w:keepNext/>
        <w:spacing w:before="40" w:after="40"/>
      </w:pPr>
      <w:r>
        <w:rPr>
          <w:b/>
          <w:color w:val="595959"/>
          <w:sz w:val="17"/>
        </w:rPr>
        <w:t>Table 1. Model family. Node and flow counts are read from the .bpmn files as they stand in the submitted repository, which includes the two post-review additions described on the cover. The deployment and execution evidence in Table 6 is the 26 September initial-release run, when six process definitions and 68 forms were deployed.</w:t>
      </w:r>
    </w:p>
    <w:p>
      <w:pPr>
        <w:pStyle w:val="Heading2"/>
      </w:pPr>
      <w:r>
        <w:t>1.2  Participants and collaboration</w:t>
      </w:r>
    </w:p>
    <w:p>
      <w:r>
        <w:rPr>
          <w:b w:val="0"/>
          <w:i w:val="0"/>
        </w:rPr>
        <w:t>The case study requires collaboration between organisations that are independent of one another, so the model is a BPMN collaboration rather than a single process. The hospital is a white-box pool: its internal divisions are modelled as lanes because the case study attributes work to named teams. Every external party is a collapsed black-box pool, because the case study does not describe their internal behaviour and the hospital has no authority over it.</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4309"/>
        <w:gridCol w:w="2494"/>
        <w:gridCol w:w="2835"/>
      </w:tblGrid>
      <w:tr>
        <w:trPr>
          <w:tblHeader w:val="true"/>
        </w:trPr>
        <w:tc>
          <w:tcPr>
            <w:tcW w:type="dxa" w:w="4309"/>
            <w:shd w:val="clear" w:color="auto" w:fill="1F3864"/>
          </w:tcPr>
          <w:p>
            <w:pPr>
              <w:spacing w:after="20"/>
            </w:pPr>
            <w:r/>
            <w:r>
              <w:rPr>
                <w:b/>
                <w:color w:val="FFFFFF"/>
                <w:sz w:val="17"/>
              </w:rPr>
              <w:t>Participant</w:t>
            </w:r>
          </w:p>
        </w:tc>
        <w:tc>
          <w:tcPr>
            <w:tcW w:type="dxa" w:w="2494"/>
            <w:shd w:val="clear" w:color="auto" w:fill="1F3864"/>
          </w:tcPr>
          <w:p>
            <w:pPr>
              <w:spacing w:after="20"/>
            </w:pPr>
            <w:r/>
            <w:r>
              <w:rPr>
                <w:b/>
                <w:color w:val="FFFFFF"/>
                <w:sz w:val="17"/>
              </w:rPr>
              <w:t>Type</w:t>
            </w:r>
          </w:p>
        </w:tc>
        <w:tc>
          <w:tcPr>
            <w:tcW w:type="dxa" w:w="2835"/>
            <w:shd w:val="clear" w:color="auto" w:fill="1F3864"/>
          </w:tcPr>
          <w:p>
            <w:pPr>
              <w:spacing w:after="20"/>
            </w:pPr>
            <w:r/>
            <w:r>
              <w:rPr>
                <w:b/>
                <w:color w:val="FFFFFF"/>
                <w:sz w:val="17"/>
              </w:rPr>
              <w:t>Process definition</w:t>
            </w:r>
          </w:p>
        </w:tc>
      </w:tr>
      <w:tr>
        <w:trPr>
          <w:cantSplit w:val="true"/>
        </w:trPr>
        <w:tc>
          <w:tcPr>
            <w:tcW w:type="dxa" w:w="4309"/>
          </w:tcPr>
          <w:p>
            <w:pPr>
              <w:spacing w:after="20"/>
            </w:pPr>
            <w:r/>
            <w:r>
              <w:rPr>
                <w:sz w:val="17"/>
              </w:rPr>
              <w:t>Specialist Hospital Service (Hospital Patient Administration System)</w:t>
            </w:r>
          </w:p>
        </w:tc>
        <w:tc>
          <w:tcPr>
            <w:tcW w:type="dxa" w:w="2494"/>
          </w:tcPr>
          <w:p>
            <w:pPr>
              <w:spacing w:after="20"/>
            </w:pPr>
            <w:r/>
            <w:r>
              <w:rPr>
                <w:sz w:val="17"/>
              </w:rPr>
              <w:t>Executable white box</w:t>
            </w:r>
          </w:p>
        </w:tc>
        <w:tc>
          <w:tcPr>
            <w:tcW w:type="dxa" w:w="2835"/>
          </w:tcPr>
          <w:p>
            <w:pPr>
              <w:spacing w:after="20"/>
            </w:pPr>
            <w:r/>
            <w:r>
              <w:rPr>
                <w:sz w:val="17"/>
              </w:rPr>
              <w:t>PR_Operational_Merged</w:t>
            </w:r>
          </w:p>
        </w:tc>
      </w:tr>
      <w:tr>
        <w:trPr>
          <w:cantSplit w:val="true"/>
        </w:trPr>
        <w:tc>
          <w:tcPr>
            <w:tcW w:type="dxa" w:w="4309"/>
            <w:shd w:val="clear" w:color="auto" w:fill="EEF2F8"/>
          </w:tcPr>
          <w:p>
            <w:pPr>
              <w:spacing w:after="20"/>
            </w:pPr>
            <w:r/>
            <w:r>
              <w:rPr>
                <w:sz w:val="17"/>
              </w:rPr>
              <w:t>Referring Organisation (GP or another hospital)</w:t>
            </w:r>
          </w:p>
        </w:tc>
        <w:tc>
          <w:tcPr>
            <w:tcW w:type="dxa" w:w="2494"/>
            <w:shd w:val="clear" w:color="auto" w:fill="EEF2F8"/>
          </w:tcPr>
          <w:p>
            <w:pPr>
              <w:spacing w:after="20"/>
            </w:pPr>
            <w:r/>
            <w:r>
              <w:rPr>
                <w:sz w:val="17"/>
              </w:rPr>
              <w:t>Executable white box</w:t>
            </w:r>
          </w:p>
        </w:tc>
        <w:tc>
          <w:tcPr>
            <w:tcW w:type="dxa" w:w="2835"/>
            <w:shd w:val="clear" w:color="auto" w:fill="EEF2F8"/>
          </w:tcPr>
          <w:p>
            <w:pPr>
              <w:spacing w:after="20"/>
            </w:pPr>
            <w:r/>
            <w:r>
              <w:rPr>
                <w:sz w:val="17"/>
              </w:rPr>
              <w:t>PR_ReferringOrganisation</w:t>
            </w:r>
          </w:p>
        </w:tc>
      </w:tr>
      <w:tr>
        <w:trPr>
          <w:cantSplit w:val="true"/>
        </w:trPr>
        <w:tc>
          <w:tcPr>
            <w:tcW w:type="dxa" w:w="4309"/>
          </w:tcPr>
          <w:p>
            <w:pPr>
              <w:spacing w:after="20"/>
            </w:pPr>
            <w:r/>
            <w:r>
              <w:rPr>
                <w:sz w:val="17"/>
              </w:rPr>
              <w:t>Patient / Authorised Representative</w:t>
            </w:r>
          </w:p>
        </w:tc>
        <w:tc>
          <w:tcPr>
            <w:tcW w:type="dxa" w:w="2494"/>
          </w:tcPr>
          <w:p>
            <w:pPr>
              <w:spacing w:after="20"/>
            </w:pPr>
            <w:r/>
            <w:r>
              <w:rPr>
                <w:sz w:val="17"/>
              </w:rPr>
              <w:t>Collapsed black box</w:t>
            </w:r>
          </w:p>
        </w:tc>
        <w:tc>
          <w:tcPr>
            <w:tcW w:type="dxa" w:w="2835"/>
          </w:tcPr>
          <w:p>
            <w:pPr>
              <w:spacing w:after="20"/>
            </w:pPr>
            <w:r/>
            <w:r>
              <w:rPr>
                <w:sz w:val="17"/>
              </w:rPr>
              <w:t>—</w:t>
            </w:r>
          </w:p>
        </w:tc>
      </w:tr>
      <w:tr>
        <w:trPr>
          <w:cantSplit w:val="true"/>
        </w:trPr>
        <w:tc>
          <w:tcPr>
            <w:tcW w:type="dxa" w:w="4309"/>
            <w:shd w:val="clear" w:color="auto" w:fill="EEF2F8"/>
          </w:tcPr>
          <w:p>
            <w:pPr>
              <w:spacing w:after="20"/>
            </w:pPr>
            <w:r/>
            <w:r>
              <w:rPr>
                <w:sz w:val="17"/>
              </w:rPr>
              <w:t>External Scheduling Service</w:t>
            </w:r>
          </w:p>
        </w:tc>
        <w:tc>
          <w:tcPr>
            <w:tcW w:type="dxa" w:w="2494"/>
            <w:shd w:val="clear" w:color="auto" w:fill="EEF2F8"/>
          </w:tcPr>
          <w:p>
            <w:pPr>
              <w:spacing w:after="20"/>
            </w:pPr>
            <w:r/>
            <w:r>
              <w:rPr>
                <w:sz w:val="17"/>
              </w:rPr>
              <w:t>Collapsed black box</w:t>
            </w:r>
          </w:p>
        </w:tc>
        <w:tc>
          <w:tcPr>
            <w:tcW w:type="dxa" w:w="2835"/>
            <w:shd w:val="clear" w:color="auto" w:fill="EEF2F8"/>
          </w:tcPr>
          <w:p>
            <w:pPr>
              <w:spacing w:after="20"/>
            </w:pPr>
            <w:r/>
            <w:r>
              <w:rPr>
                <w:sz w:val="17"/>
              </w:rPr>
              <w:t>—</w:t>
            </w:r>
          </w:p>
        </w:tc>
      </w:tr>
      <w:tr>
        <w:trPr>
          <w:cantSplit w:val="true"/>
        </w:trPr>
        <w:tc>
          <w:tcPr>
            <w:tcW w:type="dxa" w:w="4309"/>
          </w:tcPr>
          <w:p>
            <w:pPr>
              <w:spacing w:after="20"/>
            </w:pPr>
            <w:r/>
            <w:r>
              <w:rPr>
                <w:sz w:val="17"/>
              </w:rPr>
              <w:t>External Correspondence Service</w:t>
            </w:r>
          </w:p>
        </w:tc>
        <w:tc>
          <w:tcPr>
            <w:tcW w:type="dxa" w:w="2494"/>
          </w:tcPr>
          <w:p>
            <w:pPr>
              <w:spacing w:after="20"/>
            </w:pPr>
            <w:r/>
            <w:r>
              <w:rPr>
                <w:sz w:val="17"/>
              </w:rPr>
              <w:t>Collapsed black box</w:t>
            </w:r>
          </w:p>
        </w:tc>
        <w:tc>
          <w:tcPr>
            <w:tcW w:type="dxa" w:w="2835"/>
          </w:tcPr>
          <w:p>
            <w:pPr>
              <w:spacing w:after="20"/>
            </w:pPr>
            <w:r/>
            <w:r>
              <w:rPr>
                <w:sz w:val="17"/>
              </w:rPr>
              <w:t>—</w:t>
            </w:r>
          </w:p>
        </w:tc>
      </w:tr>
      <w:tr>
        <w:trPr>
          <w:cantSplit w:val="true"/>
        </w:trPr>
        <w:tc>
          <w:tcPr>
            <w:tcW w:type="dxa" w:w="4309"/>
            <w:shd w:val="clear" w:color="auto" w:fill="EEF2F8"/>
          </w:tcPr>
          <w:p>
            <w:pPr>
              <w:spacing w:after="20"/>
            </w:pPr>
            <w:r/>
            <w:r>
              <w:rPr>
                <w:sz w:val="17"/>
              </w:rPr>
              <w:t>Other Specialist Service</w:t>
            </w:r>
          </w:p>
        </w:tc>
        <w:tc>
          <w:tcPr>
            <w:tcW w:type="dxa" w:w="2494"/>
            <w:shd w:val="clear" w:color="auto" w:fill="EEF2F8"/>
          </w:tcPr>
          <w:p>
            <w:pPr>
              <w:spacing w:after="20"/>
            </w:pPr>
            <w:r/>
            <w:r>
              <w:rPr>
                <w:sz w:val="17"/>
              </w:rPr>
              <w:t>Collapsed black box</w:t>
            </w:r>
          </w:p>
        </w:tc>
        <w:tc>
          <w:tcPr>
            <w:tcW w:type="dxa" w:w="2835"/>
            <w:shd w:val="clear" w:color="auto" w:fill="EEF2F8"/>
          </w:tcPr>
          <w:p>
            <w:pPr>
              <w:spacing w:after="20"/>
            </w:pPr>
            <w:r/>
            <w:r>
              <w:rPr>
                <w:sz w:val="17"/>
              </w:rPr>
              <w:t>—</w:t>
            </w:r>
          </w:p>
        </w:tc>
      </w:tr>
      <w:tr>
        <w:trPr>
          <w:cantSplit w:val="true"/>
        </w:trPr>
        <w:tc>
          <w:tcPr>
            <w:tcW w:type="dxa" w:w="4309"/>
          </w:tcPr>
          <w:p>
            <w:pPr>
              <w:spacing w:after="20"/>
            </w:pPr>
            <w:r/>
            <w:r>
              <w:rPr>
                <w:sz w:val="17"/>
              </w:rPr>
              <w:t>External Clinical Services (treatment, laboratory, imaging)</w:t>
            </w:r>
          </w:p>
        </w:tc>
        <w:tc>
          <w:tcPr>
            <w:tcW w:type="dxa" w:w="2494"/>
          </w:tcPr>
          <w:p>
            <w:pPr>
              <w:spacing w:after="20"/>
            </w:pPr>
            <w:r/>
            <w:r>
              <w:rPr>
                <w:sz w:val="17"/>
              </w:rPr>
              <w:t>Collapsed black box</w:t>
            </w:r>
          </w:p>
        </w:tc>
        <w:tc>
          <w:tcPr>
            <w:tcW w:type="dxa" w:w="2835"/>
          </w:tcPr>
          <w:p>
            <w:pPr>
              <w:spacing w:after="20"/>
            </w:pPr>
            <w:r/>
            <w:r>
              <w:rPr>
                <w:sz w:val="17"/>
              </w:rPr>
              <w:t>—</w:t>
            </w:r>
          </w:p>
        </w:tc>
      </w:tr>
      <w:tr>
        <w:trPr>
          <w:cantSplit w:val="true"/>
        </w:trPr>
        <w:tc>
          <w:tcPr>
            <w:tcW w:type="dxa" w:w="4309"/>
            <w:shd w:val="clear" w:color="auto" w:fill="EEF2F8"/>
          </w:tcPr>
          <w:p>
            <w:pPr>
              <w:spacing w:after="20"/>
            </w:pPr>
            <w:r/>
            <w:r>
              <w:rPr>
                <w:sz w:val="17"/>
              </w:rPr>
              <w:t>Funding Organisation / Insurer</w:t>
            </w:r>
          </w:p>
        </w:tc>
        <w:tc>
          <w:tcPr>
            <w:tcW w:type="dxa" w:w="2494"/>
            <w:shd w:val="clear" w:color="auto" w:fill="EEF2F8"/>
          </w:tcPr>
          <w:p>
            <w:pPr>
              <w:spacing w:after="20"/>
            </w:pPr>
            <w:r/>
            <w:r>
              <w:rPr>
                <w:sz w:val="17"/>
              </w:rPr>
              <w:t>Collapsed black box</w:t>
            </w:r>
          </w:p>
        </w:tc>
        <w:tc>
          <w:tcPr>
            <w:tcW w:type="dxa" w:w="2835"/>
            <w:shd w:val="clear" w:color="auto" w:fill="EEF2F8"/>
          </w:tcPr>
          <w:p>
            <w:pPr>
              <w:spacing w:after="20"/>
            </w:pPr>
            <w:r/>
            <w:r>
              <w:rPr>
                <w:sz w:val="17"/>
              </w:rPr>
              <w:t>—</w:t>
            </w:r>
          </w:p>
        </w:tc>
      </w:tr>
      <w:tr>
        <w:trPr>
          <w:cantSplit w:val="true"/>
        </w:trPr>
        <w:tc>
          <w:tcPr>
            <w:tcW w:type="dxa" w:w="4309"/>
          </w:tcPr>
          <w:p>
            <w:pPr>
              <w:spacing w:after="20"/>
            </w:pPr>
            <w:r/>
            <w:r>
              <w:rPr>
                <w:sz w:val="17"/>
              </w:rPr>
              <w:t>External Payment Service Provider</w:t>
            </w:r>
          </w:p>
        </w:tc>
        <w:tc>
          <w:tcPr>
            <w:tcW w:type="dxa" w:w="2494"/>
          </w:tcPr>
          <w:p>
            <w:pPr>
              <w:spacing w:after="20"/>
            </w:pPr>
            <w:r/>
            <w:r>
              <w:rPr>
                <w:sz w:val="17"/>
              </w:rPr>
              <w:t>Collapsed black box</w:t>
            </w:r>
          </w:p>
        </w:tc>
        <w:tc>
          <w:tcPr>
            <w:tcW w:type="dxa" w:w="2835"/>
          </w:tcPr>
          <w:p>
            <w:pPr>
              <w:spacing w:after="20"/>
            </w:pPr>
            <w:r/>
            <w:r>
              <w:rPr>
                <w:sz w:val="17"/>
              </w:rPr>
              <w:t>—</w:t>
            </w:r>
          </w:p>
        </w:tc>
      </w:tr>
    </w:tbl>
    <w:p>
      <w:pPr>
        <w:spacing w:after="40"/>
      </w:pPr>
    </w:p>
    <w:p>
      <w:pPr>
        <w:keepNext/>
        <w:spacing w:before="40" w:after="40"/>
      </w:pPr>
      <w:r>
        <w:rPr>
          <w:b/>
          <w:color w:val="595959"/>
          <w:sz w:val="17"/>
        </w:rPr>
        <w:t>Table 2. Participants of O1_Operational_Merged. Two pools are executable, so the collaboration runs rather than being drawn.</w:t>
      </w:r>
    </w:p>
    <w:p>
      <w:pPr>
        <w:pStyle w:val="Heading2"/>
      </w:pPr>
      <w:r>
        <w:t>1.3  Responsibilities</w:t>
      </w:r>
    </w:p>
    <w:p>
      <w:r>
        <w:rPr>
          <w:b w:val="0"/>
          <w:i w:val="0"/>
        </w:rPr>
        <w:t>The hospital pool declares eight lanes. Work is attributed to the team the case study makes accountable for it, and a lane exists only if it carries work — an empty lane asserts a responsibility the process does not discharge.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6577"/>
        <w:gridCol w:w="3061"/>
      </w:tblGrid>
      <w:tr>
        <w:trPr>
          <w:tblHeader w:val="true"/>
        </w:trPr>
        <w:tc>
          <w:tcPr>
            <w:tcW w:type="dxa" w:w="6576"/>
            <w:shd w:val="clear" w:color="auto" w:fill="1F3864"/>
          </w:tcPr>
          <w:p>
            <w:pPr>
              <w:spacing w:after="20"/>
            </w:pPr>
            <w:r/>
            <w:r>
              <w:rPr>
                <w:b/>
                <w:color w:val="FFFFFF"/>
                <w:sz w:val="17"/>
              </w:rPr>
              <w:t>Hospital lane</w:t>
            </w:r>
          </w:p>
        </w:tc>
        <w:tc>
          <w:tcPr>
            <w:tcW w:type="dxa" w:w="3061"/>
            <w:shd w:val="clear" w:color="auto" w:fill="1F3864"/>
          </w:tcPr>
          <w:p>
            <w:pPr>
              <w:spacing w:after="20"/>
            </w:pPr>
            <w:r/>
            <w:r>
              <w:rPr>
                <w:b/>
                <w:color w:val="FFFFFF"/>
                <w:sz w:val="17"/>
              </w:rPr>
              <w:t>Flow nodes in lane</w:t>
            </w:r>
          </w:p>
        </w:tc>
      </w:tr>
      <w:tr>
        <w:trPr>
          <w:cantSplit w:val="true"/>
        </w:trPr>
        <w:tc>
          <w:tcPr>
            <w:tcW w:type="dxa" w:w="6576"/>
          </w:tcPr>
          <w:p>
            <w:pPr>
              <w:spacing w:after="20"/>
            </w:pPr>
            <w:r/>
            <w:r>
              <w:rPr>
                <w:sz w:val="17"/>
              </w:rPr>
              <w:t>Medical Secretaries</w:t>
            </w:r>
          </w:p>
        </w:tc>
        <w:tc>
          <w:tcPr>
            <w:tcW w:type="dxa" w:w="3061"/>
          </w:tcPr>
          <w:p>
            <w:pPr>
              <w:spacing w:after="20"/>
              <w:jc w:val="right"/>
            </w:pPr>
            <w:r/>
            <w:r>
              <w:rPr>
                <w:sz w:val="17"/>
              </w:rPr>
              <w:t>10</w:t>
            </w:r>
          </w:p>
        </w:tc>
      </w:tr>
      <w:tr>
        <w:trPr>
          <w:cantSplit w:val="true"/>
        </w:trPr>
        <w:tc>
          <w:tcPr>
            <w:tcW w:type="dxa" w:w="6576"/>
            <w:shd w:val="clear" w:color="auto" w:fill="EEF2F8"/>
          </w:tcPr>
          <w:p>
            <w:pPr>
              <w:spacing w:after="20"/>
            </w:pPr>
            <w:r/>
            <w:r>
              <w:rPr>
                <w:sz w:val="17"/>
              </w:rPr>
              <w:t>Consultant / Clinical Team</w:t>
            </w:r>
          </w:p>
        </w:tc>
        <w:tc>
          <w:tcPr>
            <w:tcW w:type="dxa" w:w="3061"/>
            <w:shd w:val="clear" w:color="auto" w:fill="EEF2F8"/>
          </w:tcPr>
          <w:p>
            <w:pPr>
              <w:spacing w:after="20"/>
              <w:jc w:val="right"/>
            </w:pPr>
            <w:r/>
            <w:r>
              <w:rPr>
                <w:sz w:val="17"/>
              </w:rPr>
              <w:t>10</w:t>
            </w:r>
          </w:p>
        </w:tc>
      </w:tr>
      <w:tr>
        <w:trPr>
          <w:cantSplit w:val="true"/>
        </w:trPr>
        <w:tc>
          <w:tcPr>
            <w:tcW w:type="dxa" w:w="6576"/>
          </w:tcPr>
          <w:p>
            <w:pPr>
              <w:spacing w:after="20"/>
            </w:pPr>
            <w:r/>
            <w:r>
              <w:rPr>
                <w:sz w:val="17"/>
              </w:rPr>
              <w:t>Outpatient Bookings Team</w:t>
            </w:r>
          </w:p>
        </w:tc>
        <w:tc>
          <w:tcPr>
            <w:tcW w:type="dxa" w:w="3061"/>
          </w:tcPr>
          <w:p>
            <w:pPr>
              <w:spacing w:after="20"/>
              <w:jc w:val="right"/>
            </w:pPr>
            <w:r/>
            <w:r>
              <w:rPr>
                <w:sz w:val="17"/>
              </w:rPr>
              <w:t>9</w:t>
            </w:r>
          </w:p>
        </w:tc>
      </w:tr>
      <w:tr>
        <w:trPr>
          <w:cantSplit w:val="true"/>
        </w:trPr>
        <w:tc>
          <w:tcPr>
            <w:tcW w:type="dxa" w:w="6576"/>
            <w:shd w:val="clear" w:color="auto" w:fill="EEF2F8"/>
          </w:tcPr>
          <w:p>
            <w:pPr>
              <w:spacing w:after="20"/>
            </w:pPr>
            <w:r/>
            <w:r>
              <w:rPr>
                <w:sz w:val="17"/>
              </w:rPr>
              <w:t>Call Handling Team</w:t>
            </w:r>
          </w:p>
        </w:tc>
        <w:tc>
          <w:tcPr>
            <w:tcW w:type="dxa" w:w="3061"/>
            <w:shd w:val="clear" w:color="auto" w:fill="EEF2F8"/>
          </w:tcPr>
          <w:p>
            <w:pPr>
              <w:spacing w:after="20"/>
              <w:jc w:val="right"/>
            </w:pPr>
            <w:r/>
            <w:r>
              <w:rPr>
                <w:sz w:val="17"/>
              </w:rPr>
              <w:t>3</w:t>
            </w:r>
          </w:p>
        </w:tc>
      </w:tr>
      <w:tr>
        <w:trPr>
          <w:cantSplit w:val="true"/>
        </w:trPr>
        <w:tc>
          <w:tcPr>
            <w:tcW w:type="dxa" w:w="6576"/>
          </w:tcPr>
          <w:p>
            <w:pPr>
              <w:spacing w:after="20"/>
            </w:pPr>
            <w:r/>
            <w:r>
              <w:rPr>
                <w:sz w:val="17"/>
              </w:rPr>
              <w:t>Treatment &amp; Chemotherapy Bookings Team</w:t>
            </w:r>
          </w:p>
        </w:tc>
        <w:tc>
          <w:tcPr>
            <w:tcW w:type="dxa" w:w="3061"/>
          </w:tcPr>
          <w:p>
            <w:pPr>
              <w:spacing w:after="20"/>
              <w:jc w:val="right"/>
            </w:pPr>
            <w:r/>
            <w:r>
              <w:rPr>
                <w:sz w:val="17"/>
              </w:rPr>
              <w:t>7</w:t>
            </w:r>
          </w:p>
        </w:tc>
      </w:tr>
      <w:tr>
        <w:trPr>
          <w:cantSplit w:val="true"/>
        </w:trPr>
        <w:tc>
          <w:tcPr>
            <w:tcW w:type="dxa" w:w="6576"/>
            <w:shd w:val="clear" w:color="auto" w:fill="EEF2F8"/>
          </w:tcPr>
          <w:p>
            <w:pPr>
              <w:spacing w:after="20"/>
            </w:pPr>
            <w:r/>
            <w:r>
              <w:rPr>
                <w:sz w:val="17"/>
              </w:rPr>
              <w:t>Finance Team</w:t>
            </w:r>
          </w:p>
        </w:tc>
        <w:tc>
          <w:tcPr>
            <w:tcW w:type="dxa" w:w="3061"/>
            <w:shd w:val="clear" w:color="auto" w:fill="EEF2F8"/>
          </w:tcPr>
          <w:p>
            <w:pPr>
              <w:spacing w:after="20"/>
              <w:jc w:val="right"/>
            </w:pPr>
            <w:r/>
            <w:r>
              <w:rPr>
                <w:sz w:val="17"/>
              </w:rPr>
              <w:t>12</w:t>
            </w:r>
          </w:p>
        </w:tc>
      </w:tr>
      <w:tr>
        <w:trPr>
          <w:cantSplit w:val="true"/>
        </w:trPr>
        <w:tc>
          <w:tcPr>
            <w:tcW w:type="dxa" w:w="6576"/>
          </w:tcPr>
          <w:p>
            <w:pPr>
              <w:spacing w:after="20"/>
            </w:pPr>
            <w:r/>
            <w:r>
              <w:rPr>
                <w:sz w:val="17"/>
              </w:rPr>
              <w:t>Clinical Nurse Specialist Team</w:t>
            </w:r>
          </w:p>
        </w:tc>
        <w:tc>
          <w:tcPr>
            <w:tcW w:type="dxa" w:w="3061"/>
          </w:tcPr>
          <w:p>
            <w:pPr>
              <w:spacing w:after="20"/>
              <w:jc w:val="right"/>
            </w:pPr>
            <w:r/>
            <w:r>
              <w:rPr>
                <w:sz w:val="17"/>
              </w:rPr>
              <w:t>2</w:t>
            </w:r>
          </w:p>
        </w:tc>
      </w:tr>
      <w:tr>
        <w:trPr>
          <w:cantSplit w:val="true"/>
        </w:trPr>
        <w:tc>
          <w:tcPr>
            <w:tcW w:type="dxa" w:w="6576"/>
            <w:shd w:val="clear" w:color="auto" w:fill="EEF2F8"/>
          </w:tcPr>
          <w:p>
            <w:pPr>
              <w:spacing w:after="20"/>
            </w:pPr>
            <w:r/>
            <w:r>
              <w:rPr>
                <w:sz w:val="17"/>
              </w:rPr>
              <w:t>Patient Pathway Coordinators</w:t>
            </w:r>
          </w:p>
        </w:tc>
        <w:tc>
          <w:tcPr>
            <w:tcW w:type="dxa" w:w="3061"/>
            <w:shd w:val="clear" w:color="auto" w:fill="EEF2F8"/>
          </w:tcPr>
          <w:p>
            <w:pPr>
              <w:spacing w:after="20"/>
              <w:jc w:val="right"/>
            </w:pPr>
            <w:r/>
            <w:r>
              <w:rPr>
                <w:sz w:val="17"/>
              </w:rPr>
              <w:t>1</w:t>
            </w:r>
          </w:p>
        </w:tc>
      </w:tr>
    </w:tbl>
    <w:p>
      <w:pPr>
        <w:spacing w:after="40"/>
      </w:pPr>
    </w:p>
    <w:p>
      <w:pPr>
        <w:keepNext/>
        <w:spacing w:before="40" w:after="40"/>
      </w:pPr>
      <w:r>
        <w:rPr>
          <w:b/>
          <w:color w:val="595959"/>
          <w:sz w:val="17"/>
        </w:rPr>
        <w:t>Table 3. Lane attribution in PR_Operational_Merged.</w:t>
      </w:r>
    </w:p>
    <w:p>
      <w:r>
        <w:rPr>
          <w:b w:val="0"/>
          <w:i w:val="0"/>
        </w:rPr>
        <w:t>Each user task also carries a BPMN documentation element stating the business rule or the responsibility that the task discharges, and a candidate group naming the team allowed to claim it. The documentation elements are what the requirements traceability traces against, and the candidate groups are what the Tasklist uses to separate the roles.</w:t>
      </w:r>
    </w:p>
    <w:p>
      <w:r>
        <w:rPr>
          <w:b w:val="0"/>
          <w:i w:val="0"/>
        </w:rPr>
        <w:t>49 of the 99 user tasks in the four models carry such a documentation element; all user tasks carry a candidate group.</w:t>
      </w:r>
    </w:p>
    <w:p>
      <w:pPr>
        <w:pStyle w:val="Heading2"/>
      </w:pPr>
      <w:r>
        <w:t>1.4  Paths that the model covers</w:t>
      </w:r>
    </w:p>
    <w:p>
      <w:r>
        <w:rPr>
          <w:b w:val="0"/>
          <w:i w:val="0"/>
        </w:rPr>
        <w:t>The model is required to demonstrate normal, alternative and exception paths. The table lists the paths, the decision that selects each one, and the acceptance case that exercises it. Case identifiers are the ones in section 4.</w:t>
      </w:r>
    </w:p>
    <w:tbl>
      <w:tblPr>
        <w:tblStyle w:val="TableGrid"/>
        <w:tblW w:type="dxa" w:w="9298"/>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778"/>
        <w:gridCol w:w="2551"/>
        <w:gridCol w:w="3061"/>
        <w:gridCol w:w="907"/>
      </w:tblGrid>
      <w:tr>
        <w:trPr>
          <w:tblHeader w:val="true"/>
        </w:trPr>
        <w:tc>
          <w:tcPr>
            <w:tcW w:type="dxa" w:w="2778"/>
            <w:shd w:val="clear" w:color="auto" w:fill="1F3864"/>
          </w:tcPr>
          <w:p>
            <w:pPr>
              <w:spacing w:after="20"/>
            </w:pPr>
            <w:r/>
            <w:r>
              <w:rPr>
                <w:b/>
                <w:color w:val="FFFFFF"/>
                <w:sz w:val="16"/>
              </w:rPr>
              <w:t>Path</w:t>
            </w:r>
          </w:p>
        </w:tc>
        <w:tc>
          <w:tcPr>
            <w:tcW w:type="dxa" w:w="2551"/>
            <w:shd w:val="clear" w:color="auto" w:fill="1F3864"/>
          </w:tcPr>
          <w:p>
            <w:pPr>
              <w:spacing w:after="20"/>
            </w:pPr>
            <w:r/>
            <w:r>
              <w:rPr>
                <w:b/>
                <w:color w:val="FFFFFF"/>
                <w:sz w:val="16"/>
              </w:rPr>
              <w:t>Selected by</w:t>
            </w:r>
          </w:p>
        </w:tc>
        <w:tc>
          <w:tcPr>
            <w:tcW w:type="dxa" w:w="3061"/>
            <w:shd w:val="clear" w:color="auto" w:fill="1F3864"/>
          </w:tcPr>
          <w:p>
            <w:pPr>
              <w:spacing w:after="20"/>
            </w:pPr>
            <w:r/>
            <w:r>
              <w:rPr>
                <w:b/>
                <w:color w:val="FFFFFF"/>
                <w:sz w:val="16"/>
              </w:rPr>
              <w:t>Observable outcome</w:t>
            </w:r>
          </w:p>
        </w:tc>
        <w:tc>
          <w:tcPr>
            <w:tcW w:type="dxa" w:w="907"/>
            <w:shd w:val="clear" w:color="auto" w:fill="1F3864"/>
          </w:tcPr>
          <w:p>
            <w:pPr>
              <w:spacing w:after="20"/>
            </w:pPr>
            <w:r/>
            <w:r>
              <w:rPr>
                <w:b/>
                <w:color w:val="FFFFFF"/>
                <w:sz w:val="16"/>
              </w:rPr>
              <w:t>Case</w:t>
            </w:r>
          </w:p>
        </w:tc>
      </w:tr>
      <w:tr>
        <w:trPr>
          <w:cantSplit w:val="true"/>
        </w:trPr>
        <w:tc>
          <w:tcPr>
            <w:tcW w:type="dxa" w:w="2778"/>
          </w:tcPr>
          <w:p>
            <w:pPr>
              <w:spacing w:after="20"/>
            </w:pPr>
            <w:r/>
            <w:r>
              <w:rPr>
                <w:sz w:val="16"/>
              </w:rPr>
              <w:t>Referral accepted, treatment schedule confirmed</w:t>
            </w:r>
          </w:p>
        </w:tc>
        <w:tc>
          <w:tcPr>
            <w:tcW w:type="dxa" w:w="2551"/>
          </w:tcPr>
          <w:p>
            <w:pPr>
              <w:spacing w:after="20"/>
            </w:pPr>
            <w:r/>
            <w:r>
              <w:rPr>
                <w:sz w:val="16"/>
              </w:rPr>
              <w:t>referralDecision = accepted and every downstream gate passes</w:t>
            </w:r>
          </w:p>
        </w:tc>
        <w:tc>
          <w:tcPr>
            <w:tcW w:type="dxa" w:w="3061"/>
          </w:tcPr>
          <w:p>
            <w:pPr>
              <w:spacing w:after="20"/>
            </w:pPr>
            <w:r/>
            <w:r>
              <w:rPr>
                <w:sz w:val="16"/>
              </w:rPr>
              <w:t>instance completes after T_ConfirmTreatmentSchedule</w:t>
            </w:r>
          </w:p>
        </w:tc>
        <w:tc>
          <w:tcPr>
            <w:tcW w:type="dxa" w:w="907"/>
          </w:tcPr>
          <w:p>
            <w:pPr>
              <w:spacing w:after="20"/>
            </w:pPr>
            <w:r/>
            <w:r>
              <w:rPr>
                <w:sz w:val="16"/>
              </w:rPr>
              <w:t>TC-13</w:t>
            </w:r>
          </w:p>
        </w:tc>
      </w:tr>
      <w:tr>
        <w:trPr>
          <w:cantSplit w:val="true"/>
        </w:trPr>
        <w:tc>
          <w:tcPr>
            <w:tcW w:type="dxa" w:w="2778"/>
            <w:shd w:val="clear" w:color="auto" w:fill="EEF2F8"/>
          </w:tcPr>
          <w:p>
            <w:pPr>
              <w:spacing w:after="20"/>
            </w:pPr>
            <w:r/>
            <w:r>
              <w:rPr>
                <w:sz w:val="16"/>
              </w:rPr>
              <w:t>Supporting documentation missing</w:t>
            </w:r>
          </w:p>
        </w:tc>
        <w:tc>
          <w:tcPr>
            <w:tcW w:type="dxa" w:w="2551"/>
            <w:shd w:val="clear" w:color="auto" w:fill="EEF2F8"/>
          </w:tcPr>
          <w:p>
            <w:pPr>
              <w:spacing w:after="20"/>
            </w:pPr>
            <w:r/>
            <w:r>
              <w:rPr>
                <w:sz w:val="16"/>
              </w:rPr>
              <w:t>documentsComplete = false</w:t>
            </w:r>
          </w:p>
        </w:tc>
        <w:tc>
          <w:tcPr>
            <w:tcW w:type="dxa" w:w="3061"/>
            <w:shd w:val="clear" w:color="auto" w:fill="EEF2F8"/>
          </w:tcPr>
          <w:p>
            <w:pPr>
              <w:spacing w:after="20"/>
            </w:pPr>
            <w:r/>
            <w:r>
              <w:rPr>
                <w:sz w:val="16"/>
              </w:rPr>
              <w:t>request sent, referral returns to the completeness check</w:t>
            </w:r>
          </w:p>
        </w:tc>
        <w:tc>
          <w:tcPr>
            <w:tcW w:type="dxa" w:w="907"/>
            <w:shd w:val="clear" w:color="auto" w:fill="EEF2F8"/>
          </w:tcPr>
          <w:p>
            <w:pPr>
              <w:spacing w:after="20"/>
            </w:pPr>
            <w:r/>
            <w:r>
              <w:rPr>
                <w:sz w:val="16"/>
              </w:rPr>
              <w:t>TC-02</w:t>
            </w:r>
          </w:p>
        </w:tc>
      </w:tr>
      <w:tr>
        <w:trPr>
          <w:cantSplit w:val="true"/>
        </w:trPr>
        <w:tc>
          <w:tcPr>
            <w:tcW w:type="dxa" w:w="2778"/>
          </w:tcPr>
          <w:p>
            <w:pPr>
              <w:spacing w:after="20"/>
            </w:pPr>
            <w:r/>
            <w:r>
              <w:rPr>
                <w:sz w:val="16"/>
              </w:rPr>
              <w:t>Referral rejected</w:t>
            </w:r>
          </w:p>
        </w:tc>
        <w:tc>
          <w:tcPr>
            <w:tcW w:type="dxa" w:w="2551"/>
          </w:tcPr>
          <w:p>
            <w:pPr>
              <w:spacing w:after="20"/>
            </w:pPr>
            <w:r/>
            <w:r>
              <w:rPr>
                <w:sz w:val="16"/>
              </w:rPr>
              <w:t>referralDecision = rejected</w:t>
            </w:r>
          </w:p>
        </w:tc>
        <w:tc>
          <w:tcPr>
            <w:tcW w:type="dxa" w:w="3061"/>
          </w:tcPr>
          <w:p>
            <w:pPr>
              <w:spacing w:after="20"/>
            </w:pPr>
            <w:r/>
            <w:r>
              <w:rPr>
                <w:sz w:val="16"/>
              </w:rPr>
              <w:t>outcome notification sent; no booking task reached</w:t>
            </w:r>
          </w:p>
        </w:tc>
        <w:tc>
          <w:tcPr>
            <w:tcW w:type="dxa" w:w="907"/>
          </w:tcPr>
          <w:p>
            <w:pPr>
              <w:spacing w:after="20"/>
            </w:pPr>
            <w:r/>
            <w:r>
              <w:rPr>
                <w:sz w:val="16"/>
              </w:rPr>
              <w:t>TC-03</w:t>
            </w:r>
          </w:p>
        </w:tc>
      </w:tr>
      <w:tr>
        <w:trPr>
          <w:cantSplit w:val="true"/>
        </w:trPr>
        <w:tc>
          <w:tcPr>
            <w:tcW w:type="dxa" w:w="2778"/>
            <w:shd w:val="clear" w:color="auto" w:fill="EEF2F8"/>
          </w:tcPr>
          <w:p>
            <w:pPr>
              <w:spacing w:after="20"/>
            </w:pPr>
            <w:r/>
            <w:r>
              <w:rPr>
                <w:sz w:val="16"/>
              </w:rPr>
              <w:t>Referral redirected</w:t>
            </w:r>
          </w:p>
        </w:tc>
        <w:tc>
          <w:tcPr>
            <w:tcW w:type="dxa" w:w="2551"/>
            <w:shd w:val="clear" w:color="auto" w:fill="EEF2F8"/>
          </w:tcPr>
          <w:p>
            <w:pPr>
              <w:spacing w:after="20"/>
            </w:pPr>
            <w:r/>
            <w:r>
              <w:rPr>
                <w:sz w:val="16"/>
              </w:rPr>
              <w:t>referralDecision = redirected</w:t>
            </w:r>
          </w:p>
        </w:tc>
        <w:tc>
          <w:tcPr>
            <w:tcW w:type="dxa" w:w="3061"/>
            <w:shd w:val="clear" w:color="auto" w:fill="EEF2F8"/>
          </w:tcPr>
          <w:p>
            <w:pPr>
              <w:spacing w:after="20"/>
            </w:pPr>
            <w:r/>
            <w:r>
              <w:rPr>
                <w:sz w:val="16"/>
              </w:rPr>
              <w:t>redirect notice sent; instance completes</w:t>
            </w:r>
          </w:p>
        </w:tc>
        <w:tc>
          <w:tcPr>
            <w:tcW w:type="dxa" w:w="907"/>
            <w:shd w:val="clear" w:color="auto" w:fill="EEF2F8"/>
          </w:tcPr>
          <w:p>
            <w:pPr>
              <w:spacing w:after="20"/>
            </w:pPr>
            <w:r/>
            <w:r>
              <w:rPr>
                <w:sz w:val="16"/>
              </w:rPr>
              <w:t>TC-04</w:t>
            </w:r>
          </w:p>
        </w:tc>
      </w:tr>
      <w:tr>
        <w:trPr>
          <w:cantSplit w:val="true"/>
        </w:trPr>
        <w:tc>
          <w:tcPr>
            <w:tcW w:type="dxa" w:w="2778"/>
          </w:tcPr>
          <w:p>
            <w:pPr>
              <w:spacing w:after="20"/>
            </w:pPr>
            <w:r/>
            <w:r>
              <w:rPr>
                <w:sz w:val="16"/>
              </w:rPr>
              <w:t>No suitable appointment slot</w:t>
            </w:r>
          </w:p>
        </w:tc>
        <w:tc>
          <w:tcPr>
            <w:tcW w:type="dxa" w:w="2551"/>
          </w:tcPr>
          <w:p>
            <w:pPr>
              <w:spacing w:after="20"/>
            </w:pPr>
            <w:r/>
            <w:r>
              <w:rPr>
                <w:sz w:val="16"/>
              </w:rPr>
              <w:t>suitableSlotFound = false</w:t>
            </w:r>
          </w:p>
        </w:tc>
        <w:tc>
          <w:tcPr>
            <w:tcW w:type="dxa" w:w="3061"/>
          </w:tcPr>
          <w:p>
            <w:pPr>
              <w:spacing w:after="20"/>
            </w:pPr>
            <w:r/>
            <w:r>
              <w:rPr>
                <w:sz w:val="16"/>
              </w:rPr>
              <w:t>escalated to the Patient Pathway Coordinator</w:t>
            </w:r>
          </w:p>
        </w:tc>
        <w:tc>
          <w:tcPr>
            <w:tcW w:type="dxa" w:w="907"/>
          </w:tcPr>
          <w:p>
            <w:pPr>
              <w:spacing w:after="20"/>
            </w:pPr>
            <w:r/>
            <w:r>
              <w:rPr>
                <w:sz w:val="16"/>
              </w:rPr>
              <w:t>TC-05</w:t>
            </w:r>
          </w:p>
        </w:tc>
      </w:tr>
      <w:tr>
        <w:trPr>
          <w:cantSplit w:val="true"/>
        </w:trPr>
        <w:tc>
          <w:tcPr>
            <w:tcW w:type="dxa" w:w="2778"/>
            <w:shd w:val="clear" w:color="auto" w:fill="EEF2F8"/>
          </w:tcPr>
          <w:p>
            <w:pPr>
              <w:spacing w:after="20"/>
            </w:pPr>
            <w:r/>
            <w:r>
              <w:rPr>
                <w:sz w:val="16"/>
              </w:rPr>
              <w:t>Appointment inside the 14-day window</w:t>
            </w:r>
          </w:p>
        </w:tc>
        <w:tc>
          <w:tcPr>
            <w:tcW w:type="dxa" w:w="2551"/>
            <w:shd w:val="clear" w:color="auto" w:fill="EEF2F8"/>
          </w:tcPr>
          <w:p>
            <w:pPr>
              <w:spacing w:after="20"/>
            </w:pPr>
            <w:r/>
            <w:r>
              <w:rPr>
                <w:sz w:val="16"/>
              </w:rPr>
              <w:t>appointmentWithin14Days = true</w:t>
            </w:r>
          </w:p>
        </w:tc>
        <w:tc>
          <w:tcPr>
            <w:tcW w:type="dxa" w:w="3061"/>
            <w:shd w:val="clear" w:color="auto" w:fill="EEF2F8"/>
          </w:tcPr>
          <w:p>
            <w:pPr>
              <w:spacing w:after="20"/>
            </w:pPr>
            <w:r/>
            <w:r>
              <w:rPr>
                <w:sz w:val="16"/>
              </w:rPr>
              <w:t>telephone task created for the Call Handling Team</w:t>
            </w:r>
          </w:p>
        </w:tc>
        <w:tc>
          <w:tcPr>
            <w:tcW w:type="dxa" w:w="907"/>
            <w:shd w:val="clear" w:color="auto" w:fill="EEF2F8"/>
          </w:tcPr>
          <w:p>
            <w:pPr>
              <w:spacing w:after="20"/>
            </w:pPr>
            <w:r/>
            <w:r>
              <w:rPr>
                <w:sz w:val="16"/>
              </w:rPr>
              <w:t>TC-06</w:t>
            </w:r>
          </w:p>
        </w:tc>
      </w:tr>
      <w:tr>
        <w:trPr>
          <w:cantSplit w:val="true"/>
        </w:trPr>
        <w:tc>
          <w:tcPr>
            <w:tcW w:type="dxa" w:w="2778"/>
          </w:tcPr>
          <w:p>
            <w:pPr>
              <w:spacing w:after="20"/>
            </w:pPr>
            <w:r/>
            <w:r>
              <w:rPr>
                <w:sz w:val="16"/>
              </w:rPr>
              <w:t>Appointment outside the 14-day window</w:t>
            </w:r>
          </w:p>
        </w:tc>
        <w:tc>
          <w:tcPr>
            <w:tcW w:type="dxa" w:w="2551"/>
          </w:tcPr>
          <w:p>
            <w:pPr>
              <w:spacing w:after="20"/>
            </w:pPr>
            <w:r/>
            <w:r>
              <w:rPr>
                <w:sz w:val="16"/>
              </w:rPr>
              <w:t>appointmentWithin14Days = false</w:t>
            </w:r>
          </w:p>
        </w:tc>
        <w:tc>
          <w:tcPr>
            <w:tcW w:type="dxa" w:w="3061"/>
          </w:tcPr>
          <w:p>
            <w:pPr>
              <w:spacing w:after="20"/>
            </w:pPr>
            <w:r/>
            <w:r>
              <w:rPr>
                <w:sz w:val="16"/>
              </w:rPr>
              <w:t>telephone task skipped</w:t>
            </w:r>
          </w:p>
        </w:tc>
        <w:tc>
          <w:tcPr>
            <w:tcW w:type="dxa" w:w="907"/>
          </w:tcPr>
          <w:p>
            <w:pPr>
              <w:spacing w:after="20"/>
            </w:pPr>
            <w:r/>
            <w:r>
              <w:rPr>
                <w:sz w:val="16"/>
              </w:rPr>
              <w:t>TC-07</w:t>
            </w:r>
          </w:p>
        </w:tc>
      </w:tr>
      <w:tr>
        <w:trPr>
          <w:cantSplit w:val="true"/>
        </w:trPr>
        <w:tc>
          <w:tcPr>
            <w:tcW w:type="dxa" w:w="2778"/>
            <w:shd w:val="clear" w:color="auto" w:fill="EEF2F8"/>
          </w:tcPr>
          <w:p>
            <w:pPr>
              <w:spacing w:after="20"/>
            </w:pPr>
            <w:r/>
            <w:r>
              <w:rPr>
                <w:sz w:val="16"/>
              </w:rPr>
              <w:t>Contact unsuccessful</w:t>
            </w:r>
          </w:p>
        </w:tc>
        <w:tc>
          <w:tcPr>
            <w:tcW w:type="dxa" w:w="2551"/>
            <w:shd w:val="clear" w:color="auto" w:fill="EEF2F8"/>
          </w:tcPr>
          <w:p>
            <w:pPr>
              <w:spacing w:after="20"/>
            </w:pPr>
            <w:r/>
            <w:r>
              <w:rPr>
                <w:sz w:val="16"/>
              </w:rPr>
              <w:t>contactSuccessful = false</w:t>
            </w:r>
          </w:p>
        </w:tc>
        <w:tc>
          <w:tcPr>
            <w:tcW w:type="dxa" w:w="3061"/>
            <w:shd w:val="clear" w:color="auto" w:fill="EEF2F8"/>
          </w:tcPr>
          <w:p>
            <w:pPr>
              <w:spacing w:after="20"/>
            </w:pPr>
            <w:r/>
            <w:r>
              <w:rPr>
                <w:sz w:val="16"/>
              </w:rPr>
              <w:t>attempt recorded, further attempt made</w:t>
            </w:r>
          </w:p>
        </w:tc>
        <w:tc>
          <w:tcPr>
            <w:tcW w:type="dxa" w:w="907"/>
            <w:shd w:val="clear" w:color="auto" w:fill="EEF2F8"/>
          </w:tcPr>
          <w:p>
            <w:pPr>
              <w:spacing w:after="20"/>
            </w:pPr>
            <w:r/>
            <w:r>
              <w:rPr>
                <w:sz w:val="16"/>
              </w:rPr>
              <w:t>TC-08</w:t>
            </w:r>
          </w:p>
        </w:tc>
      </w:tr>
      <w:tr>
        <w:trPr>
          <w:cantSplit w:val="true"/>
        </w:trPr>
        <w:tc>
          <w:tcPr>
            <w:tcW w:type="dxa" w:w="2778"/>
          </w:tcPr>
          <w:p>
            <w:pPr>
              <w:spacing w:after="20"/>
            </w:pPr>
            <w:r/>
            <w:r>
              <w:rPr>
                <w:sz w:val="16"/>
              </w:rPr>
              <w:t>Patient declines consent</w:t>
            </w:r>
          </w:p>
        </w:tc>
        <w:tc>
          <w:tcPr>
            <w:tcW w:type="dxa" w:w="2551"/>
          </w:tcPr>
          <w:p>
            <w:pPr>
              <w:spacing w:after="20"/>
            </w:pPr>
            <w:r/>
            <w:r>
              <w:rPr>
                <w:sz w:val="16"/>
              </w:rPr>
              <w:t>consentGiven = false</w:t>
            </w:r>
          </w:p>
        </w:tc>
        <w:tc>
          <w:tcPr>
            <w:tcW w:type="dxa" w:w="3061"/>
          </w:tcPr>
          <w:p>
            <w:pPr>
              <w:spacing w:after="20"/>
            </w:pPr>
            <w:r/>
            <w:r>
              <w:rPr>
                <w:sz w:val="16"/>
              </w:rPr>
              <w:t>pathway closes with T_AdviseNoTreatment</w:t>
            </w:r>
          </w:p>
        </w:tc>
        <w:tc>
          <w:tcPr>
            <w:tcW w:type="dxa" w:w="907"/>
          </w:tcPr>
          <w:p>
            <w:pPr>
              <w:spacing w:after="20"/>
            </w:pPr>
            <w:r/>
            <w:r>
              <w:rPr>
                <w:sz w:val="16"/>
              </w:rPr>
              <w:t>TC-09</w:t>
            </w:r>
          </w:p>
        </w:tc>
      </w:tr>
      <w:tr>
        <w:trPr>
          <w:cantSplit w:val="true"/>
        </w:trPr>
        <w:tc>
          <w:tcPr>
            <w:tcW w:type="dxa" w:w="2778"/>
            <w:shd w:val="clear" w:color="auto" w:fill="EEF2F8"/>
          </w:tcPr>
          <w:p>
            <w:pPr>
              <w:spacing w:after="20"/>
            </w:pPr>
            <w:r/>
            <w:r>
              <w:rPr>
                <w:sz w:val="16"/>
              </w:rPr>
              <w:t>Treatment request not authorised</w:t>
            </w:r>
          </w:p>
        </w:tc>
        <w:tc>
          <w:tcPr>
            <w:tcW w:type="dxa" w:w="2551"/>
            <w:shd w:val="clear" w:color="auto" w:fill="EEF2F8"/>
          </w:tcPr>
          <w:p>
            <w:pPr>
              <w:spacing w:after="20"/>
            </w:pPr>
            <w:r/>
            <w:r>
              <w:rPr>
                <w:sz w:val="16"/>
              </w:rPr>
              <w:t>requestAuthorised = false</w:t>
            </w:r>
          </w:p>
        </w:tc>
        <w:tc>
          <w:tcPr>
            <w:tcW w:type="dxa" w:w="3061"/>
            <w:shd w:val="clear" w:color="auto" w:fill="EEF2F8"/>
          </w:tcPr>
          <w:p>
            <w:pPr>
              <w:spacing w:after="20"/>
            </w:pPr>
            <w:r/>
            <w:r>
              <w:rPr>
                <w:sz w:val="16"/>
              </w:rPr>
              <w:t>returned to the clinical team, no capacity requested</w:t>
            </w:r>
          </w:p>
        </w:tc>
        <w:tc>
          <w:tcPr>
            <w:tcW w:type="dxa" w:w="907"/>
            <w:shd w:val="clear" w:color="auto" w:fill="EEF2F8"/>
          </w:tcPr>
          <w:p>
            <w:pPr>
              <w:spacing w:after="20"/>
            </w:pPr>
            <w:r/>
            <w:r>
              <w:rPr>
                <w:sz w:val="16"/>
              </w:rPr>
              <w:t>TC-10</w:t>
            </w:r>
          </w:p>
        </w:tc>
      </w:tr>
      <w:tr>
        <w:trPr>
          <w:cantSplit w:val="true"/>
        </w:trPr>
        <w:tc>
          <w:tcPr>
            <w:tcW w:type="dxa" w:w="2778"/>
          </w:tcPr>
          <w:p>
            <w:pPr>
              <w:spacing w:after="20"/>
            </w:pPr>
            <w:r/>
            <w:r>
              <w:rPr>
                <w:sz w:val="16"/>
              </w:rPr>
              <w:t>External capacity unavailable</w:t>
            </w:r>
          </w:p>
        </w:tc>
        <w:tc>
          <w:tcPr>
            <w:tcW w:type="dxa" w:w="2551"/>
          </w:tcPr>
          <w:p>
            <w:pPr>
              <w:spacing w:after="20"/>
            </w:pPr>
            <w:r/>
            <w:r>
              <w:rPr>
                <w:sz w:val="16"/>
              </w:rPr>
              <w:t>treatmentCapacityConfirmed = false on the first attempt</w:t>
            </w:r>
          </w:p>
        </w:tc>
        <w:tc>
          <w:tcPr>
            <w:tcW w:type="dxa" w:w="3061"/>
          </w:tcPr>
          <w:p>
            <w:pPr>
              <w:spacing w:after="20"/>
            </w:pPr>
            <w:r/>
            <w:r>
              <w:rPr>
                <w:sz w:val="16"/>
              </w:rPr>
              <w:t>booking held pending with a recorded retry</w:t>
            </w:r>
          </w:p>
        </w:tc>
        <w:tc>
          <w:tcPr>
            <w:tcW w:type="dxa" w:w="907"/>
          </w:tcPr>
          <w:p>
            <w:pPr>
              <w:spacing w:after="20"/>
            </w:pPr>
            <w:r/>
            <w:r>
              <w:rPr>
                <w:sz w:val="16"/>
              </w:rPr>
              <w:t>TC-11</w:t>
            </w:r>
          </w:p>
        </w:tc>
      </w:tr>
      <w:tr>
        <w:trPr>
          <w:cantSplit w:val="true"/>
        </w:trPr>
        <w:tc>
          <w:tcPr>
            <w:tcW w:type="dxa" w:w="2778"/>
            <w:shd w:val="clear" w:color="auto" w:fill="EEF2F8"/>
          </w:tcPr>
          <w:p>
            <w:pPr>
              <w:spacing w:after="20"/>
            </w:pPr>
            <w:r/>
            <w:r>
              <w:rPr>
                <w:sz w:val="16"/>
              </w:rPr>
              <w:t>Funding not approved</w:t>
            </w:r>
          </w:p>
        </w:tc>
        <w:tc>
          <w:tcPr>
            <w:tcW w:type="dxa" w:w="2551"/>
            <w:shd w:val="clear" w:color="auto" w:fill="EEF2F8"/>
          </w:tcPr>
          <w:p>
            <w:pPr>
              <w:spacing w:after="20"/>
            </w:pPr>
            <w:r/>
            <w:r>
              <w:rPr>
                <w:sz w:val="16"/>
              </w:rPr>
              <w:t>fundingApproved = false</w:t>
            </w:r>
          </w:p>
        </w:tc>
        <w:tc>
          <w:tcPr>
            <w:tcW w:type="dxa" w:w="3061"/>
            <w:shd w:val="clear" w:color="auto" w:fill="EEF2F8"/>
          </w:tcPr>
          <w:p>
            <w:pPr>
              <w:spacing w:after="20"/>
            </w:pPr>
            <w:r/>
            <w:r>
              <w:rPr>
                <w:sz w:val="16"/>
              </w:rPr>
              <w:t>funding approval requested and recorded</w:t>
            </w:r>
          </w:p>
        </w:tc>
        <w:tc>
          <w:tcPr>
            <w:tcW w:type="dxa" w:w="907"/>
            <w:shd w:val="clear" w:color="auto" w:fill="EEF2F8"/>
          </w:tcPr>
          <w:p>
            <w:pPr>
              <w:spacing w:after="20"/>
            </w:pPr>
            <w:r/>
            <w:r>
              <w:rPr>
                <w:sz w:val="16"/>
              </w:rPr>
              <w:t>TC-12</w:t>
            </w:r>
          </w:p>
        </w:tc>
      </w:tr>
      <w:tr>
        <w:trPr>
          <w:cantSplit w:val="true"/>
        </w:trPr>
        <w:tc>
          <w:tcPr>
            <w:tcW w:type="dxa" w:w="2778"/>
          </w:tcPr>
          <w:p>
            <w:pPr>
              <w:spacing w:after="20"/>
            </w:pPr>
            <w:r/>
            <w:r>
              <w:rPr>
                <w:sz w:val="16"/>
              </w:rPr>
              <w:t>Advance payment taken and confirmed</w:t>
            </w:r>
          </w:p>
        </w:tc>
        <w:tc>
          <w:tcPr>
            <w:tcW w:type="dxa" w:w="2551"/>
          </w:tcPr>
          <w:p>
            <w:pPr>
              <w:spacing w:after="20"/>
            </w:pPr>
            <w:r/>
            <w:r>
              <w:rPr>
                <w:sz w:val="16"/>
              </w:rPr>
              <w:t>advancePaymentRequired = true, paymentStatus = confirmed</w:t>
            </w:r>
          </w:p>
        </w:tc>
        <w:tc>
          <w:tcPr>
            <w:tcW w:type="dxa" w:w="3061"/>
          </w:tcPr>
          <w:p>
            <w:pPr>
              <w:spacing w:after="20"/>
            </w:pPr>
            <w:r/>
            <w:r>
              <w:rPr>
                <w:sz w:val="16"/>
              </w:rPr>
              <w:t>payment recorded, schedule confirmed</w:t>
            </w:r>
          </w:p>
        </w:tc>
        <w:tc>
          <w:tcPr>
            <w:tcW w:type="dxa" w:w="907"/>
          </w:tcPr>
          <w:p>
            <w:pPr>
              <w:spacing w:after="20"/>
            </w:pPr>
            <w:r/>
            <w:r>
              <w:rPr>
                <w:sz w:val="16"/>
              </w:rPr>
              <w:t>TC-14</w:t>
            </w:r>
          </w:p>
        </w:tc>
      </w:tr>
      <w:tr>
        <w:trPr>
          <w:cantSplit w:val="true"/>
        </w:trPr>
        <w:tc>
          <w:tcPr>
            <w:tcW w:type="dxa" w:w="2778"/>
            <w:shd w:val="clear" w:color="auto" w:fill="EEF2F8"/>
          </w:tcPr>
          <w:p>
            <w:pPr>
              <w:spacing w:after="20"/>
            </w:pPr>
            <w:r/>
            <w:r>
              <w:rPr>
                <w:sz w:val="16"/>
              </w:rPr>
              <w:t>Payment declined</w:t>
            </w:r>
          </w:p>
        </w:tc>
        <w:tc>
          <w:tcPr>
            <w:tcW w:type="dxa" w:w="2551"/>
            <w:shd w:val="clear" w:color="auto" w:fill="EEF2F8"/>
          </w:tcPr>
          <w:p>
            <w:pPr>
              <w:spacing w:after="20"/>
            </w:pPr>
            <w:r/>
            <w:r>
              <w:rPr>
                <w:sz w:val="16"/>
              </w:rPr>
              <w:t>paymentStatus = declined</w:t>
            </w:r>
          </w:p>
        </w:tc>
        <w:tc>
          <w:tcPr>
            <w:tcW w:type="dxa" w:w="3061"/>
            <w:shd w:val="clear" w:color="auto" w:fill="EEF2F8"/>
          </w:tcPr>
          <w:p>
            <w:pPr>
              <w:spacing w:after="20"/>
            </w:pPr>
            <w:r/>
            <w:r>
              <w:rPr>
                <w:sz w:val="16"/>
              </w:rPr>
              <w:t>failure handled, further attempt permitted, no duplicate booking</w:t>
            </w:r>
          </w:p>
        </w:tc>
        <w:tc>
          <w:tcPr>
            <w:tcW w:type="dxa" w:w="907"/>
            <w:shd w:val="clear" w:color="auto" w:fill="EEF2F8"/>
          </w:tcPr>
          <w:p>
            <w:pPr>
              <w:spacing w:after="20"/>
            </w:pPr>
            <w:r/>
            <w:r>
              <w:rPr>
                <w:sz w:val="16"/>
              </w:rPr>
              <w:t>TC-15</w:t>
            </w:r>
          </w:p>
        </w:tc>
      </w:tr>
      <w:tr>
        <w:trPr>
          <w:cantSplit w:val="true"/>
        </w:trPr>
        <w:tc>
          <w:tcPr>
            <w:tcW w:type="dxa" w:w="2778"/>
          </w:tcPr>
          <w:p>
            <w:pPr>
              <w:spacing w:after="20"/>
            </w:pPr>
            <w:r/>
            <w:r>
              <w:rPr>
                <w:sz w:val="16"/>
              </w:rPr>
              <w:t>Payment taken but not confirmed</w:t>
            </w:r>
          </w:p>
        </w:tc>
        <w:tc>
          <w:tcPr>
            <w:tcW w:type="dxa" w:w="2551"/>
          </w:tcPr>
          <w:p>
            <w:pPr>
              <w:spacing w:after="20"/>
            </w:pPr>
            <w:r/>
            <w:r>
              <w:rPr>
                <w:sz w:val="16"/>
              </w:rPr>
              <w:t>paymentStatus = no response</w:t>
            </w:r>
          </w:p>
        </w:tc>
        <w:tc>
          <w:tcPr>
            <w:tcW w:type="dxa" w:w="3061"/>
          </w:tcPr>
          <w:p>
            <w:pPr>
              <w:spacing w:after="20"/>
            </w:pPr>
            <w:r/>
            <w:r>
              <w:rPr>
                <w:sz w:val="16"/>
              </w:rPr>
              <w:t>marked for investigation; no second request</w:t>
            </w:r>
          </w:p>
        </w:tc>
        <w:tc>
          <w:tcPr>
            <w:tcW w:type="dxa" w:w="907"/>
          </w:tcPr>
          <w:p>
            <w:pPr>
              <w:spacing w:after="20"/>
            </w:pPr>
            <w:r/>
            <w:r>
              <w:rPr>
                <w:sz w:val="16"/>
              </w:rPr>
              <w:t>TC-16</w:t>
            </w:r>
          </w:p>
        </w:tc>
      </w:tr>
      <w:tr>
        <w:trPr>
          <w:cantSplit w:val="true"/>
        </w:trPr>
        <w:tc>
          <w:tcPr>
            <w:tcW w:type="dxa" w:w="2778"/>
            <w:shd w:val="clear" w:color="auto" w:fill="EEF2F8"/>
          </w:tcPr>
          <w:p>
            <w:pPr>
              <w:spacing w:after="20"/>
            </w:pPr>
            <w:r/>
            <w:r>
              <w:rPr>
                <w:sz w:val="16"/>
              </w:rPr>
              <w:t>Urgent treatment without confirmed payment</w:t>
            </w:r>
          </w:p>
        </w:tc>
        <w:tc>
          <w:tcPr>
            <w:tcW w:type="dxa" w:w="2551"/>
            <w:shd w:val="clear" w:color="auto" w:fill="EEF2F8"/>
          </w:tcPr>
          <w:p>
            <w:pPr>
              <w:spacing w:after="20"/>
            </w:pPr>
            <w:r/>
            <w:r>
              <w:rPr>
                <w:sz w:val="16"/>
              </w:rPr>
              <w:t>paymentStatus = urgent clinical need</w:t>
            </w:r>
          </w:p>
        </w:tc>
        <w:tc>
          <w:tcPr>
            <w:tcW w:type="dxa" w:w="3061"/>
            <w:shd w:val="clear" w:color="auto" w:fill="EEF2F8"/>
          </w:tcPr>
          <w:p>
            <w:pPr>
              <w:spacing w:after="20"/>
            </w:pPr>
            <w:r/>
            <w:r>
              <w:rPr>
                <w:sz w:val="16"/>
              </w:rPr>
              <w:t>authorised, reason recorded, referred to Finance</w:t>
            </w:r>
          </w:p>
        </w:tc>
        <w:tc>
          <w:tcPr>
            <w:tcW w:type="dxa" w:w="907"/>
            <w:shd w:val="clear" w:color="auto" w:fill="EEF2F8"/>
          </w:tcPr>
          <w:p>
            <w:pPr>
              <w:spacing w:after="20"/>
            </w:pPr>
            <w:r/>
            <w:r>
              <w:rPr>
                <w:sz w:val="16"/>
              </w:rPr>
              <w:t>TC-17</w:t>
            </w:r>
          </w:p>
        </w:tc>
      </w:tr>
      <w:tr>
        <w:trPr>
          <w:cantSplit w:val="true"/>
        </w:trPr>
        <w:tc>
          <w:tcPr>
            <w:tcW w:type="dxa" w:w="2778"/>
          </w:tcPr>
          <w:p>
            <w:pPr>
              <w:spacing w:after="20"/>
            </w:pPr>
            <w:r/>
            <w:r>
              <w:rPr>
                <w:sz w:val="16"/>
              </w:rPr>
              <w:t>No advance payment required</w:t>
            </w:r>
          </w:p>
        </w:tc>
        <w:tc>
          <w:tcPr>
            <w:tcW w:type="dxa" w:w="2551"/>
          </w:tcPr>
          <w:p>
            <w:pPr>
              <w:spacing w:after="20"/>
            </w:pPr>
            <w:r/>
            <w:r>
              <w:rPr>
                <w:sz w:val="16"/>
              </w:rPr>
              <w:t>advancePaymentRequired = false</w:t>
            </w:r>
          </w:p>
        </w:tc>
        <w:tc>
          <w:tcPr>
            <w:tcW w:type="dxa" w:w="3061"/>
          </w:tcPr>
          <w:p>
            <w:pPr>
              <w:spacing w:after="20"/>
            </w:pPr>
            <w:r/>
            <w:r>
              <w:rPr>
                <w:sz w:val="16"/>
              </w:rPr>
              <w:t>no payment task created</w:t>
            </w:r>
          </w:p>
        </w:tc>
        <w:tc>
          <w:tcPr>
            <w:tcW w:type="dxa" w:w="907"/>
          </w:tcPr>
          <w:p>
            <w:pPr>
              <w:spacing w:after="20"/>
            </w:pPr>
            <w:r/>
            <w:r>
              <w:rPr>
                <w:sz w:val="16"/>
              </w:rPr>
              <w:t>TC-18</w:t>
            </w:r>
          </w:p>
        </w:tc>
      </w:tr>
    </w:tbl>
    <w:p>
      <w:pPr>
        <w:spacing w:after="40"/>
      </w:pPr>
    </w:p>
    <w:p>
      <w:pPr>
        <w:keepNext/>
        <w:spacing w:before="40" w:after="40"/>
      </w:pPr>
      <w:r>
        <w:rPr>
          <w:b/>
          <w:color w:val="595959"/>
          <w:sz w:val="17"/>
        </w:rPr>
        <w:t>Table 4. Paths, the data that selects them and the case that exercises them.</w:t>
      </w:r>
    </w:p>
    <w:p>
      <w:pPr>
        <w:pStyle w:val="Heading2"/>
      </w:pPr>
      <w:r>
        <w:t>1.5  The data contract that makes the paths selectable</w:t>
      </w:r>
    </w:p>
    <w:p>
      <w:r>
        <w:rPr>
          <w:b w:val="0"/>
          <w:i w:val="0"/>
        </w:rPr>
        <w:t>A branch is chosen by process data, never by editing the model. The table below reads the decisions out of the BPMN condition expressions themselves, so it can be checked against the files rather than trusted.</w:t>
      </w:r>
    </w:p>
    <w:tbl>
      <w:tblPr>
        <w:tblStyle w:val="TableGrid"/>
        <w:tblW w:type="dxa" w:w="9298"/>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041"/>
        <w:gridCol w:w="2835"/>
        <w:gridCol w:w="4422"/>
      </w:tblGrid>
      <w:tr>
        <w:trPr>
          <w:tblHeader w:val="true"/>
        </w:trPr>
        <w:tc>
          <w:tcPr>
            <w:tcW w:type="dxa" w:w="2041"/>
            <w:shd w:val="clear" w:color="auto" w:fill="1F3864"/>
          </w:tcPr>
          <w:p>
            <w:pPr>
              <w:spacing w:after="20"/>
            </w:pPr>
            <w:r/>
            <w:r>
              <w:rPr>
                <w:b/>
                <w:color w:val="FFFFFF"/>
                <w:sz w:val="15"/>
              </w:rPr>
              <w:t>Gateway</w:t>
            </w:r>
          </w:p>
        </w:tc>
        <w:tc>
          <w:tcPr>
            <w:tcW w:type="dxa" w:w="2835"/>
            <w:shd w:val="clear" w:color="auto" w:fill="1F3864"/>
          </w:tcPr>
          <w:p>
            <w:pPr>
              <w:spacing w:after="20"/>
            </w:pPr>
            <w:r/>
            <w:r>
              <w:rPr>
                <w:b/>
                <w:color w:val="FFFFFF"/>
                <w:sz w:val="15"/>
              </w:rPr>
              <w:t>Name</w:t>
            </w:r>
          </w:p>
        </w:tc>
        <w:tc>
          <w:tcPr>
            <w:tcW w:type="dxa" w:w="4422"/>
            <w:shd w:val="clear" w:color="auto" w:fill="1F3864"/>
          </w:tcPr>
          <w:p>
            <w:pPr>
              <w:spacing w:after="20"/>
            </w:pPr>
            <w:r/>
            <w:r>
              <w:rPr>
                <w:b/>
                <w:color w:val="FFFFFF"/>
                <w:sz w:val="15"/>
              </w:rPr>
              <w:t>Outgoing conditions (as written in the model)</w:t>
            </w:r>
          </w:p>
        </w:tc>
      </w:tr>
      <w:tr>
        <w:trPr>
          <w:cantSplit w:val="true"/>
        </w:trPr>
        <w:tc>
          <w:tcPr>
            <w:tcW w:type="dxa" w:w="2041"/>
          </w:tcPr>
          <w:p>
            <w:pPr>
              <w:spacing w:after="20"/>
            </w:pPr>
            <w:r/>
            <w:r>
              <w:rPr>
                <w:sz w:val="15"/>
              </w:rPr>
              <w:t>G_DocumentsComplete</w:t>
            </w:r>
          </w:p>
        </w:tc>
        <w:tc>
          <w:tcPr>
            <w:tcW w:type="dxa" w:w="2835"/>
          </w:tcPr>
          <w:p>
            <w:pPr>
              <w:spacing w:after="20"/>
            </w:pPr>
            <w:r/>
            <w:r>
              <w:rPr>
                <w:sz w:val="15"/>
              </w:rPr>
              <w:t>All expected supporting documents available?</w:t>
            </w:r>
          </w:p>
        </w:tc>
        <w:tc>
          <w:tcPr>
            <w:tcW w:type="dxa" w:w="4422"/>
          </w:tcPr>
          <w:p>
            <w:pPr>
              <w:spacing w:after="20"/>
            </w:pPr>
            <w:r/>
            <w:r>
              <w:rPr>
                <w:sz w:val="15"/>
              </w:rPr>
              <w:t>documentsComplete = false; documentsComplete = true</w:t>
            </w:r>
          </w:p>
        </w:tc>
      </w:tr>
      <w:tr>
        <w:trPr>
          <w:cantSplit w:val="true"/>
        </w:trPr>
        <w:tc>
          <w:tcPr>
            <w:tcW w:type="dxa" w:w="2041"/>
            <w:shd w:val="clear" w:color="auto" w:fill="EEF2F8"/>
          </w:tcPr>
          <w:p>
            <w:pPr>
              <w:spacing w:after="20"/>
            </w:pPr>
            <w:r/>
            <w:r>
              <w:rPr>
                <w:sz w:val="15"/>
              </w:rPr>
              <w:t>G_ReferralDecision</w:t>
            </w:r>
          </w:p>
        </w:tc>
        <w:tc>
          <w:tcPr>
            <w:tcW w:type="dxa" w:w="2835"/>
            <w:shd w:val="clear" w:color="auto" w:fill="EEF2F8"/>
          </w:tcPr>
          <w:p>
            <w:pPr>
              <w:spacing w:after="20"/>
            </w:pPr>
            <w:r/>
            <w:r>
              <w:rPr>
                <w:sz w:val="15"/>
              </w:rPr>
              <w:t>Referral decision?</w:t>
            </w:r>
          </w:p>
        </w:tc>
        <w:tc>
          <w:tcPr>
            <w:tcW w:type="dxa" w:w="4422"/>
            <w:shd w:val="clear" w:color="auto" w:fill="EEF2F8"/>
          </w:tcPr>
          <w:p>
            <w:pPr>
              <w:spacing w:after="20"/>
            </w:pPr>
            <w:r/>
            <w:r>
              <w:rPr>
                <w:sz w:val="15"/>
              </w:rPr>
              <w:t>referralDecision = "information required"; referralDecision = "rejected"; referralDecision = "redirected"; ref</w:t>
            </w:r>
          </w:p>
        </w:tc>
      </w:tr>
      <w:tr>
        <w:trPr>
          <w:cantSplit w:val="true"/>
        </w:trPr>
        <w:tc>
          <w:tcPr>
            <w:tcW w:type="dxa" w:w="2041"/>
          </w:tcPr>
          <w:p>
            <w:pPr>
              <w:spacing w:after="20"/>
            </w:pPr>
            <w:r/>
            <w:r>
              <w:rPr>
                <w:sz w:val="15"/>
              </w:rPr>
              <w:t>G_UrgentReferral</w:t>
            </w:r>
          </w:p>
        </w:tc>
        <w:tc>
          <w:tcPr>
            <w:tcW w:type="dxa" w:w="2835"/>
          </w:tcPr>
          <w:p>
            <w:pPr>
              <w:spacing w:after="20"/>
            </w:pPr>
            <w:r/>
            <w:r>
              <w:rPr>
                <w:sz w:val="15"/>
              </w:rPr>
              <w:t>Urgent referral requiring expedited booking?</w:t>
            </w:r>
          </w:p>
        </w:tc>
        <w:tc>
          <w:tcPr>
            <w:tcW w:type="dxa" w:w="4422"/>
          </w:tcPr>
          <w:p>
            <w:pPr>
              <w:spacing w:after="20"/>
            </w:pPr>
            <w:r/>
            <w:r>
              <w:rPr>
                <w:sz w:val="15"/>
              </w:rPr>
              <w:t>referralUrgency = "urgent"; referralUrgency = "routine"</w:t>
            </w:r>
          </w:p>
        </w:tc>
      </w:tr>
      <w:tr>
        <w:trPr>
          <w:cantSplit w:val="true"/>
        </w:trPr>
        <w:tc>
          <w:tcPr>
            <w:tcW w:type="dxa" w:w="2041"/>
            <w:shd w:val="clear" w:color="auto" w:fill="EEF2F8"/>
          </w:tcPr>
          <w:p>
            <w:pPr>
              <w:spacing w:after="20"/>
            </w:pPr>
            <w:r/>
            <w:r>
              <w:rPr>
                <w:sz w:val="15"/>
              </w:rPr>
              <w:t>G_SlotsAvailable</w:t>
            </w:r>
          </w:p>
        </w:tc>
        <w:tc>
          <w:tcPr>
            <w:tcW w:type="dxa" w:w="2835"/>
            <w:shd w:val="clear" w:color="auto" w:fill="EEF2F8"/>
          </w:tcPr>
          <w:p>
            <w:pPr>
              <w:spacing w:after="20"/>
            </w:pPr>
            <w:r/>
            <w:r>
              <w:rPr>
                <w:sz w:val="15"/>
              </w:rPr>
              <w:t>Suitable appointment available within the requ</w:t>
            </w:r>
          </w:p>
        </w:tc>
        <w:tc>
          <w:tcPr>
            <w:tcW w:type="dxa" w:w="4422"/>
            <w:shd w:val="clear" w:color="auto" w:fill="EEF2F8"/>
          </w:tcPr>
          <w:p>
            <w:pPr>
              <w:spacing w:after="20"/>
            </w:pPr>
            <w:r/>
            <w:r>
              <w:rPr>
                <w:sz w:val="15"/>
              </w:rPr>
              <w:t>suitableSlotFound = false; suitableSlotFound = true</w:t>
            </w:r>
          </w:p>
        </w:tc>
      </w:tr>
      <w:tr>
        <w:trPr>
          <w:cantSplit w:val="true"/>
        </w:trPr>
        <w:tc>
          <w:tcPr>
            <w:tcW w:type="dxa" w:w="2041"/>
          </w:tcPr>
          <w:p>
            <w:pPr>
              <w:spacing w:after="20"/>
            </w:pPr>
            <w:r/>
            <w:r>
              <w:rPr>
                <w:sz w:val="15"/>
              </w:rPr>
              <w:t>G_WithinFourteenDays</w:t>
            </w:r>
          </w:p>
        </w:tc>
        <w:tc>
          <w:tcPr>
            <w:tcW w:type="dxa" w:w="2835"/>
          </w:tcPr>
          <w:p>
            <w:pPr>
              <w:spacing w:after="20"/>
            </w:pPr>
            <w:r/>
            <w:r>
              <w:rPr>
                <w:sz w:val="15"/>
              </w:rPr>
              <w:t>Appointment due within the next 14 days?</w:t>
            </w:r>
          </w:p>
        </w:tc>
        <w:tc>
          <w:tcPr>
            <w:tcW w:type="dxa" w:w="4422"/>
          </w:tcPr>
          <w:p>
            <w:pPr>
              <w:spacing w:after="20"/>
            </w:pPr>
            <w:r/>
            <w:r>
              <w:rPr>
                <w:sz w:val="15"/>
              </w:rPr>
              <w:t>appointmentWithin14Days = false; appointmentWithin14Days = true</w:t>
            </w:r>
          </w:p>
        </w:tc>
      </w:tr>
      <w:tr>
        <w:trPr>
          <w:cantSplit w:val="true"/>
        </w:trPr>
        <w:tc>
          <w:tcPr>
            <w:tcW w:type="dxa" w:w="2041"/>
            <w:shd w:val="clear" w:color="auto" w:fill="EEF2F8"/>
          </w:tcPr>
          <w:p>
            <w:pPr>
              <w:spacing w:after="20"/>
            </w:pPr>
            <w:r/>
            <w:r>
              <w:rPr>
                <w:sz w:val="15"/>
              </w:rPr>
              <w:t>G_ContactSuccessful</w:t>
            </w:r>
          </w:p>
        </w:tc>
        <w:tc>
          <w:tcPr>
            <w:tcW w:type="dxa" w:w="2835"/>
            <w:shd w:val="clear" w:color="auto" w:fill="EEF2F8"/>
          </w:tcPr>
          <w:p>
            <w:pPr>
              <w:spacing w:after="20"/>
            </w:pPr>
            <w:r/>
            <w:r>
              <w:rPr>
                <w:sz w:val="15"/>
              </w:rPr>
              <w:t>Patient confirmed the appointment?</w:t>
            </w:r>
          </w:p>
        </w:tc>
        <w:tc>
          <w:tcPr>
            <w:tcW w:type="dxa" w:w="4422"/>
            <w:shd w:val="clear" w:color="auto" w:fill="EEF2F8"/>
          </w:tcPr>
          <w:p>
            <w:pPr>
              <w:spacing w:after="20"/>
            </w:pPr>
            <w:r/>
            <w:r>
              <w:rPr>
                <w:sz w:val="15"/>
              </w:rPr>
              <w:t>contactSuccessful = false; contactSuccessful = true</w:t>
            </w:r>
          </w:p>
        </w:tc>
      </w:tr>
      <w:tr>
        <w:trPr>
          <w:cantSplit w:val="true"/>
        </w:trPr>
        <w:tc>
          <w:tcPr>
            <w:tcW w:type="dxa" w:w="2041"/>
          </w:tcPr>
          <w:p>
            <w:pPr>
              <w:spacing w:after="20"/>
            </w:pPr>
            <w:r/>
            <w:r>
              <w:rPr>
                <w:sz w:val="15"/>
              </w:rPr>
              <w:t>G_PatientConsent</w:t>
            </w:r>
          </w:p>
        </w:tc>
        <w:tc>
          <w:tcPr>
            <w:tcW w:type="dxa" w:w="2835"/>
          </w:tcPr>
          <w:p>
            <w:pPr>
              <w:spacing w:after="20"/>
            </w:pPr>
            <w:r/>
            <w:r>
              <w:rPr>
                <w:sz w:val="15"/>
              </w:rPr>
              <w:t>Patient consents to proceed with treatment?</w:t>
            </w:r>
          </w:p>
        </w:tc>
        <w:tc>
          <w:tcPr>
            <w:tcW w:type="dxa" w:w="4422"/>
          </w:tcPr>
          <w:p>
            <w:pPr>
              <w:spacing w:after="20"/>
            </w:pPr>
            <w:r/>
            <w:r>
              <w:rPr>
                <w:sz w:val="15"/>
              </w:rPr>
              <w:t>consentGiven = true; consentGiven = false</w:t>
            </w:r>
          </w:p>
        </w:tc>
      </w:tr>
      <w:tr>
        <w:trPr>
          <w:cantSplit w:val="true"/>
        </w:trPr>
        <w:tc>
          <w:tcPr>
            <w:tcW w:type="dxa" w:w="2041"/>
            <w:shd w:val="clear" w:color="auto" w:fill="EEF2F8"/>
          </w:tcPr>
          <w:p>
            <w:pPr>
              <w:spacing w:after="20"/>
            </w:pPr>
            <w:r/>
            <w:r>
              <w:rPr>
                <w:sz w:val="15"/>
              </w:rPr>
              <w:t>G_RequestAuthorised</w:t>
            </w:r>
          </w:p>
        </w:tc>
        <w:tc>
          <w:tcPr>
            <w:tcW w:type="dxa" w:w="2835"/>
            <w:shd w:val="clear" w:color="auto" w:fill="EEF2F8"/>
          </w:tcPr>
          <w:p>
            <w:pPr>
              <w:spacing w:after="20"/>
            </w:pPr>
            <w:r/>
            <w:r>
              <w:rPr>
                <w:sz w:val="15"/>
              </w:rPr>
              <w:t>Request completed and authorised by an authori</w:t>
            </w:r>
          </w:p>
        </w:tc>
        <w:tc>
          <w:tcPr>
            <w:tcW w:type="dxa" w:w="4422"/>
            <w:shd w:val="clear" w:color="auto" w:fill="EEF2F8"/>
          </w:tcPr>
          <w:p>
            <w:pPr>
              <w:spacing w:after="20"/>
            </w:pPr>
            <w:r/>
            <w:r>
              <w:rPr>
                <w:sz w:val="15"/>
              </w:rPr>
              <w:t>requestAuthorised = false; requestAuthorised = true</w:t>
            </w:r>
          </w:p>
        </w:tc>
      </w:tr>
      <w:tr>
        <w:trPr>
          <w:cantSplit w:val="true"/>
        </w:trPr>
        <w:tc>
          <w:tcPr>
            <w:tcW w:type="dxa" w:w="2041"/>
          </w:tcPr>
          <w:p>
            <w:pPr>
              <w:spacing w:after="20"/>
            </w:pPr>
            <w:r/>
            <w:r>
              <w:rPr>
                <w:sz w:val="15"/>
              </w:rPr>
              <w:t>G_CapacityConfirmed</w:t>
            </w:r>
          </w:p>
        </w:tc>
        <w:tc>
          <w:tcPr>
            <w:tcW w:type="dxa" w:w="2835"/>
          </w:tcPr>
          <w:p>
            <w:pPr>
              <w:spacing w:after="20"/>
            </w:pPr>
            <w:r/>
            <w:r>
              <w:rPr>
                <w:sz w:val="15"/>
              </w:rPr>
              <w:t>External treatment capacity confirmed?</w:t>
            </w:r>
          </w:p>
        </w:tc>
        <w:tc>
          <w:tcPr>
            <w:tcW w:type="dxa" w:w="4422"/>
          </w:tcPr>
          <w:p>
            <w:pPr>
              <w:spacing w:after="20"/>
            </w:pPr>
            <w:r/>
            <w:r>
              <w:rPr>
                <w:sz w:val="15"/>
              </w:rPr>
              <w:t>treatmentCapacityConfirmed = false; treatmentCapacityConfirmed = true</w:t>
            </w:r>
          </w:p>
        </w:tc>
      </w:tr>
      <w:tr>
        <w:trPr>
          <w:cantSplit w:val="true"/>
        </w:trPr>
        <w:tc>
          <w:tcPr>
            <w:tcW w:type="dxa" w:w="2041"/>
            <w:shd w:val="clear" w:color="auto" w:fill="EEF2F8"/>
          </w:tcPr>
          <w:p>
            <w:pPr>
              <w:spacing w:after="20"/>
            </w:pPr>
            <w:r/>
            <w:r>
              <w:rPr>
                <w:sz w:val="15"/>
              </w:rPr>
              <w:t>G_FundingApproved</w:t>
            </w:r>
          </w:p>
        </w:tc>
        <w:tc>
          <w:tcPr>
            <w:tcW w:type="dxa" w:w="2835"/>
            <w:shd w:val="clear" w:color="auto" w:fill="EEF2F8"/>
          </w:tcPr>
          <w:p>
            <w:pPr>
              <w:spacing w:after="20"/>
            </w:pPr>
            <w:r/>
            <w:r>
              <w:rPr>
                <w:sz w:val="15"/>
              </w:rPr>
              <w:t>Funding approved or no payment required?</w:t>
            </w:r>
          </w:p>
        </w:tc>
        <w:tc>
          <w:tcPr>
            <w:tcW w:type="dxa" w:w="4422"/>
            <w:shd w:val="clear" w:color="auto" w:fill="EEF2F8"/>
          </w:tcPr>
          <w:p>
            <w:pPr>
              <w:spacing w:after="20"/>
            </w:pPr>
            <w:r/>
            <w:r>
              <w:rPr>
                <w:sz w:val="15"/>
              </w:rPr>
              <w:t>fundingApproved = false; fundingApproved = true</w:t>
            </w:r>
          </w:p>
        </w:tc>
      </w:tr>
      <w:tr>
        <w:trPr>
          <w:cantSplit w:val="true"/>
        </w:trPr>
        <w:tc>
          <w:tcPr>
            <w:tcW w:type="dxa" w:w="2041"/>
          </w:tcPr>
          <w:p>
            <w:pPr>
              <w:spacing w:after="20"/>
            </w:pPr>
            <w:r/>
            <w:r>
              <w:rPr>
                <w:sz w:val="15"/>
              </w:rPr>
              <w:t>G_AdvancePaymentRequired</w:t>
            </w:r>
          </w:p>
        </w:tc>
        <w:tc>
          <w:tcPr>
            <w:tcW w:type="dxa" w:w="2835"/>
          </w:tcPr>
          <w:p>
            <w:pPr>
              <w:spacing w:after="20"/>
            </w:pPr>
            <w:r/>
            <w:r>
              <w:rPr>
                <w:sz w:val="15"/>
              </w:rPr>
              <w:t>Advance payment required before the appointmen</w:t>
            </w:r>
          </w:p>
        </w:tc>
        <w:tc>
          <w:tcPr>
            <w:tcW w:type="dxa" w:w="4422"/>
          </w:tcPr>
          <w:p>
            <w:pPr>
              <w:spacing w:after="20"/>
            </w:pPr>
            <w:r/>
            <w:r>
              <w:rPr>
                <w:sz w:val="15"/>
              </w:rPr>
              <w:t>(default); advancePaymentRequired = true</w:t>
            </w:r>
          </w:p>
        </w:tc>
      </w:tr>
      <w:tr>
        <w:trPr>
          <w:cantSplit w:val="true"/>
        </w:trPr>
        <w:tc>
          <w:tcPr>
            <w:tcW w:type="dxa" w:w="2041"/>
            <w:shd w:val="clear" w:color="auto" w:fill="EEF2F8"/>
          </w:tcPr>
          <w:p>
            <w:pPr>
              <w:spacing w:after="20"/>
            </w:pPr>
            <w:r/>
            <w:r>
              <w:rPr>
                <w:sz w:val="15"/>
              </w:rPr>
              <w:t>G_PaymentOutcome</w:t>
            </w:r>
          </w:p>
        </w:tc>
        <w:tc>
          <w:tcPr>
            <w:tcW w:type="dxa" w:w="2835"/>
            <w:shd w:val="clear" w:color="auto" w:fill="EEF2F8"/>
          </w:tcPr>
          <w:p>
            <w:pPr>
              <w:spacing w:after="20"/>
            </w:pPr>
            <w:r/>
            <w:r>
              <w:rPr>
                <w:sz w:val="15"/>
              </w:rPr>
              <w:t>Payment outcome returned by the payment servic</w:t>
            </w:r>
          </w:p>
        </w:tc>
        <w:tc>
          <w:tcPr>
            <w:tcW w:type="dxa" w:w="4422"/>
            <w:shd w:val="clear" w:color="auto" w:fill="EEF2F8"/>
          </w:tcPr>
          <w:p>
            <w:pPr>
              <w:spacing w:after="20"/>
            </w:pPr>
            <w:r/>
            <w:r>
              <w:rPr>
                <w:sz w:val="15"/>
              </w:rPr>
              <w:t>paymentStatus = "declined"; paymentStatus = "confirmed"; paymentStatus = "no response"; paymentStatus = "urgen</w:t>
            </w:r>
          </w:p>
        </w:tc>
      </w:tr>
    </w:tbl>
    <w:p>
      <w:pPr>
        <w:spacing w:after="40"/>
      </w:pPr>
    </w:p>
    <w:p>
      <w:pPr>
        <w:keepNext/>
        <w:spacing w:before="40" w:after="40"/>
      </w:pPr>
      <w:r>
        <w:rPr>
          <w:b/>
          <w:color w:val="595959"/>
          <w:sz w:val="17"/>
        </w:rPr>
        <w:t>Table 5. Gateway conditions in PR_Operational_Merged. A blank expression on one branch is the default flow; every diverging exclusive gateway declares one.</w:t>
      </w:r>
    </w:p>
    <w:p>
      <w:pPr>
        <w:pStyle w:val="Heading2"/>
      </w:pPr>
      <w:r>
        <w:t>1.6  Deployment configuration</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494"/>
        <w:gridCol w:w="7144"/>
      </w:tblGrid>
      <w:tr>
        <w:trPr>
          <w:tblHeader w:val="true"/>
        </w:trPr>
        <w:tc>
          <w:tcPr>
            <w:tcW w:type="dxa" w:w="2494"/>
            <w:shd w:val="clear" w:color="auto" w:fill="1F3864"/>
          </w:tcPr>
          <w:p>
            <w:pPr>
              <w:spacing w:after="20"/>
            </w:pPr>
            <w:r/>
            <w:r>
              <w:rPr>
                <w:b/>
                <w:color w:val="FFFFFF"/>
                <w:sz w:val="17"/>
              </w:rPr>
              <w:t>Item</w:t>
            </w:r>
          </w:p>
        </w:tc>
        <w:tc>
          <w:tcPr>
            <w:tcW w:type="dxa" w:w="7143"/>
            <w:shd w:val="clear" w:color="auto" w:fill="1F3864"/>
          </w:tcPr>
          <w:p>
            <w:pPr>
              <w:spacing w:after="20"/>
            </w:pPr>
            <w:r/>
            <w:r>
              <w:rPr>
                <w:b/>
                <w:color w:val="FFFFFF"/>
                <w:sz w:val="17"/>
              </w:rPr>
              <w:t>Configuration</w:t>
            </w:r>
          </w:p>
        </w:tc>
      </w:tr>
      <w:tr>
        <w:trPr>
          <w:cantSplit w:val="true"/>
        </w:trPr>
        <w:tc>
          <w:tcPr>
            <w:tcW w:type="dxa" w:w="2494"/>
          </w:tcPr>
          <w:p>
            <w:pPr>
              <w:spacing w:after="20"/>
            </w:pPr>
            <w:r/>
            <w:r>
              <w:rPr>
                <w:sz w:val="17"/>
              </w:rPr>
              <w:t>Execution platform</w:t>
            </w:r>
          </w:p>
        </w:tc>
        <w:tc>
          <w:tcPr>
            <w:tcW w:type="dxa" w:w="7143"/>
          </w:tcPr>
          <w:p>
            <w:pPr>
              <w:spacing w:after="20"/>
            </w:pPr>
            <w:r/>
            <w:r>
              <w:rPr>
                <w:sz w:val="17"/>
              </w:rPr>
              <w:t>Camunda 8 (Zeebe) 8.10 — declared in each .bpmn</w:t>
            </w:r>
          </w:p>
        </w:tc>
      </w:tr>
      <w:tr>
        <w:trPr>
          <w:cantSplit w:val="true"/>
        </w:trPr>
        <w:tc>
          <w:tcPr>
            <w:tcW w:type="dxa" w:w="2494"/>
            <w:shd w:val="clear" w:color="auto" w:fill="EEF2F8"/>
          </w:tcPr>
          <w:p>
            <w:pPr>
              <w:spacing w:after="20"/>
            </w:pPr>
            <w:r/>
            <w:r>
              <w:rPr>
                <w:sz w:val="17"/>
              </w:rPr>
              <w:t>Engine run</w:t>
            </w:r>
          </w:p>
        </w:tc>
        <w:tc>
          <w:tcPr>
            <w:tcW w:type="dxa" w:w="7143"/>
            <w:shd w:val="clear" w:color="auto" w:fill="EEF2F8"/>
          </w:tcPr>
          <w:p>
            <w:pPr>
              <w:spacing w:after="20"/>
            </w:pPr>
            <w:r/>
            <w:r>
              <w:rPr>
                <w:sz w:val="17"/>
              </w:rPr>
              <w:t>Camunda 8 Run 8.10.0-alpha5, single broker, RDBMS secondary storage</w:t>
            </w:r>
          </w:p>
        </w:tc>
      </w:tr>
      <w:tr>
        <w:trPr>
          <w:cantSplit w:val="true"/>
        </w:trPr>
        <w:tc>
          <w:tcPr>
            <w:tcW w:type="dxa" w:w="2494"/>
          </w:tcPr>
          <w:p>
            <w:pPr>
              <w:spacing w:after="20"/>
            </w:pPr>
            <w:r/>
            <w:r>
              <w:rPr>
                <w:sz w:val="17"/>
              </w:rPr>
              <w:t>Modeler</w:t>
            </w:r>
          </w:p>
        </w:tc>
        <w:tc>
          <w:tcPr>
            <w:tcW w:type="dxa" w:w="7143"/>
          </w:tcPr>
          <w:p>
            <w:pPr>
              <w:spacing w:after="20"/>
            </w:pPr>
            <w:r/>
            <w:r>
              <w:rPr>
                <w:sz w:val="17"/>
              </w:rPr>
              <w:t>Camunda Modeler 5.51.0</w:t>
            </w:r>
          </w:p>
        </w:tc>
      </w:tr>
      <w:tr>
        <w:trPr>
          <w:cantSplit w:val="true"/>
        </w:trPr>
        <w:tc>
          <w:tcPr>
            <w:tcW w:type="dxa" w:w="2494"/>
            <w:shd w:val="clear" w:color="auto" w:fill="EEF2F8"/>
          </w:tcPr>
          <w:p>
            <w:pPr>
              <w:spacing w:after="20"/>
            </w:pPr>
            <w:r/>
            <w:r>
              <w:rPr>
                <w:sz w:val="17"/>
              </w:rPr>
              <w:t>Form binding</w:t>
            </w:r>
          </w:p>
        </w:tc>
        <w:tc>
          <w:tcPr>
            <w:tcW w:type="dxa" w:w="7143"/>
            <w:shd w:val="clear" w:color="auto" w:fill="EEF2F8"/>
          </w:tcPr>
          <w:p>
            <w:pPr>
              <w:spacing w:after="20"/>
            </w:pPr>
            <w:r/>
            <w:r>
              <w:rPr>
                <w:sz w:val="17"/>
              </w:rPr>
              <w:t>zeebe:formDefinition with bindingType="latest" on every user task</w:t>
            </w:r>
          </w:p>
        </w:tc>
      </w:tr>
      <w:tr>
        <w:trPr>
          <w:cantSplit w:val="true"/>
        </w:trPr>
        <w:tc>
          <w:tcPr>
            <w:tcW w:type="dxa" w:w="2494"/>
          </w:tcPr>
          <w:p>
            <w:pPr>
              <w:spacing w:after="20"/>
            </w:pPr>
            <w:r/>
            <w:r>
              <w:rPr>
                <w:sz w:val="17"/>
              </w:rPr>
              <w:t>Deployment unit</w:t>
            </w:r>
          </w:p>
        </w:tc>
        <w:tc>
          <w:tcPr>
            <w:tcW w:type="dxa" w:w="7143"/>
          </w:tcPr>
          <w:p>
            <w:pPr>
              <w:spacing w:after="20"/>
            </w:pPr>
            <w:r/>
            <w:r>
              <w:rPr>
                <w:sz w:val="17"/>
              </w:rPr>
              <w:t>one deployment per model carrying its forms with it (09_Tests_and_Tools/deploy-all.mjs)</w:t>
            </w:r>
          </w:p>
        </w:tc>
      </w:tr>
      <w:tr>
        <w:trPr>
          <w:cantSplit w:val="true"/>
        </w:trPr>
        <w:tc>
          <w:tcPr>
            <w:tcW w:type="dxa" w:w="2494"/>
            <w:shd w:val="clear" w:color="auto" w:fill="EEF2F8"/>
          </w:tcPr>
          <w:p>
            <w:pPr>
              <w:spacing w:after="20"/>
            </w:pPr>
            <w:r/>
            <w:r>
              <w:rPr>
                <w:sz w:val="17"/>
              </w:rPr>
              <w:t>Job workers</w:t>
            </w:r>
          </w:p>
        </w:tc>
        <w:tc>
          <w:tcPr>
            <w:tcW w:type="dxa" w:w="7143"/>
            <w:shd w:val="clear" w:color="auto" w:fill="EEF2F8"/>
          </w:tcPr>
          <w:p>
            <w:pPr>
              <w:spacing w:after="20"/>
            </w:pPr>
            <w:r/>
            <w:r>
              <w:rPr>
                <w:sz w:val="17"/>
              </w:rPr>
              <w:t>twelve job types subscribed by the worker fleet (section 2)</w:t>
            </w:r>
          </w:p>
        </w:tc>
      </w:tr>
      <w:tr>
        <w:trPr>
          <w:cantSplit w:val="true"/>
        </w:trPr>
        <w:tc>
          <w:tcPr>
            <w:tcW w:type="dxa" w:w="2494"/>
          </w:tcPr>
          <w:p>
            <w:pPr>
              <w:spacing w:after="20"/>
            </w:pPr>
            <w:r/>
            <w:r>
              <w:rPr>
                <w:sz w:val="17"/>
              </w:rPr>
              <w:t>Message correlation</w:t>
            </w:r>
          </w:p>
        </w:tc>
        <w:tc>
          <w:tcPr>
            <w:tcW w:type="dxa" w:w="7143"/>
          </w:tcPr>
          <w:p>
            <w:pPr>
              <w:spacing w:after="20"/>
            </w:pPr>
            <w:r/>
            <w:r>
              <w:rPr>
                <w:sz w:val="17"/>
              </w:rPr>
              <w:t>correlation key referralReference on both directions of the cross-pool exchange</w:t>
            </w:r>
          </w:p>
        </w:tc>
      </w:tr>
    </w:tbl>
    <w:p>
      <w:pPr>
        <w:spacing w:after="40"/>
      </w:pPr>
    </w:p>
    <w:p>
      <w:pPr>
        <w:pStyle w:val="Heading2"/>
      </w:pPr>
      <w:r>
        <w:t>1.7  Validation, deployment and execution</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041"/>
        <w:gridCol w:w="4536"/>
        <w:gridCol w:w="3061"/>
      </w:tblGrid>
      <w:tr>
        <w:trPr>
          <w:tblHeader w:val="true"/>
        </w:trPr>
        <w:tc>
          <w:tcPr>
            <w:tcW w:type="dxa" w:w="2041"/>
            <w:shd w:val="clear" w:color="auto" w:fill="1F3864"/>
          </w:tcPr>
          <w:p>
            <w:pPr>
              <w:spacing w:after="20"/>
            </w:pPr>
            <w:r/>
            <w:r>
              <w:rPr>
                <w:b/>
                <w:color w:val="FFFFFF"/>
                <w:sz w:val="17"/>
              </w:rPr>
              <w:t>Check</w:t>
            </w:r>
          </w:p>
        </w:tc>
        <w:tc>
          <w:tcPr>
            <w:tcW w:type="dxa" w:w="4535"/>
            <w:shd w:val="clear" w:color="auto" w:fill="1F3864"/>
          </w:tcPr>
          <w:p>
            <w:pPr>
              <w:spacing w:after="20"/>
            </w:pPr>
            <w:r/>
            <w:r>
              <w:rPr>
                <w:b/>
                <w:color w:val="FFFFFF"/>
                <w:sz w:val="17"/>
              </w:rPr>
              <w:t>Tool</w:t>
            </w:r>
          </w:p>
        </w:tc>
        <w:tc>
          <w:tcPr>
            <w:tcW w:type="dxa" w:w="3061"/>
            <w:shd w:val="clear" w:color="auto" w:fill="1F3864"/>
          </w:tcPr>
          <w:p>
            <w:pPr>
              <w:spacing w:after="20"/>
            </w:pPr>
            <w:r/>
            <w:r>
              <w:rPr>
                <w:b/>
                <w:color w:val="FFFFFF"/>
                <w:sz w:val="17"/>
              </w:rPr>
              <w:t>Result</w:t>
            </w:r>
          </w:p>
        </w:tc>
      </w:tr>
      <w:tr>
        <w:trPr>
          <w:cantSplit w:val="true"/>
        </w:trPr>
        <w:tc>
          <w:tcPr>
            <w:tcW w:type="dxa" w:w="2041"/>
          </w:tcPr>
          <w:p>
            <w:pPr>
              <w:spacing w:after="20"/>
            </w:pPr>
            <w:r/>
            <w:r>
              <w:rPr>
                <w:sz w:val="17"/>
              </w:rPr>
              <w:t>Schema round-trip</w:t>
            </w:r>
          </w:p>
        </w:tc>
        <w:tc>
          <w:tcPr>
            <w:tcW w:type="dxa" w:w="4535"/>
          </w:tcPr>
          <w:p>
            <w:pPr>
              <w:spacing w:after="20"/>
            </w:pPr>
            <w:r/>
            <w:r>
              <w:rPr>
                <w:sz w:val="17"/>
              </w:rPr>
              <w:t>bpmn-moddle 10.1.0 (Zeebe and modeler extensions)</w:t>
            </w:r>
          </w:p>
        </w:tc>
        <w:tc>
          <w:tcPr>
            <w:tcW w:type="dxa" w:w="3061"/>
          </w:tcPr>
          <w:p>
            <w:pPr>
              <w:spacing w:after="20"/>
            </w:pPr>
            <w:r/>
            <w:r>
              <w:rPr>
                <w:sz w:val="17"/>
              </w:rPr>
              <w:t>0 warnings, four models</w:t>
            </w:r>
          </w:p>
        </w:tc>
      </w:tr>
      <w:tr>
        <w:trPr>
          <w:cantSplit w:val="true"/>
        </w:trPr>
        <w:tc>
          <w:tcPr>
            <w:tcW w:type="dxa" w:w="2041"/>
            <w:shd w:val="clear" w:color="auto" w:fill="EEF2F8"/>
          </w:tcPr>
          <w:p>
            <w:pPr>
              <w:spacing w:after="20"/>
            </w:pPr>
            <w:r/>
            <w:r>
              <w:rPr>
                <w:sz w:val="17"/>
              </w:rPr>
              <w:t>Camunda 8 compatibility lint</w:t>
            </w:r>
          </w:p>
        </w:tc>
        <w:tc>
          <w:tcPr>
            <w:tcW w:type="dxa" w:w="4535"/>
            <w:shd w:val="clear" w:color="auto" w:fill="EEF2F8"/>
          </w:tcPr>
          <w:p>
            <w:pPr>
              <w:spacing w:after="20"/>
            </w:pPr>
            <w:r/>
            <w:r>
              <w:rPr>
                <w:sz w:val="17"/>
              </w:rPr>
              <w:t>@camunda/linting 3.57.0 (Camunda 8 target)</w:t>
            </w:r>
          </w:p>
        </w:tc>
        <w:tc>
          <w:tcPr>
            <w:tcW w:type="dxa" w:w="3061"/>
            <w:shd w:val="clear" w:color="auto" w:fill="EEF2F8"/>
          </w:tcPr>
          <w:p>
            <w:pPr>
              <w:spacing w:after="20"/>
            </w:pPr>
            <w:r/>
            <w:r>
              <w:rPr>
                <w:sz w:val="17"/>
              </w:rPr>
              <w:t>0 reports, four models</w:t>
            </w:r>
          </w:p>
        </w:tc>
      </w:tr>
      <w:tr>
        <w:trPr>
          <w:cantSplit w:val="true"/>
        </w:trPr>
        <w:tc>
          <w:tcPr>
            <w:tcW w:type="dxa" w:w="2041"/>
          </w:tcPr>
          <w:p>
            <w:pPr>
              <w:spacing w:after="20"/>
            </w:pPr>
            <w:r/>
            <w:r>
              <w:rPr>
                <w:sz w:val="17"/>
              </w:rPr>
              <w:t>Structural audit</w:t>
            </w:r>
          </w:p>
        </w:tc>
        <w:tc>
          <w:tcPr>
            <w:tcW w:type="dxa" w:w="4535"/>
          </w:tcPr>
          <w:p>
            <w:pPr>
              <w:spacing w:after="20"/>
            </w:pPr>
            <w:r/>
            <w:r>
              <w:rPr>
                <w:sz w:val="17"/>
              </w:rPr>
              <w:t>validate-models.py: reachability, dead ends, gateway defaults, duplicate identifiers, empty lanes, lane membership</w:t>
            </w:r>
          </w:p>
        </w:tc>
        <w:tc>
          <w:tcPr>
            <w:tcW w:type="dxa" w:w="3061"/>
          </w:tcPr>
          <w:p>
            <w:pPr>
              <w:spacing w:after="20"/>
            </w:pPr>
            <w:r/>
            <w:r>
              <w:rPr>
                <w:sz w:val="17"/>
              </w:rPr>
              <w:t>0 defects</w:t>
            </w:r>
          </w:p>
        </w:tc>
      </w:tr>
      <w:tr>
        <w:trPr>
          <w:cantSplit w:val="true"/>
        </w:trPr>
        <w:tc>
          <w:tcPr>
            <w:tcW w:type="dxa" w:w="2041"/>
            <w:shd w:val="clear" w:color="auto" w:fill="EEF2F8"/>
          </w:tcPr>
          <w:p>
            <w:pPr>
              <w:spacing w:after="20"/>
            </w:pPr>
            <w:r/>
            <w:r>
              <w:rPr>
                <w:sz w:val="17"/>
              </w:rPr>
              <w:t>Layout audit</w:t>
            </w:r>
          </w:p>
        </w:tc>
        <w:tc>
          <w:tcPr>
            <w:tcW w:type="dxa" w:w="4535"/>
            <w:shd w:val="clear" w:color="auto" w:fill="EEF2F8"/>
          </w:tcPr>
          <w:p>
            <w:pPr>
              <w:spacing w:after="20"/>
            </w:pPr>
            <w:r/>
            <w:r>
              <w:rPr>
                <w:sz w:val="17"/>
              </w:rPr>
              <w:t>nodes inside lanes, no overlapping shapes</w:t>
            </w:r>
          </w:p>
        </w:tc>
        <w:tc>
          <w:tcPr>
            <w:tcW w:type="dxa" w:w="3061"/>
            <w:shd w:val="clear" w:color="auto" w:fill="EEF2F8"/>
          </w:tcPr>
          <w:p>
            <w:pPr>
              <w:spacing w:after="20"/>
            </w:pPr>
            <w:r/>
            <w:r>
              <w:rPr>
                <w:sz w:val="17"/>
              </w:rPr>
              <w:t>0 defects</w:t>
            </w:r>
          </w:p>
        </w:tc>
      </w:tr>
      <w:tr>
        <w:trPr>
          <w:cantSplit w:val="true"/>
        </w:trPr>
        <w:tc>
          <w:tcPr>
            <w:tcW w:type="dxa" w:w="2041"/>
          </w:tcPr>
          <w:p>
            <w:pPr>
              <w:spacing w:after="20"/>
            </w:pPr>
            <w:r/>
            <w:r>
              <w:rPr>
                <w:sz w:val="17"/>
              </w:rPr>
              <w:t>Deployment</w:t>
            </w:r>
          </w:p>
        </w:tc>
        <w:tc>
          <w:tcPr>
            <w:tcW w:type="dxa" w:w="4535"/>
          </w:tcPr>
          <w:p>
            <w:pPr>
              <w:spacing w:after="20"/>
            </w:pPr>
            <w:r/>
            <w:r>
              <w:rPr>
                <w:sz w:val="17"/>
              </w:rPr>
              <w:t>Orchestration Cluster API v2 against 8.10.0-alpha5</w:t>
            </w:r>
          </w:p>
        </w:tc>
        <w:tc>
          <w:tcPr>
            <w:tcW w:type="dxa" w:w="3061"/>
          </w:tcPr>
          <w:p>
            <w:pPr>
              <w:spacing w:after="20"/>
            </w:pPr>
            <w:r/>
            <w:r>
              <w:rPr>
                <w:sz w:val="17"/>
              </w:rPr>
              <w:t>6 of 6 definitions deployed</w:t>
            </w:r>
          </w:p>
        </w:tc>
      </w:tr>
      <w:tr>
        <w:trPr>
          <w:cantSplit w:val="true"/>
        </w:trPr>
        <w:tc>
          <w:tcPr>
            <w:tcW w:type="dxa" w:w="2041"/>
            <w:shd w:val="clear" w:color="auto" w:fill="EEF2F8"/>
          </w:tcPr>
          <w:p>
            <w:pPr>
              <w:spacing w:after="20"/>
            </w:pPr>
            <w:r/>
            <w:r>
              <w:rPr>
                <w:sz w:val="17"/>
              </w:rPr>
              <w:t>Execution</w:t>
            </w:r>
          </w:p>
        </w:tc>
        <w:tc>
          <w:tcPr>
            <w:tcW w:type="dxa" w:w="4535"/>
            <w:shd w:val="clear" w:color="auto" w:fill="EEF2F8"/>
          </w:tcPr>
          <w:p>
            <w:pPr>
              <w:spacing w:after="20"/>
            </w:pPr>
            <w:r/>
            <w:r>
              <w:rPr>
                <w:sz w:val="17"/>
              </w:rPr>
              <w:t>run-acceptance.mjs, 18 cases</w:t>
            </w:r>
          </w:p>
        </w:tc>
        <w:tc>
          <w:tcPr>
            <w:tcW w:type="dxa" w:w="3061"/>
            <w:shd w:val="clear" w:color="auto" w:fill="EEF2F8"/>
          </w:tcPr>
          <w:p>
            <w:pPr>
              <w:spacing w:after="20"/>
            </w:pPr>
            <w:r/>
            <w:r>
              <w:rPr>
                <w:sz w:val="17"/>
              </w:rPr>
              <w:t>18 passed, 0 failed, 0 incidents</w:t>
            </w:r>
          </w:p>
        </w:tc>
      </w:tr>
    </w:tbl>
    <w:p>
      <w:pPr>
        <w:spacing w:after="40"/>
      </w:pPr>
    </w:p>
    <w:p>
      <w:pPr>
        <w:keepNext/>
        <w:spacing w:before="40" w:after="40"/>
      </w:pPr>
      <w:r>
        <w:rPr>
          <w:b/>
          <w:color w:val="595959"/>
          <w:sz w:val="17"/>
        </w:rPr>
        <w:t>Table 6. Validation evidence for the initial release: six definitions and 68 forms deployed, 18 of 18 cases executed on 26 September 2026. Logs: 05_Test_Evidence/validation.txt and 05_Test_Evidence/cluster.txt.</w:t>
      </w:r>
    </w:p>
    <w:p>
      <w:pPr>
        <w:pStyle w:val="Heading2"/>
      </w:pPr>
      <w:r>
        <w:t>1.8  Limitations the group knows about</w:t>
      </w:r>
    </w:p>
    <w:p>
      <w:pPr>
        <w:pStyle w:val="ListBullet"/>
        <w:spacing w:after="40"/>
      </w:pPr>
      <w:r>
        <w:t>The four models declare no bpmn:error definitions and carry no error boundary events, so a failure thrown as a BPMN error surfaces as an incident instead of being caught by the model. Business outcomes are handled through the outcome variables and the branches that already exist, which is why the three gating workers own their variables so carefully.</w:t>
      </w:r>
    </w:p>
    <w:p>
      <w:pPr>
        <w:pStyle w:val="ListBullet"/>
        <w:spacing w:after="40"/>
      </w:pPr>
      <w:r>
        <w:t>All external participants are simulated by the worker fleet. No real scheduling, correspondence, payment or clinical provider is called, so the model is verified at the process boundary and not across a real integration.</w:t>
      </w:r>
    </w:p>
    <w:p>
      <w:pPr>
        <w:pStyle w:val="ListBullet"/>
        <w:spacing w:after="40"/>
      </w:pPr>
      <w:r>
        <w:t>PR_ManagementReporting starts on a monthly timer, so it can be deployed but not created on demand; its service task is verified by the worker start-up coverage check rather than by execution.</w:t>
      </w:r>
    </w:p>
    <w:p>
      <w:pPr>
        <w:pStyle w:val="ListBullet"/>
        <w:spacing w:after="40"/>
      </w:pPr>
      <w:r>
        <w:t>The strategic views (S1 to S3) are contextual documents for the portfolio unit. They are not part of the executable initial release and are not marked under this criterion.</w:t>
      </w:r>
    </w:p>
    <w:p>
      <w:r>
        <w:rPr>
          <w:b w:val="0"/>
          <w:i w:val="0"/>
        </w:rPr>
        <w:t>The model is a collaboration because the referral does not start inside the hospital. A GP practice or another hospital composes it, and the case study gives the hospital no visibility of how that happens. Drawing one pool would have forced us to invent internal detail for the referring organisation, which is the one thing we know we do not know. The eight external participants are collapsed for the same reason: the patient, the scheduling service, the insurer, the payment provider and the external clinical services are black boxes because the hospital cannot see inside them and cannot tell them what to do. What the model can show is the dependency. Fifteen message flows, each one a thing the hospital needs from somebody it does not control.</w:t>
      </w:r>
    </w:p>
    <w:p>
      <w:r>
        <w:rPr>
          <w:b w:val="0"/>
          <w:i w:val="0"/>
        </w:rPr>
        <w:t>Inside the hospital the pool is a white box with eight lanes. We used lanes rather than one unassigned process because the case study's central control is the separation of clinical, administrative and financial authority, and that separation is only visible when a task belongs to a named team. We also cut the lanes that carry no work. The Sprint 1 and 2 files declared lanes for the Finance Team, the Clinical Nurse Specialist Team, the Call Handling Team, Administrative Management and the Outpatient Bookings Team and then left them empty, which claims a responsibility the process never discharges.</w:t>
      </w:r>
    </w:p>
    <w:p>
      <w:r>
        <w:rPr>
          <w:b w:val="0"/>
          <w:i w:val="0"/>
        </w:rPr>
        <w:t>The capacity and payment branches sit on the normal flow rather than on boundary events, and that was deliberate. A boundary event says "this is rare and exceptional". For this hospital, no suitable slot and a provider that does not answer are neither of those things: the hospital does not own the capacity, so it cannot guarantee that one exists. Putting the escalation to the Patient Pathway Coordinator on the main path, and the pending-and-retry as a loop rather than as an error handler, is the more honest picture of what the business does.</w:t>
      </w:r>
    </w:p>
    <w:p>
      <w:r>
        <w:rPr>
          <w:b w:val="0"/>
          <w:i w:val="0"/>
        </w:rPr>
        <w:t>One thing had to be asserted rather than derived. The case study says urgent referrals must be expedited but never says what makes a referral urgent, so the gateway evaluates a variable a clinician sets. We record that as a limitation in section 1.8 rather than implying the rule is enforced, because a model cannot be more precise than the rule it encodes.</w:t>
      </w:r>
    </w:p>
    <w:sectPr w:rsidR="00FC693F" w:rsidRPr="0006063C" w:rsidSect="00034616">
      <w:headerReference w:type="default" r:id="rId9"/>
      <w:footerReference w:type="default" r:id="rId10"/>
      <w:pgSz w:w="11906" w:h="16838"/>
      <w:pgMar w:top="1077" w:right="1134" w:bottom="107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Group 17  ·  page </w:t>
    </w:r>
    <w:r>
      <w:rPr>
        <w:color w:val="595959"/>
        <w:sz w:val="16"/>
      </w:rPr>
    </w:r>
    <w:fldSimple w:instr=" PAGE ">
      <w:r>
        <w:rPr>
          <w:sz w:val="16"/>
        </w:rPr>
        <w:t>1</w:t>
      </w:r>
    </w:fldSimple>
    <w:r>
      <w:rPr>
        <w:color w:val="595959"/>
        <w:sz w:val="16"/>
      </w:rPr>
      <w:t xml:space="preserve"> of </w:t>
    </w:r>
    <w:r>
      <w:rPr>
        <w:color w:val="595959"/>
        <w:sz w:val="16"/>
      </w:rPr>
    </w:r>
    <w:fldSimple w:instr=" NUMPAGES ">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color w:val="595959"/>
        <w:sz w:val="15"/>
      </w:rPr>
      <w:t>UFCEP6-0-3 Portfolio  |  Hospital Patient Referral, Treatment and Administration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val="0"/>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Operational BPMN model</dc:title>
  <dc:subject>UFCEP6-0-3 Portfolio — 1 Operational BPMN</dc:subject>
  <dc:creator>UFCEP6-0-3 group</dc:creator>
  <cp:keywords/>
  <dc:description>Initial release portfolio, UFCEP6-0-3 Advanced Information Systems Development</dc:description>
  <cp:lastModifiedBy>UFCEP6-0-3 group</cp:lastModifiedBy>
  <cp:revision>1</cp:revision>
  <dcterms:created xsi:type="dcterms:W3CDTF">2013-12-23T23:15:00Z</dcterms:created>
  <dcterms:modified xsi:type="dcterms:W3CDTF">2013-12-23T23:15:00Z</dcterms:modified>
  <cp:category>Assessment submission</cp:category>
</cp:coreProperties>
</file>