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External workers</w:t>
      </w:r>
    </w:p>
    <w:p>
      <w:r>
        <w:rPr>
          <w:b w:val="0"/>
          <w:i w:val="0"/>
        </w:rPr>
        <w:t>Criterion: External workers (15%). Learning outcomes LO2, LO4 and LO5.</w:t>
      </w:r>
    </w:p>
    <w:p>
      <w:r>
        <w:rPr>
          <w:b w:val="0"/>
          <w:i w:val="0"/>
        </w:rPr>
        <w:t>The deliverable is the worker fleet that carries out every automated activity in the operational model, together with the evidence that it obtains work, uses the input variables, returns results, handles invalid input and service failure, and is tested.</w:t>
      </w:r>
    </w:p>
    <w:p>
      <w:pPr>
        <w:pStyle w:val="Heading2"/>
      </w:pPr>
      <w:r>
        <w:t>2.1  The fleet at a glance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835"/>
        <w:gridCol w:w="6804"/>
      </w:tblGrid>
      <w:tr>
        <w:trPr>
          <w:tblHeader w:val="true"/>
        </w:trPr>
        <w:tc>
          <w:tcPr>
            <w:tcW w:type="dxa" w:w="2835"/>
            <w:shd w:val="clear" w:color="auto" w:fill="1F3864"/>
          </w:tcPr>
          <w:p>
            <w:pPr>
              <w:spacing w:after="20"/>
            </w:pPr>
            <w:r/>
            <w:r>
              <w:rPr>
                <w:b/>
                <w:color w:val="FFFFFF"/>
                <w:sz w:val="18"/>
              </w:rPr>
              <w:t>Item</w:t>
            </w:r>
          </w:p>
        </w:tc>
        <w:tc>
          <w:tcPr>
            <w:tcW w:type="dxa" w:w="6803"/>
            <w:shd w:val="clear" w:color="auto" w:fill="1F3864"/>
          </w:tcPr>
          <w:p>
            <w:pPr>
              <w:spacing w:after="20"/>
            </w:pPr>
            <w:r/>
            <w:r>
              <w:rPr>
                <w:b/>
                <w:color w:val="FFFFFF"/>
                <w:sz w:val="18"/>
              </w:rPr>
              <w:t>Detail</w:t>
            </w:r>
          </w:p>
        </w:tc>
      </w:tr>
      <w:tr>
        <w:trPr>
          <w:cantSplit w:val="true"/>
        </w:trPr>
        <w:tc>
          <w:tcPr>
            <w:tcW w:type="dxa" w:w="2835"/>
          </w:tcPr>
          <w:p>
            <w:pPr>
              <w:spacing w:after="20"/>
            </w:pPr>
            <w:r/>
            <w:r>
              <w:rPr>
                <w:sz w:val="18"/>
              </w:rPr>
              <w:t>Workers</w:t>
            </w:r>
          </w:p>
        </w:tc>
        <w:tc>
          <w:tcPr>
            <w:tcW w:type="dxa" w:w="6803"/>
          </w:tcPr>
          <w:p>
            <w:pPr>
              <w:spacing w:after="20"/>
            </w:pPr>
            <w:r/>
            <w:r>
              <w:rPr>
                <w:sz w:val="18"/>
              </w:rPr>
              <w:t>13 job types: 12 service and send tasks plus 1 message-publish worker</w:t>
            </w:r>
          </w:p>
        </w:tc>
      </w:tr>
      <w:tr>
        <w:trPr>
          <w:cantSplit w:val="true"/>
        </w:trPr>
        <w:tc>
          <w:tcPr>
            <w:tcW w:type="dxa" w:w="2835"/>
            <w:shd w:val="clear" w:color="auto" w:fill="EEF2F8"/>
          </w:tcPr>
          <w:p>
            <w:pPr>
              <w:spacing w:after="20"/>
            </w:pPr>
            <w:r/>
            <w:r>
              <w:rPr>
                <w:sz w:val="18"/>
              </w:rPr>
              <w:t>Language and client</w:t>
            </w:r>
          </w:p>
        </w:tc>
        <w:tc>
          <w:tcPr>
            <w:tcW w:type="dxa" w:w="6803"/>
            <w:shd w:val="clear" w:color="auto" w:fill="EEF2F8"/>
          </w:tcPr>
          <w:p>
            <w:pPr>
              <w:spacing w:after="20"/>
            </w:pPr>
            <w:r/>
            <w:r>
              <w:rPr>
                <w:sz w:val="18"/>
              </w:rPr>
              <w:t>Java 17, Zeebe client, long polling against 127.0.0.1:26500</w:t>
            </w:r>
          </w:p>
        </w:tc>
      </w:tr>
      <w:tr>
        <w:trPr>
          <w:cantSplit w:val="true"/>
        </w:trPr>
        <w:tc>
          <w:tcPr>
            <w:tcW w:type="dxa" w:w="2835"/>
          </w:tcPr>
          <w:p>
            <w:pPr>
              <w:spacing w:after="20"/>
            </w:pPr>
            <w:r/>
            <w:r>
              <w:rPr>
                <w:sz w:val="18"/>
              </w:rPr>
              <w:t>Service tasks in the models</w:t>
            </w:r>
          </w:p>
        </w:tc>
        <w:tc>
          <w:tcPr>
            <w:tcW w:type="dxa" w:w="6803"/>
          </w:tcPr>
          <w:p>
            <w:pPr>
              <w:spacing w:after="20"/>
            </w:pPr>
            <w:r/>
            <w:r>
              <w:rPr>
                <w:sz w:val="18"/>
              </w:rPr>
              <w:t>22 service and send tasks, covering all 12 job types</w:t>
            </w:r>
          </w:p>
        </w:tc>
      </w:tr>
      <w:tr>
        <w:trPr>
          <w:cantSplit w:val="true"/>
        </w:trPr>
        <w:tc>
          <w:tcPr>
            <w:tcW w:type="dxa" w:w="2835"/>
            <w:shd w:val="clear" w:color="auto" w:fill="EEF2F8"/>
          </w:tcPr>
          <w:p>
            <w:pPr>
              <w:spacing w:after="20"/>
            </w:pPr>
            <w:r/>
            <w:r>
              <w:rPr>
                <w:sz w:val="18"/>
              </w:rPr>
              <w:t>Job types with no model binding</w:t>
            </w:r>
          </w:p>
        </w:tc>
        <w:tc>
          <w:tcPr>
            <w:tcW w:type="dxa" w:w="6803"/>
            <w:shd w:val="clear" w:color="auto" w:fill="EEF2F8"/>
          </w:tcPr>
          <w:p>
            <w:pPr>
              <w:spacing w:after="20"/>
            </w:pPr>
            <w:r/>
            <w:r>
              <w:rPr>
                <w:sz w:val="18"/>
              </w:rPr>
              <w:t>0 — the fleet refuses to start on a coverage gap</w:t>
            </w:r>
          </w:p>
        </w:tc>
      </w:tr>
      <w:tr>
        <w:trPr>
          <w:cantSplit w:val="true"/>
        </w:trPr>
        <w:tc>
          <w:tcPr>
            <w:tcW w:type="dxa" w:w="2835"/>
          </w:tcPr>
          <w:p>
            <w:pPr>
              <w:spacing w:after="20"/>
            </w:pPr>
            <w:r/>
            <w:r>
              <w:rPr>
                <w:sz w:val="18"/>
              </w:rPr>
              <w:t>Unit tests</w:t>
            </w:r>
          </w:p>
        </w:tc>
        <w:tc>
          <w:tcPr>
            <w:tcW w:type="dxa" w:w="6803"/>
          </w:tcPr>
          <w:p>
            <w:pPr>
              <w:spacing w:after="20"/>
            </w:pPr>
            <w:r/>
            <w:r>
              <w:rPr>
                <w:sz w:val="18"/>
              </w:rPr>
              <w:t>41, no engine and no network required</w:t>
            </w:r>
          </w:p>
        </w:tc>
      </w:tr>
      <w:tr>
        <w:trPr>
          <w:cantSplit w:val="true"/>
        </w:trPr>
        <w:tc>
          <w:tcPr>
            <w:tcW w:type="dxa" w:w="2835"/>
            <w:shd w:val="clear" w:color="auto" w:fill="EEF2F8"/>
          </w:tcPr>
          <w:p>
            <w:pPr>
              <w:spacing w:after="20"/>
            </w:pPr>
            <w:r/>
            <w:r>
              <w:rPr>
                <w:sz w:val="18"/>
              </w:rPr>
              <w:t>Engine scenarios</w:t>
            </w:r>
          </w:p>
        </w:tc>
        <w:tc>
          <w:tcPr>
            <w:tcW w:type="dxa" w:w="6803"/>
            <w:shd w:val="clear" w:color="auto" w:fill="EEF2F8"/>
          </w:tcPr>
          <w:p>
            <w:pPr>
              <w:spacing w:after="20"/>
            </w:pPr>
            <w:r/>
            <w:r>
              <w:rPr>
                <w:sz w:val="18"/>
              </w:rPr>
              <w:t>6, each driven only by completing user tasks</w:t>
            </w:r>
          </w:p>
        </w:tc>
      </w:tr>
      <w:tr>
        <w:trPr>
          <w:cantSplit w:val="true"/>
        </w:trPr>
        <w:tc>
          <w:tcPr>
            <w:tcW w:type="dxa" w:w="2835"/>
          </w:tcPr>
          <w:p>
            <w:pPr>
              <w:spacing w:after="20"/>
            </w:pPr>
            <w:r/>
            <w:r>
              <w:rPr>
                <w:sz w:val="18"/>
              </w:rPr>
              <w:t>Job types executed against the engine</w:t>
            </w:r>
          </w:p>
        </w:tc>
        <w:tc>
          <w:tcPr>
            <w:tcW w:type="dxa" w:w="6803"/>
          </w:tcPr>
          <w:p>
            <w:pPr>
              <w:spacing w:after="20"/>
            </w:pPr>
            <w:r/>
            <w:r>
              <w:rPr>
                <w:sz w:val="18"/>
              </w:rPr>
              <w:t>10 of 11; the eleventh is timer-bound (2.7)</w:t>
            </w:r>
          </w:p>
        </w:tc>
      </w:tr>
    </w:tbl>
    <w:p>
      <w:pPr>
        <w:spacing w:after="40"/>
      </w:pPr>
    </w:p>
    <w:p>
      <w:pPr>
        <w:pStyle w:val="Heading2"/>
      </w:pPr>
      <w:r>
        <w:t>2.2  Worker inventory</w:t>
      </w:r>
    </w:p>
    <w:p>
      <w:r>
        <w:rPr>
          <w:b w:val="0"/>
          <w:i w:val="0"/>
        </w:rPr>
        <w:t>The three job types marked with a star own a variable that a gateway reads. That is the contract that matters: if one of them fails to write its variable the instance takes the wrong branch, or raises a FEEL null.</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211"/>
        <w:gridCol w:w="2494"/>
        <w:gridCol w:w="2268"/>
        <w:gridCol w:w="2664"/>
      </w:tblGrid>
      <w:tr>
        <w:trPr>
          <w:tblHeader w:val="true"/>
        </w:trPr>
        <w:tc>
          <w:tcPr>
            <w:tcW w:type="dxa" w:w="2211"/>
            <w:shd w:val="clear" w:color="auto" w:fill="1F3864"/>
          </w:tcPr>
          <w:p>
            <w:pPr>
              <w:spacing w:after="20"/>
            </w:pPr>
            <w:r/>
            <w:r>
              <w:rPr>
                <w:b/>
                <w:color w:val="FFFFFF"/>
                <w:sz w:val="15"/>
              </w:rPr>
              <w:t>Job type</w:t>
            </w:r>
          </w:p>
        </w:tc>
        <w:tc>
          <w:tcPr>
            <w:tcW w:type="dxa" w:w="2494"/>
            <w:shd w:val="clear" w:color="auto" w:fill="1F3864"/>
          </w:tcPr>
          <w:p>
            <w:pPr>
              <w:spacing w:after="20"/>
            </w:pPr>
            <w:r/>
            <w:r>
              <w:rPr>
                <w:b/>
                <w:color w:val="FFFFFF"/>
                <w:sz w:val="15"/>
              </w:rPr>
              <w:t>Model element(s)</w:t>
            </w:r>
          </w:p>
        </w:tc>
        <w:tc>
          <w:tcPr>
            <w:tcW w:type="dxa" w:w="2268"/>
            <w:shd w:val="clear" w:color="auto" w:fill="1F3864"/>
          </w:tcPr>
          <w:p>
            <w:pPr>
              <w:spacing w:after="20"/>
            </w:pPr>
            <w:r/>
            <w:r>
              <w:rPr>
                <w:b/>
                <w:color w:val="FFFFFF"/>
                <w:sz w:val="15"/>
              </w:rPr>
              <w:t>Reads</w:t>
            </w:r>
          </w:p>
        </w:tc>
        <w:tc>
          <w:tcPr>
            <w:tcW w:type="dxa" w:w="2665"/>
            <w:shd w:val="clear" w:color="auto" w:fill="1F3864"/>
          </w:tcPr>
          <w:p>
            <w:pPr>
              <w:spacing w:after="20"/>
            </w:pPr>
            <w:r/>
            <w:r>
              <w:rPr>
                <w:b/>
                <w:color w:val="FFFFFF"/>
                <w:sz w:val="15"/>
              </w:rPr>
              <w:t>Writes</w:t>
            </w:r>
          </w:p>
        </w:tc>
      </w:tr>
      <w:tr>
        <w:trPr>
          <w:cantSplit w:val="true"/>
        </w:trPr>
        <w:tc>
          <w:tcPr>
            <w:tcW w:type="dxa" w:w="2211"/>
          </w:tcPr>
          <w:p>
            <w:pPr>
              <w:spacing w:after="20"/>
            </w:pPr>
            <w:r/>
            <w:r>
              <w:rPr>
                <w:sz w:val="15"/>
              </w:rPr>
              <w:t>request-missing-documentation</w:t>
            </w:r>
          </w:p>
        </w:tc>
        <w:tc>
          <w:tcPr>
            <w:tcW w:type="dxa" w:w="2494"/>
          </w:tcPr>
          <w:p>
            <w:pPr>
              <w:spacing w:after="20"/>
            </w:pPr>
            <w:r/>
            <w:r>
              <w:rPr>
                <w:sz w:val="15"/>
              </w:rPr>
              <w:t>O1 T_RequestMissingDocuments; S1 T_RequestDocs; S2 T_RequestMissingDocs</w:t>
            </w:r>
          </w:p>
        </w:tc>
        <w:tc>
          <w:tcPr>
            <w:tcW w:type="dxa" w:w="2268"/>
          </w:tcPr>
          <w:p>
            <w:pPr>
              <w:spacing w:after="20"/>
            </w:pPr>
            <w:r/>
            <w:r>
              <w:rPr>
                <w:sz w:val="15"/>
              </w:rPr>
              <w:t>patientId, referringOrganisation, missingDocuments</w:t>
            </w:r>
          </w:p>
        </w:tc>
        <w:tc>
          <w:tcPr>
            <w:tcW w:type="dxa" w:w="2665"/>
          </w:tcPr>
          <w:p>
            <w:pPr>
              <w:spacing w:after="20"/>
            </w:pPr>
            <w:r/>
            <w:r>
              <w:rPr>
                <w:sz w:val="15"/>
              </w:rPr>
              <w:t>missingDocumentsRequested, missingDocumentList, documentRequestReference</w:t>
            </w:r>
          </w:p>
        </w:tc>
      </w:tr>
      <w:tr>
        <w:trPr>
          <w:cantSplit w:val="true"/>
        </w:trPr>
        <w:tc>
          <w:tcPr>
            <w:tcW w:type="dxa" w:w="2211"/>
            <w:shd w:val="clear" w:color="auto" w:fill="EEF2F8"/>
          </w:tcPr>
          <w:p>
            <w:pPr>
              <w:spacing w:after="20"/>
            </w:pPr>
            <w:r/>
            <w:r>
              <w:rPr>
                <w:sz w:val="15"/>
              </w:rPr>
              <w:t>send-referral-outcome</w:t>
            </w:r>
          </w:p>
        </w:tc>
        <w:tc>
          <w:tcPr>
            <w:tcW w:type="dxa" w:w="2494"/>
            <w:shd w:val="clear" w:color="auto" w:fill="EEF2F8"/>
          </w:tcPr>
          <w:p>
            <w:pPr>
              <w:spacing w:after="20"/>
            </w:pPr>
            <w:r/>
            <w:r>
              <w:rPr>
                <w:sz w:val="15"/>
              </w:rPr>
              <w:t>O1 T_NotifyReferralOutcome; S1 T_NotifyOutcome; S2 T_NotifyNotAccepted</w:t>
            </w:r>
          </w:p>
        </w:tc>
        <w:tc>
          <w:tcPr>
            <w:tcW w:type="dxa" w:w="2268"/>
            <w:shd w:val="clear" w:color="auto" w:fill="EEF2F8"/>
          </w:tcPr>
          <w:p>
            <w:pPr>
              <w:spacing w:after="20"/>
            </w:pPr>
            <w:r/>
            <w:r>
              <w:rPr>
                <w:sz w:val="15"/>
              </w:rPr>
              <w:t>patientId, referralDecision</w:t>
            </w:r>
          </w:p>
        </w:tc>
        <w:tc>
          <w:tcPr>
            <w:tcW w:type="dxa" w:w="2665"/>
            <w:shd w:val="clear" w:color="auto" w:fill="EEF2F8"/>
          </w:tcPr>
          <w:p>
            <w:pPr>
              <w:spacing w:after="20"/>
            </w:pPr>
            <w:r/>
            <w:r>
              <w:rPr>
                <w:sz w:val="15"/>
              </w:rPr>
              <w:t>outcomeNotified, outcomeLetterReference</w:t>
            </w:r>
          </w:p>
        </w:tc>
      </w:tr>
      <w:tr>
        <w:trPr>
          <w:cantSplit w:val="true"/>
        </w:trPr>
        <w:tc>
          <w:tcPr>
            <w:tcW w:type="dxa" w:w="2211"/>
          </w:tcPr>
          <w:p>
            <w:pPr>
              <w:spacing w:after="20"/>
            </w:pPr>
            <w:r/>
            <w:r>
              <w:rPr>
                <w:sz w:val="15"/>
              </w:rPr>
              <w:t>redirect-referral</w:t>
            </w:r>
          </w:p>
        </w:tc>
        <w:tc>
          <w:tcPr>
            <w:tcW w:type="dxa" w:w="2494"/>
          </w:tcPr>
          <w:p>
            <w:pPr>
              <w:spacing w:after="20"/>
            </w:pPr>
            <w:r/>
            <w:r>
              <w:rPr>
                <w:sz w:val="15"/>
              </w:rPr>
              <w:t>O1 T_RedirectReferral; S2 T_RedirectReferral</w:t>
            </w:r>
          </w:p>
        </w:tc>
        <w:tc>
          <w:tcPr>
            <w:tcW w:type="dxa" w:w="2268"/>
          </w:tcPr>
          <w:p>
            <w:pPr>
              <w:spacing w:after="20"/>
            </w:pPr>
            <w:r/>
            <w:r>
              <w:rPr>
                <w:sz w:val="15"/>
              </w:rPr>
              <w:t>patientId, redirectDestination</w:t>
            </w:r>
          </w:p>
        </w:tc>
        <w:tc>
          <w:tcPr>
            <w:tcW w:type="dxa" w:w="2665"/>
          </w:tcPr>
          <w:p>
            <w:pPr>
              <w:spacing w:after="20"/>
            </w:pPr>
            <w:r/>
            <w:r>
              <w:rPr>
                <w:sz w:val="15"/>
              </w:rPr>
              <w:t>redirectSent, redirectReference</w:t>
            </w:r>
          </w:p>
        </w:tc>
      </w:tr>
      <w:tr>
        <w:trPr>
          <w:cantSplit w:val="true"/>
        </w:trPr>
        <w:tc>
          <w:tcPr>
            <w:tcW w:type="dxa" w:w="2211"/>
            <w:shd w:val="clear" w:color="auto" w:fill="EEF2F8"/>
          </w:tcPr>
          <w:p>
            <w:pPr>
              <w:spacing w:after="20"/>
            </w:pPr>
            <w:r/>
            <w:r>
              <w:rPr>
                <w:sz w:val="15"/>
              </w:rPr>
              <w:t>query-available-appointment-slots ★</w:t>
            </w:r>
          </w:p>
        </w:tc>
        <w:tc>
          <w:tcPr>
            <w:tcW w:type="dxa" w:w="2494"/>
            <w:shd w:val="clear" w:color="auto" w:fill="EEF2F8"/>
          </w:tcPr>
          <w:p>
            <w:pPr>
              <w:spacing w:after="20"/>
            </w:pPr>
            <w:r/>
            <w:r>
              <w:rPr>
                <w:sz w:val="15"/>
              </w:rPr>
              <w:t>O1 T_QueryAvailableSlots; S2 T_QuerySlots</w:t>
            </w:r>
          </w:p>
        </w:tc>
        <w:tc>
          <w:tcPr>
            <w:tcW w:type="dxa" w:w="2268"/>
            <w:shd w:val="clear" w:color="auto" w:fill="EEF2F8"/>
          </w:tcPr>
          <w:p>
            <w:pPr>
              <w:spacing w:after="20"/>
            </w:pPr>
            <w:r/>
            <w:r>
              <w:rPr>
                <w:sz w:val="15"/>
              </w:rPr>
              <w:t>patientId, requestedSpeciality, referralUrgency, preferredTimeframeDays</w:t>
            </w:r>
          </w:p>
        </w:tc>
        <w:tc>
          <w:tcPr>
            <w:tcW w:type="dxa" w:w="2665"/>
            <w:shd w:val="clear" w:color="auto" w:fill="EEF2F8"/>
          </w:tcPr>
          <w:p>
            <w:pPr>
              <w:spacing w:after="20"/>
            </w:pPr>
            <w:r/>
            <w:r>
              <w:rPr>
                <w:sz w:val="15"/>
              </w:rPr>
              <w:t>suitableSlotFound, availableSlots, schedulingReference</w:t>
            </w:r>
          </w:p>
        </w:tc>
      </w:tr>
      <w:tr>
        <w:trPr>
          <w:cantSplit w:val="true"/>
        </w:trPr>
        <w:tc>
          <w:tcPr>
            <w:tcW w:type="dxa" w:w="2211"/>
          </w:tcPr>
          <w:p>
            <w:pPr>
              <w:spacing w:after="20"/>
            </w:pPr>
            <w:r/>
            <w:r>
              <w:rPr>
                <w:sz w:val="15"/>
              </w:rPr>
              <w:t>send-appointment-confirmation-letter</w:t>
            </w:r>
          </w:p>
        </w:tc>
        <w:tc>
          <w:tcPr>
            <w:tcW w:type="dxa" w:w="2494"/>
          </w:tcPr>
          <w:p>
            <w:pPr>
              <w:spacing w:after="20"/>
            </w:pPr>
            <w:r/>
            <w:r>
              <w:rPr>
                <w:sz w:val="15"/>
              </w:rPr>
              <w:t>O1 and S2 T_SendAppointmentLetter</w:t>
            </w:r>
          </w:p>
        </w:tc>
        <w:tc>
          <w:tcPr>
            <w:tcW w:type="dxa" w:w="2268"/>
          </w:tcPr>
          <w:p>
            <w:pPr>
              <w:spacing w:after="20"/>
            </w:pPr>
            <w:r/>
            <w:r>
              <w:rPr>
                <w:sz w:val="15"/>
              </w:rPr>
              <w:t>patientId, appointmentReference, communicationPreference</w:t>
            </w:r>
          </w:p>
        </w:tc>
        <w:tc>
          <w:tcPr>
            <w:tcW w:type="dxa" w:w="2665"/>
          </w:tcPr>
          <w:p>
            <w:pPr>
              <w:spacing w:after="20"/>
            </w:pPr>
            <w:r/>
            <w:r>
              <w:rPr>
                <w:sz w:val="15"/>
              </w:rPr>
              <w:t>appointmentLetterSent, appointmentLetterReference</w:t>
            </w:r>
          </w:p>
        </w:tc>
      </w:tr>
      <w:tr>
        <w:trPr>
          <w:cantSplit w:val="true"/>
        </w:trPr>
        <w:tc>
          <w:tcPr>
            <w:tcW w:type="dxa" w:w="2211"/>
            <w:shd w:val="clear" w:color="auto" w:fill="EEF2F8"/>
          </w:tcPr>
          <w:p>
            <w:pPr>
              <w:spacing w:after="20"/>
            </w:pPr>
            <w:r/>
            <w:r>
              <w:rPr>
                <w:sz w:val="15"/>
              </w:rPr>
              <w:t>request-treatment-capacity ★</w:t>
            </w:r>
          </w:p>
        </w:tc>
        <w:tc>
          <w:tcPr>
            <w:tcW w:type="dxa" w:w="2494"/>
            <w:shd w:val="clear" w:color="auto" w:fill="EEF2F8"/>
          </w:tcPr>
          <w:p>
            <w:pPr>
              <w:spacing w:after="20"/>
            </w:pPr>
            <w:r/>
            <w:r>
              <w:rPr>
                <w:sz w:val="15"/>
              </w:rPr>
              <w:t>O1 T_RequestTreatmentCapacity; S3 T_RequestTreatmentCapacity</w:t>
            </w:r>
          </w:p>
        </w:tc>
        <w:tc>
          <w:tcPr>
            <w:tcW w:type="dxa" w:w="2268"/>
            <w:shd w:val="clear" w:color="auto" w:fill="EEF2F8"/>
          </w:tcPr>
          <w:p>
            <w:pPr>
              <w:spacing w:after="20"/>
            </w:pPr>
            <w:r/>
            <w:r>
              <w:rPr>
                <w:sz w:val="15"/>
              </w:rPr>
              <w:t>patientId, treatmentCode, treatmentCycles, requiredResource</w:t>
            </w:r>
          </w:p>
        </w:tc>
        <w:tc>
          <w:tcPr>
            <w:tcW w:type="dxa" w:w="2665"/>
            <w:shd w:val="clear" w:color="auto" w:fill="EEF2F8"/>
          </w:tcPr>
          <w:p>
            <w:pPr>
              <w:spacing w:after="20"/>
            </w:pPr>
            <w:r/>
            <w:r>
              <w:rPr>
                <w:sz w:val="15"/>
              </w:rPr>
              <w:t>treatmentCapacityConfirmed, capacityReference, capacityAttemptCount, duplicateAppointmentCreated</w:t>
            </w:r>
          </w:p>
        </w:tc>
      </w:tr>
      <w:tr>
        <w:trPr>
          <w:cantSplit w:val="true"/>
        </w:trPr>
        <w:tc>
          <w:tcPr>
            <w:tcW w:type="dxa" w:w="2211"/>
          </w:tcPr>
          <w:p>
            <w:pPr>
              <w:spacing w:after="20"/>
            </w:pPr>
            <w:r/>
            <w:r>
              <w:rPr>
                <w:sz w:val="15"/>
              </w:rPr>
              <w:t>request-secure-payment ★</w:t>
            </w:r>
          </w:p>
        </w:tc>
        <w:tc>
          <w:tcPr>
            <w:tcW w:type="dxa" w:w="2494"/>
          </w:tcPr>
          <w:p>
            <w:pPr>
              <w:spacing w:after="20"/>
            </w:pPr>
            <w:r/>
            <w:r>
              <w:rPr>
                <w:sz w:val="15"/>
              </w:rPr>
              <w:t>O1 T_SendSecurePaymentRequest; S3 T_RequestSecurePayment</w:t>
            </w:r>
          </w:p>
        </w:tc>
        <w:tc>
          <w:tcPr>
            <w:tcW w:type="dxa" w:w="2268"/>
          </w:tcPr>
          <w:p>
            <w:pPr>
              <w:spacing w:after="20"/>
            </w:pPr>
            <w:r/>
            <w:r>
              <w:rPr>
                <w:sz w:val="15"/>
              </w:rPr>
              <w:t>patientId, chargeAmount, currency, fundingApproved</w:t>
            </w:r>
          </w:p>
        </w:tc>
        <w:tc>
          <w:tcPr>
            <w:tcW w:type="dxa" w:w="2665"/>
          </w:tcPr>
          <w:p>
            <w:pPr>
              <w:spacing w:after="20"/>
            </w:pPr>
            <w:r/>
            <w:r>
              <w:rPr>
                <w:sz w:val="15"/>
              </w:rPr>
              <w:t>paymentStatus, paymentReference, paymentAmount, cardDataStored</w:t>
            </w:r>
          </w:p>
        </w:tc>
      </w:tr>
      <w:tr>
        <w:trPr>
          <w:cantSplit w:val="true"/>
        </w:trPr>
        <w:tc>
          <w:tcPr>
            <w:tcW w:type="dxa" w:w="2211"/>
            <w:shd w:val="clear" w:color="auto" w:fill="EEF2F8"/>
          </w:tcPr>
          <w:p>
            <w:pPr>
              <w:spacing w:after="20"/>
            </w:pPr>
            <w:r/>
            <w:r>
              <w:rPr>
                <w:sz w:val="15"/>
              </w:rPr>
              <w:t>distribute-clinical-correspondence</w:t>
            </w:r>
          </w:p>
        </w:tc>
        <w:tc>
          <w:tcPr>
            <w:tcW w:type="dxa" w:w="2494"/>
            <w:shd w:val="clear" w:color="auto" w:fill="EEF2F8"/>
          </w:tcPr>
          <w:p>
            <w:pPr>
              <w:spacing w:after="20"/>
            </w:pPr>
            <w:r/>
            <w:r>
              <w:rPr>
                <w:sz w:val="15"/>
              </w:rPr>
              <w:t>S1 T_Correspondence; S3 T_DistributeClinicLetter</w:t>
            </w:r>
          </w:p>
        </w:tc>
        <w:tc>
          <w:tcPr>
            <w:tcW w:type="dxa" w:w="2268"/>
            <w:shd w:val="clear" w:color="auto" w:fill="EEF2F8"/>
          </w:tcPr>
          <w:p>
            <w:pPr>
              <w:spacing w:after="20"/>
            </w:pPr>
            <w:r/>
            <w:r>
              <w:rPr>
                <w:sz w:val="15"/>
              </w:rPr>
              <w:t>patientId, letterApproved, suspectedClinicalError</w:t>
            </w:r>
          </w:p>
        </w:tc>
        <w:tc>
          <w:tcPr>
            <w:tcW w:type="dxa" w:w="2665"/>
            <w:shd w:val="clear" w:color="auto" w:fill="EEF2F8"/>
          </w:tcPr>
          <w:p>
            <w:pPr>
              <w:spacing w:after="20"/>
            </w:pPr>
            <w:r/>
            <w:r>
              <w:rPr>
                <w:sz w:val="15"/>
              </w:rPr>
              <w:t>correspondenceSent, correspondenceReference</w:t>
            </w:r>
          </w:p>
        </w:tc>
      </w:tr>
      <w:tr>
        <w:trPr>
          <w:cantSplit w:val="true"/>
        </w:trPr>
        <w:tc>
          <w:tcPr>
            <w:tcW w:type="dxa" w:w="2211"/>
          </w:tcPr>
          <w:p>
            <w:pPr>
              <w:spacing w:after="20"/>
            </w:pPr>
            <w:r/>
            <w:r>
              <w:rPr>
                <w:sz w:val="15"/>
              </w:rPr>
              <w:t>request-blood-test</w:t>
            </w:r>
          </w:p>
        </w:tc>
        <w:tc>
          <w:tcPr>
            <w:tcW w:type="dxa" w:w="2494"/>
          </w:tcPr>
          <w:p>
            <w:pPr>
              <w:spacing w:after="20"/>
            </w:pPr>
            <w:r/>
            <w:r>
              <w:rPr>
                <w:sz w:val="15"/>
              </w:rPr>
              <w:t>S3 T_RequestBloodTest</w:t>
            </w:r>
          </w:p>
        </w:tc>
        <w:tc>
          <w:tcPr>
            <w:tcW w:type="dxa" w:w="2268"/>
          </w:tcPr>
          <w:p>
            <w:pPr>
              <w:spacing w:after="20"/>
            </w:pPr>
            <w:r/>
            <w:r>
              <w:rPr>
                <w:sz w:val="15"/>
              </w:rPr>
              <w:t>patientId, cycleReference</w:t>
            </w:r>
          </w:p>
        </w:tc>
        <w:tc>
          <w:tcPr>
            <w:tcW w:type="dxa" w:w="2665"/>
          </w:tcPr>
          <w:p>
            <w:pPr>
              <w:spacing w:after="20"/>
            </w:pPr>
            <w:r/>
            <w:r>
              <w:rPr>
                <w:sz w:val="15"/>
              </w:rPr>
              <w:t>bloodTestRequested, bloodTestReference, bloodTestDueDate</w:t>
            </w:r>
          </w:p>
        </w:tc>
      </w:tr>
      <w:tr>
        <w:trPr>
          <w:cantSplit w:val="true"/>
        </w:trPr>
        <w:tc>
          <w:tcPr>
            <w:tcW w:type="dxa" w:w="2211"/>
            <w:shd w:val="clear" w:color="auto" w:fill="EEF2F8"/>
          </w:tcPr>
          <w:p>
            <w:pPr>
              <w:spacing w:after="20"/>
            </w:pPr>
            <w:r/>
            <w:r>
              <w:rPr>
                <w:sz w:val="15"/>
              </w:rPr>
              <w:t>request-refund</w:t>
            </w:r>
          </w:p>
        </w:tc>
        <w:tc>
          <w:tcPr>
            <w:tcW w:type="dxa" w:w="2494"/>
            <w:shd w:val="clear" w:color="auto" w:fill="EEF2F8"/>
          </w:tcPr>
          <w:p>
            <w:pPr>
              <w:spacing w:after="20"/>
            </w:pPr>
            <w:r/>
            <w:r>
              <w:rPr>
                <w:sz w:val="15"/>
              </w:rPr>
              <w:t>S3 T_RequestRefund</w:t>
            </w:r>
          </w:p>
        </w:tc>
        <w:tc>
          <w:tcPr>
            <w:tcW w:type="dxa" w:w="2268"/>
            <w:shd w:val="clear" w:color="auto" w:fill="EEF2F8"/>
          </w:tcPr>
          <w:p>
            <w:pPr>
              <w:spacing w:after="20"/>
            </w:pPr>
            <w:r/>
            <w:r>
              <w:rPr>
                <w:sz w:val="15"/>
              </w:rPr>
              <w:t>patientId, refundAmount, refundAuthorised, paymentReference</w:t>
            </w:r>
          </w:p>
        </w:tc>
        <w:tc>
          <w:tcPr>
            <w:tcW w:type="dxa" w:w="2665"/>
            <w:shd w:val="clear" w:color="auto" w:fill="EEF2F8"/>
          </w:tcPr>
          <w:p>
            <w:pPr>
              <w:spacing w:after="20"/>
            </w:pPr>
            <w:r/>
            <w:r>
              <w:rPr>
                <w:sz w:val="15"/>
              </w:rPr>
              <w:t>refundStatus, refundReference</w:t>
            </w:r>
          </w:p>
        </w:tc>
      </w:tr>
      <w:tr>
        <w:trPr>
          <w:cantSplit w:val="true"/>
        </w:trPr>
        <w:tc>
          <w:tcPr>
            <w:tcW w:type="dxa" w:w="2211"/>
          </w:tcPr>
          <w:p>
            <w:pPr>
              <w:spacing w:after="20"/>
            </w:pPr>
            <w:r/>
            <w:r>
              <w:rPr>
                <w:sz w:val="15"/>
              </w:rPr>
              <w:t>generate-management-reports</w:t>
            </w:r>
          </w:p>
        </w:tc>
        <w:tc>
          <w:tcPr>
            <w:tcW w:type="dxa" w:w="2494"/>
          </w:tcPr>
          <w:p>
            <w:pPr>
              <w:spacing w:after="20"/>
            </w:pPr>
            <w:r/>
            <w:r>
              <w:rPr>
                <w:sz w:val="15"/>
              </w:rPr>
              <w:t>S3 T_GenerateManagementReports</w:t>
            </w:r>
          </w:p>
        </w:tc>
        <w:tc>
          <w:tcPr>
            <w:tcW w:type="dxa" w:w="2268"/>
          </w:tcPr>
          <w:p>
            <w:pPr>
              <w:spacing w:after="20"/>
            </w:pPr>
            <w:r/>
            <w:r>
              <w:rPr>
                <w:sz w:val="15"/>
              </w:rPr>
              <w:t>reportPeriod</w:t>
            </w:r>
          </w:p>
        </w:tc>
        <w:tc>
          <w:tcPr>
            <w:tcW w:type="dxa" w:w="2665"/>
          </w:tcPr>
          <w:p>
            <w:pPr>
              <w:spacing w:after="20"/>
            </w:pPr>
            <w:r/>
            <w:r>
              <w:rPr>
                <w:sz w:val="15"/>
              </w:rPr>
              <w:t>reportGenerated, reportReference, reportFigures</w:t>
            </w:r>
          </w:p>
        </w:tc>
      </w:tr>
      <w:tr>
        <w:trPr>
          <w:cantSplit w:val="true"/>
        </w:trPr>
        <w:tc>
          <w:tcPr>
            <w:tcW w:type="dxa" w:w="2211"/>
            <w:shd w:val="clear" w:color="auto" w:fill="EEF2F8"/>
          </w:tcPr>
          <w:p>
            <w:pPr>
              <w:spacing w:after="20"/>
            </w:pPr>
            <w:r/>
            <w:r>
              <w:rPr>
                <w:sz w:val="15"/>
              </w:rPr>
              <w:t>referring-org-submit-patient-referral</w:t>
            </w:r>
          </w:p>
        </w:tc>
        <w:tc>
          <w:tcPr>
            <w:tcW w:type="dxa" w:w="2494"/>
            <w:shd w:val="clear" w:color="auto" w:fill="EEF2F8"/>
          </w:tcPr>
          <w:p>
            <w:pPr>
              <w:spacing w:after="20"/>
            </w:pPr>
            <w:r/>
            <w:r>
              <w:rPr>
                <w:sz w:val="15"/>
              </w:rPr>
              <w:t>O1 RO_ComposeReferral (referring organisation pool)</w:t>
            </w:r>
          </w:p>
        </w:tc>
        <w:tc>
          <w:tcPr>
            <w:tcW w:type="dxa" w:w="2268"/>
            <w:shd w:val="clear" w:color="auto" w:fill="EEF2F8"/>
          </w:tcPr>
          <w:p>
            <w:pPr>
              <w:spacing w:after="20"/>
            </w:pPr>
            <w:r/>
            <w:r>
              <w:rPr>
                <w:sz w:val="15"/>
              </w:rPr>
              <w:t>patientId, referringOrganisation</w:t>
            </w:r>
          </w:p>
        </w:tc>
        <w:tc>
          <w:tcPr>
            <w:tcW w:type="dxa" w:w="2665"/>
            <w:shd w:val="clear" w:color="auto" w:fill="EEF2F8"/>
          </w:tcPr>
          <w:p>
            <w:pPr>
              <w:spacing w:after="20"/>
            </w:pPr>
            <w:r/>
            <w:r>
              <w:rPr>
                <w:sz w:val="15"/>
              </w:rPr>
              <w:t>referralReference, referralStatus = "composed", referralComposedAt</w:t>
            </w:r>
          </w:p>
        </w:tc>
      </w:tr>
      <w:tr>
        <w:trPr>
          <w:cantSplit w:val="true"/>
        </w:trPr>
        <w:tc>
          <w:tcPr>
            <w:tcW w:type="dxa" w:w="2211"/>
          </w:tcPr>
          <w:p>
            <w:pPr>
              <w:spacing w:after="20"/>
            </w:pPr>
            <w:r/>
            <w:r>
              <w:rPr>
                <w:sz w:val="15"/>
              </w:rPr>
              <w:t>referring-org-publish-patient-referral</w:t>
            </w:r>
          </w:p>
        </w:tc>
        <w:tc>
          <w:tcPr>
            <w:tcW w:type="dxa" w:w="2494"/>
          </w:tcPr>
          <w:p>
            <w:pPr>
              <w:spacing w:after="20"/>
            </w:pPr>
            <w:r/>
            <w:r>
              <w:rPr>
                <w:sz w:val="15"/>
              </w:rPr>
              <w:t>O1 RO_SendReferral — message throw event</w:t>
            </w:r>
          </w:p>
        </w:tc>
        <w:tc>
          <w:tcPr>
            <w:tcW w:type="dxa" w:w="2268"/>
          </w:tcPr>
          <w:p>
            <w:pPr>
              <w:spacing w:after="20"/>
            </w:pPr>
            <w:r/>
            <w:r>
              <w:rPr>
                <w:sz w:val="15"/>
              </w:rPr>
              <w:t>referralReference, patientId, referringOrganisation</w:t>
            </w:r>
          </w:p>
        </w:tc>
        <w:tc>
          <w:tcPr>
            <w:tcW w:type="dxa" w:w="2665"/>
          </w:tcPr>
          <w:p>
            <w:pPr>
              <w:spacing w:after="20"/>
            </w:pPr>
            <w:r/>
            <w:r>
              <w:rPr>
                <w:sz w:val="15"/>
              </w:rPr>
              <w:t>referralStatus = "sent", referralMessageKey, referralSentAt</w:t>
            </w:r>
          </w:p>
        </w:tc>
      </w:tr>
    </w:tbl>
    <w:p>
      <w:pPr>
        <w:spacing w:after="40"/>
      </w:pPr>
    </w:p>
    <w:p>
      <w:pPr>
        <w:keepNext/>
        <w:spacing w:before="40" w:after="40"/>
      </w:pPr>
      <w:r>
        <w:rPr>
          <w:b/>
          <w:color w:val="595959"/>
          <w:sz w:val="17"/>
        </w:rPr>
        <w:t>Table 7. One worker per job type the models declare. Source in 04_Java_Worker/src/main/java/uk/ac/uwe/hospital/tasks/.</w:t>
      </w:r>
    </w:p>
    <w:p>
      <w:pPr>
        <w:pStyle w:val="Heading2"/>
      </w:pPr>
      <w:r>
        <w:t>2.3  How work is obtained and how execution continues</w:t>
      </w:r>
    </w:p>
    <w:p>
      <w:pPr>
        <w:pStyle w:val="ListNumber"/>
        <w:spacing w:after="40"/>
      </w:pPr>
      <w:r>
        <w:t>The worker subscribes to its job type with a long poll against the Zeebe gateway. The subscription is declared once, at start-up, and the fleet prints its coverage line before it begins polling.</w:t>
      </w:r>
    </w:p>
    <w:p>
      <w:pPr>
        <w:pStyle w:val="ListNumber"/>
        <w:spacing w:after="40"/>
      </w:pPr>
      <w:r>
        <w:t>A job carries the process variables as its input. The worker reads only the variables it declares, so a renamed variable fails at the contract test rather than silently taking a default.</w:t>
      </w:r>
    </w:p>
    <w:p>
      <w:pPr>
        <w:pStyle w:val="ListNumber"/>
        <w:spacing w:after="40"/>
      </w:pPr>
      <w:r>
        <w:t>The worker returns either a completion carrying output variables, a failure that the engine retries, or a BPMN error with a named code. Every worker returns through one place, AbstractWorker.onJob, so the fleet cannot disagree with itself about what a failure means.</w:t>
      </w:r>
    </w:p>
    <w:p>
      <w:pPr>
        <w:pStyle w:val="ListNumber"/>
        <w:spacing w:after="40"/>
      </w:pPr>
      <w:r>
        <w:t>The engine evaluates the next gateway against the variables the worker wrote, so the branch is selected by data. Execution continues without human intervention unless the next element is a user task.</w:t>
      </w:r>
    </w:p>
    <w:p>
      <w:pPr>
        <w:pStyle w:val="Heading2"/>
      </w:pPr>
      <w:r>
        <w:t>2.4  Invalid input</w:t>
      </w:r>
    </w:p>
    <w:p>
      <w:r>
        <w:rPr>
          <w:b w:val="0"/>
          <w:i w:val="0"/>
        </w:rPr>
        <w:t>A mandatory variable that is missing or malformed raises a ValidationException, which is reported as the BPMN error INVALID_JOB_INPUT naming the variable. The distinction is deliberate: a FEEL null on a gateway takes a branch nobody chose, so invalid data must fail loudly and must not be retried. JobContextTest (8 tests) pins this behaviour down by variable name.</w:t>
      </w:r>
    </w:p>
    <w:p>
      <w:pPr>
        <w:pStyle w:val="Heading2"/>
      </w:pPr>
      <w:r>
        <w:t>2.5  Service failure</w:t>
      </w:r>
    </w:p>
    <w:p>
      <w:r>
        <w:rPr>
          <w:b w:val="0"/>
          <w:i w:val="0"/>
        </w:rPr>
        <w:t>The fleet distinguishes four outcomes, because reporting one as another sends the patient down the wrong path:</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608"/>
        <w:gridCol w:w="3175"/>
        <w:gridCol w:w="3855"/>
      </w:tblGrid>
      <w:tr>
        <w:trPr>
          <w:tblHeader w:val="true"/>
        </w:trPr>
        <w:tc>
          <w:tcPr>
            <w:tcW w:type="dxa" w:w="2608"/>
            <w:shd w:val="clear" w:color="auto" w:fill="1F3864"/>
          </w:tcPr>
          <w:p>
            <w:pPr>
              <w:spacing w:after="20"/>
            </w:pPr>
            <w:r/>
            <w:r>
              <w:rPr>
                <w:b/>
                <w:color w:val="FFFFFF"/>
                <w:sz w:val="17"/>
              </w:rPr>
              <w:t>Situation</w:t>
            </w:r>
          </w:p>
        </w:tc>
        <w:tc>
          <w:tcPr>
            <w:tcW w:type="dxa" w:w="3175"/>
            <w:shd w:val="clear" w:color="auto" w:fill="1F3864"/>
          </w:tcPr>
          <w:p>
            <w:pPr>
              <w:spacing w:after="20"/>
            </w:pPr>
            <w:r/>
            <w:r>
              <w:rPr>
                <w:b/>
                <w:color w:val="FFFFFF"/>
                <w:sz w:val="17"/>
              </w:rPr>
              <w:t>Worker behaviour</w:t>
            </w:r>
          </w:p>
        </w:tc>
        <w:tc>
          <w:tcPr>
            <w:tcW w:type="dxa" w:w="3855"/>
            <w:shd w:val="clear" w:color="auto" w:fill="1F3864"/>
          </w:tcPr>
          <w:p>
            <w:pPr>
              <w:spacing w:after="20"/>
            </w:pPr>
            <w:r/>
            <w:r>
              <w:rPr>
                <w:b/>
                <w:color w:val="FFFFFF"/>
                <w:sz w:val="17"/>
              </w:rPr>
              <w:t>Why</w:t>
            </w:r>
          </w:p>
        </w:tc>
      </w:tr>
      <w:tr>
        <w:trPr>
          <w:cantSplit w:val="true"/>
        </w:trPr>
        <w:tc>
          <w:tcPr>
            <w:tcW w:type="dxa" w:w="2608"/>
          </w:tcPr>
          <w:p>
            <w:pPr>
              <w:spacing w:after="20"/>
            </w:pPr>
            <w:r/>
            <w:r>
              <w:rPr>
                <w:sz w:val="17"/>
              </w:rPr>
              <w:t>Provider declines (no slot, no capacity, payment declined)</w:t>
            </w:r>
          </w:p>
        </w:tc>
        <w:tc>
          <w:tcPr>
            <w:tcW w:type="dxa" w:w="3175"/>
          </w:tcPr>
          <w:p>
            <w:pPr>
              <w:spacing w:after="20"/>
            </w:pPr>
            <w:r/>
            <w:r>
              <w:rPr>
                <w:sz w:val="17"/>
              </w:rPr>
              <w:t>writes the outcome variable and completes</w:t>
            </w:r>
          </w:p>
        </w:tc>
        <w:tc>
          <w:tcPr>
            <w:tcW w:type="dxa" w:w="3855"/>
          </w:tcPr>
          <w:p>
            <w:pPr>
              <w:spacing w:after="20"/>
            </w:pPr>
            <w:r/>
            <w:r>
              <w:rPr>
                <w:sz w:val="17"/>
              </w:rPr>
              <w:t>these are business outcomes the model already branches on</w:t>
            </w:r>
          </w:p>
        </w:tc>
      </w:tr>
      <w:tr>
        <w:trPr>
          <w:cantSplit w:val="true"/>
        </w:trPr>
        <w:tc>
          <w:tcPr>
            <w:tcW w:type="dxa" w:w="2608"/>
            <w:shd w:val="clear" w:color="auto" w:fill="EEF2F8"/>
          </w:tcPr>
          <w:p>
            <w:pPr>
              <w:spacing w:after="20"/>
            </w:pPr>
            <w:r/>
            <w:r>
              <w:rPr>
                <w:sz w:val="17"/>
              </w:rPr>
              <w:t>Provider does not answer</w:t>
            </w:r>
          </w:p>
        </w:tc>
        <w:tc>
          <w:tcPr>
            <w:tcW w:type="dxa" w:w="3175"/>
            <w:shd w:val="clear" w:color="auto" w:fill="EEF2F8"/>
          </w:tcPr>
          <w:p>
            <w:pPr>
              <w:spacing w:after="20"/>
            </w:pPr>
            <w:r/>
            <w:r>
              <w:rPr>
                <w:sz w:val="17"/>
              </w:rPr>
              <w:t>TransientJobException — fail the job, one retry consumed</w:t>
            </w:r>
          </w:p>
        </w:tc>
        <w:tc>
          <w:tcPr>
            <w:tcW w:type="dxa" w:w="3855"/>
            <w:shd w:val="clear" w:color="auto" w:fill="EEF2F8"/>
          </w:tcPr>
          <w:p>
            <w:pPr>
              <w:spacing w:after="20"/>
            </w:pPr>
            <w:r/>
            <w:r>
              <w:rPr>
                <w:sz w:val="17"/>
              </w:rPr>
              <w:t>"no capacity" and "no answer" are different facts</w:t>
            </w:r>
          </w:p>
        </w:tc>
      </w:tr>
      <w:tr>
        <w:trPr>
          <w:cantSplit w:val="true"/>
        </w:trPr>
        <w:tc>
          <w:tcPr>
            <w:tcW w:type="dxa" w:w="2608"/>
          </w:tcPr>
          <w:p>
            <w:pPr>
              <w:spacing w:after="20"/>
            </w:pPr>
            <w:r/>
            <w:r>
              <w:rPr>
                <w:sz w:val="17"/>
              </w:rPr>
              <w:t>Invalid input</w:t>
            </w:r>
          </w:p>
        </w:tc>
        <w:tc>
          <w:tcPr>
            <w:tcW w:type="dxa" w:w="3175"/>
          </w:tcPr>
          <w:p>
            <w:pPr>
              <w:spacing w:after="20"/>
            </w:pPr>
            <w:r/>
            <w:r>
              <w:rPr>
                <w:sz w:val="17"/>
              </w:rPr>
              <w:t>ValidationException — BPMN error INVALID_JOB_INPUT</w:t>
            </w:r>
          </w:p>
        </w:tc>
        <w:tc>
          <w:tcPr>
            <w:tcW w:type="dxa" w:w="3855"/>
          </w:tcPr>
          <w:p>
            <w:pPr>
              <w:spacing w:after="20"/>
            </w:pPr>
            <w:r/>
            <w:r>
              <w:rPr>
                <w:sz w:val="17"/>
              </w:rPr>
              <w:t>a data or form defect; it must be visible, not retried</w:t>
            </w:r>
          </w:p>
        </w:tc>
      </w:tr>
      <w:tr>
        <w:trPr>
          <w:cantSplit w:val="true"/>
        </w:trPr>
        <w:tc>
          <w:tcPr>
            <w:tcW w:type="dxa" w:w="2608"/>
            <w:shd w:val="clear" w:color="auto" w:fill="EEF2F8"/>
          </w:tcPr>
          <w:p>
            <w:pPr>
              <w:spacing w:after="20"/>
            </w:pPr>
            <w:r/>
            <w:r>
              <w:rPr>
                <w:sz w:val="17"/>
              </w:rPr>
              <w:t>Injected business error</w:t>
            </w:r>
          </w:p>
        </w:tc>
        <w:tc>
          <w:tcPr>
            <w:tcW w:type="dxa" w:w="3175"/>
            <w:shd w:val="clear" w:color="auto" w:fill="EEF2F8"/>
          </w:tcPr>
          <w:p>
            <w:pPr>
              <w:spacing w:after="20"/>
            </w:pPr>
            <w:r/>
            <w:r>
              <w:rPr>
                <w:sz w:val="17"/>
              </w:rPr>
              <w:t>BpmnErrorException with a named code</w:t>
            </w:r>
          </w:p>
        </w:tc>
        <w:tc>
          <w:tcPr>
            <w:tcW w:type="dxa" w:w="3855"/>
            <w:shd w:val="clear" w:color="auto" w:fill="EEF2F8"/>
          </w:tcPr>
          <w:p>
            <w:pPr>
              <w:spacing w:after="20"/>
            </w:pPr>
            <w:r/>
            <w:r>
              <w:rPr>
                <w:sz w:val="17"/>
              </w:rPr>
              <w:t>demonstrable failure handling</w:t>
            </w:r>
          </w:p>
        </w:tc>
      </w:tr>
      <w:tr>
        <w:trPr>
          <w:cantSplit w:val="true"/>
        </w:trPr>
        <w:tc>
          <w:tcPr>
            <w:tcW w:type="dxa" w:w="2608"/>
          </w:tcPr>
          <w:p>
            <w:pPr>
              <w:spacing w:after="20"/>
            </w:pPr>
            <w:r/>
            <w:r>
              <w:rPr>
                <w:sz w:val="17"/>
              </w:rPr>
              <w:t>Anything unexpected</w:t>
            </w:r>
          </w:p>
        </w:tc>
        <w:tc>
          <w:tcPr>
            <w:tcW w:type="dxa" w:w="3175"/>
          </w:tcPr>
          <w:p>
            <w:pPr>
              <w:spacing w:after="20"/>
            </w:pPr>
            <w:r/>
            <w:r>
              <w:rPr>
                <w:sz w:val="17"/>
              </w:rPr>
              <w:t>fail with no retries left — incident</w:t>
            </w:r>
          </w:p>
        </w:tc>
        <w:tc>
          <w:tcPr>
            <w:tcW w:type="dxa" w:w="3855"/>
          </w:tcPr>
          <w:p>
            <w:pPr>
              <w:spacing w:after="20"/>
            </w:pPr>
            <w:r/>
            <w:r>
              <w:rPr>
                <w:sz w:val="17"/>
              </w:rPr>
              <w:t>an incident is the right signal for a defect a person must read</w:t>
            </w:r>
          </w:p>
        </w:tc>
      </w:tr>
    </w:tbl>
    <w:p>
      <w:pPr>
        <w:spacing w:after="40"/>
      </w:pPr>
    </w:p>
    <w:p>
      <w:pPr>
        <w:keepNext/>
        <w:spacing w:before="40" w:after="40"/>
      </w:pPr>
      <w:r>
        <w:rPr>
          <w:b/>
          <w:color w:val="595959"/>
          <w:sz w:val="17"/>
        </w:rPr>
        <w:t>Table 8. Failure taxonomy, implemented in AbstractWorker.</w:t>
      </w:r>
    </w:p>
    <w:p>
      <w:pPr>
        <w:pStyle w:val="Heading2"/>
      </w:pPr>
      <w:r>
        <w:t>2.6  The simulated services, stated as simulated</w:t>
      </w:r>
    </w:p>
    <w:p>
      <w:r>
        <w:rPr>
          <w:b w:val="0"/>
          <w:i w:val="0"/>
        </w:rPr>
        <w:t>There is no real scheduling system, insurer, payment provider, laboratory or correspondence service behind the pools. Each worker simulates its provider deterministically: the outcome is a function of the input variables and, where a failure needs to be demonstrated, of an explicit injection flag. The simulation is therefore honest about what it proves — that the process behaves correctly for a given provider outcome — and silent about what it does not prove, which is the behaviour of any real provider, latency, or provider-side error formats.</w:t>
      </w:r>
    </w:p>
    <w:p>
      <w:r>
        <w:rPr>
          <w:b w:val="0"/>
          <w:i w:val="0"/>
        </w:rPr>
        <w:t>The limitations that follow are recorded rather than hidden: response times are not modelled, no provider is authenticated, and a provider schema change would change the worker, not the model.</w:t>
      </w:r>
    </w:p>
    <w:p>
      <w:pPr>
        <w:pStyle w:val="Heading2"/>
      </w:pPr>
      <w:r>
        <w:t>2.7  Testing</w:t>
      </w:r>
    </w:p>
    <w:p>
      <w:r>
        <w:rPr>
          <w:b w:val="0"/>
          <w:i w:val="0"/>
        </w:rPr>
        <w:t>Two levels of evidence, because they catch different defects. Unit tests catch a worker that writes the wrong variable; the engine scenarios catch a worker that writes the right variable at the wrong time.</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211"/>
        <w:gridCol w:w="793"/>
        <w:gridCol w:w="6633"/>
      </w:tblGrid>
      <w:tr>
        <w:trPr>
          <w:tblHeader w:val="true"/>
        </w:trPr>
        <w:tc>
          <w:tcPr>
            <w:tcW w:type="dxa" w:w="2211"/>
            <w:shd w:val="clear" w:color="auto" w:fill="1F3864"/>
          </w:tcPr>
          <w:p>
            <w:pPr>
              <w:spacing w:after="20"/>
            </w:pPr>
            <w:r/>
            <w:r>
              <w:rPr>
                <w:b/>
                <w:color w:val="FFFFFF"/>
                <w:sz w:val="17"/>
              </w:rPr>
              <w:t>Suite</w:t>
            </w:r>
          </w:p>
        </w:tc>
        <w:tc>
          <w:tcPr>
            <w:tcW w:type="dxa" w:w="794"/>
            <w:shd w:val="clear" w:color="auto" w:fill="1F3864"/>
          </w:tcPr>
          <w:p>
            <w:pPr>
              <w:spacing w:after="20"/>
            </w:pPr>
            <w:r/>
            <w:r>
              <w:rPr>
                <w:b/>
                <w:color w:val="FFFFFF"/>
                <w:sz w:val="17"/>
              </w:rPr>
              <w:t>Tests</w:t>
            </w:r>
          </w:p>
        </w:tc>
        <w:tc>
          <w:tcPr>
            <w:tcW w:type="dxa" w:w="6633"/>
            <w:shd w:val="clear" w:color="auto" w:fill="1F3864"/>
          </w:tcPr>
          <w:p>
            <w:pPr>
              <w:spacing w:after="20"/>
            </w:pPr>
            <w:r/>
            <w:r>
              <w:rPr>
                <w:b/>
                <w:color w:val="FFFFFF"/>
                <w:sz w:val="17"/>
              </w:rPr>
              <w:t>What it pins down</w:t>
            </w:r>
          </w:p>
        </w:tc>
      </w:tr>
      <w:tr>
        <w:trPr>
          <w:cantSplit w:val="true"/>
        </w:trPr>
        <w:tc>
          <w:tcPr>
            <w:tcW w:type="dxa" w:w="2211"/>
          </w:tcPr>
          <w:p>
            <w:pPr>
              <w:spacing w:after="20"/>
            </w:pPr>
            <w:r/>
            <w:r>
              <w:rPr>
                <w:sz w:val="17"/>
              </w:rPr>
              <w:t>WorkerContractTest</w:t>
            </w:r>
          </w:p>
        </w:tc>
        <w:tc>
          <w:tcPr>
            <w:tcW w:type="dxa" w:w="794"/>
          </w:tcPr>
          <w:p>
            <w:pPr>
              <w:spacing w:after="20"/>
              <w:jc w:val="right"/>
            </w:pPr>
            <w:r/>
            <w:r>
              <w:rPr>
                <w:sz w:val="17"/>
              </w:rPr>
              <w:t>16</w:t>
            </w:r>
          </w:p>
        </w:tc>
        <w:tc>
          <w:tcPr>
            <w:tcW w:type="dxa" w:w="6633"/>
          </w:tcPr>
          <w:p>
            <w:pPr>
              <w:spacing w:after="20"/>
            </w:pPr>
            <w:r/>
            <w:r>
              <w:rPr>
                <w:sz w:val="17"/>
              </w:rPr>
              <w:t>one test per worker; the three gating workers hardest — that suitableSlotFound, treatmentCapacityConfirmed and paymentStatus really are written with the values the gateways test; that no card-shaped variable reaches the process; that a second payment of the same amount is suppressed; that the blood-test worker does not decide fitness</w:t>
            </w:r>
          </w:p>
        </w:tc>
      </w:tr>
      <w:tr>
        <w:trPr>
          <w:cantSplit w:val="true"/>
        </w:trPr>
        <w:tc>
          <w:tcPr>
            <w:tcW w:type="dxa" w:w="2211"/>
            <w:shd w:val="clear" w:color="auto" w:fill="EEF2F8"/>
          </w:tcPr>
          <w:p>
            <w:pPr>
              <w:spacing w:after="20"/>
            </w:pPr>
            <w:r/>
            <w:r>
              <w:rPr>
                <w:sz w:val="17"/>
              </w:rPr>
              <w:t>ExternalServicesTest</w:t>
            </w:r>
          </w:p>
        </w:tc>
        <w:tc>
          <w:tcPr>
            <w:tcW w:type="dxa" w:w="794"/>
            <w:shd w:val="clear" w:color="auto" w:fill="EEF2F8"/>
          </w:tcPr>
          <w:p>
            <w:pPr>
              <w:spacing w:after="20"/>
              <w:jc w:val="right"/>
            </w:pPr>
            <w:r/>
            <w:r>
              <w:rPr>
                <w:sz w:val="17"/>
              </w:rPr>
              <w:t>10</w:t>
            </w:r>
          </w:p>
        </w:tc>
        <w:tc>
          <w:tcPr>
            <w:tcW w:type="dxa" w:w="6633"/>
            <w:shd w:val="clear" w:color="auto" w:fill="EEF2F8"/>
          </w:tcPr>
          <w:p>
            <w:pPr>
              <w:spacing w:after="20"/>
            </w:pPr>
            <w:r/>
            <w:r>
              <w:rPr>
                <w:sz w:val="17"/>
              </w:rPr>
              <w:t>provider outcomes, and that a provider answering "no" is a business outcome while a provider not answering is a retry; that a forced decline applies to the first attempt only so the retry can succeed</w:t>
            </w:r>
          </w:p>
        </w:tc>
      </w:tr>
      <w:tr>
        <w:trPr>
          <w:cantSplit w:val="true"/>
        </w:trPr>
        <w:tc>
          <w:tcPr>
            <w:tcW w:type="dxa" w:w="2211"/>
          </w:tcPr>
          <w:p>
            <w:pPr>
              <w:spacing w:after="20"/>
            </w:pPr>
            <w:r/>
            <w:r>
              <w:rPr>
                <w:sz w:val="17"/>
              </w:rPr>
              <w:t>JobContextTest</w:t>
            </w:r>
          </w:p>
        </w:tc>
        <w:tc>
          <w:tcPr>
            <w:tcW w:type="dxa" w:w="794"/>
          </w:tcPr>
          <w:p>
            <w:pPr>
              <w:spacing w:after="20"/>
              <w:jc w:val="right"/>
            </w:pPr>
            <w:r/>
            <w:r>
              <w:rPr>
                <w:sz w:val="17"/>
              </w:rPr>
              <w:t>8</w:t>
            </w:r>
          </w:p>
        </w:tc>
        <w:tc>
          <w:tcPr>
            <w:tcW w:type="dxa" w:w="6633"/>
          </w:tcPr>
          <w:p>
            <w:pPr>
              <w:spacing w:after="20"/>
            </w:pPr>
            <w:r/>
            <w:r>
              <w:rPr>
                <w:sz w:val="17"/>
              </w:rPr>
              <w:t>a missing or malformed variable is rejected by name</w:t>
            </w:r>
          </w:p>
        </w:tc>
      </w:tr>
      <w:tr>
        <w:trPr>
          <w:cantSplit w:val="true"/>
        </w:trPr>
        <w:tc>
          <w:tcPr>
            <w:tcW w:type="dxa" w:w="2211"/>
            <w:shd w:val="clear" w:color="auto" w:fill="EEF2F8"/>
          </w:tcPr>
          <w:p>
            <w:pPr>
              <w:spacing w:after="20"/>
            </w:pPr>
            <w:r/>
            <w:r>
              <w:rPr>
                <w:sz w:val="17"/>
              </w:rPr>
              <w:t>SupportTest</w:t>
            </w:r>
          </w:p>
        </w:tc>
        <w:tc>
          <w:tcPr>
            <w:tcW w:type="dxa" w:w="794"/>
            <w:shd w:val="clear" w:color="auto" w:fill="EEF2F8"/>
          </w:tcPr>
          <w:p>
            <w:pPr>
              <w:spacing w:after="20"/>
              <w:jc w:val="right"/>
            </w:pPr>
            <w:r/>
            <w:r>
              <w:rPr>
                <w:sz w:val="17"/>
              </w:rPr>
              <w:t>7</w:t>
            </w:r>
          </w:p>
        </w:tc>
        <w:tc>
          <w:tcPr>
            <w:tcW w:type="dxa" w:w="6633"/>
            <w:shd w:val="clear" w:color="auto" w:fill="EEF2F8"/>
          </w:tcPr>
          <w:p>
            <w:pPr>
              <w:spacing w:after="20"/>
            </w:pPr>
            <w:r/>
            <w:r>
              <w:rPr>
                <w:sz w:val="17"/>
              </w:rPr>
              <w:t>episode correlation, duplicate-payment detection, attempt counting, and that the audit log carries actor, time and action with no update or delete</w:t>
            </w:r>
          </w:p>
        </w:tc>
      </w:tr>
    </w:tbl>
    <w:p>
      <w:pPr>
        <w:spacing w:after="40"/>
      </w:pPr>
    </w:p>
    <w:p>
      <w:pPr>
        <w:keepNext/>
        <w:spacing w:before="40" w:after="40"/>
      </w:pPr>
      <w:r>
        <w:rPr>
          <w:b/>
          <w:color w:val="595959"/>
          <w:sz w:val="17"/>
        </w:rPr>
        <w:t>Table 9. Unit tests: 41, run by mvn test with no engine and no network.</w:t>
      </w:r>
    </w:p>
    <w:p>
      <w:r>
        <w:rPr>
          <w:b w:val="0"/>
          <w:i w:val="0"/>
        </w:rPr>
        <w:t>The engine scenarios are stronger evidence than the unit tests for integration, because run-worker-demo.mjs plays only the human roles: every service and send task must be completed by a running worker, so a scenario cannot pass unless the fleet is up and working.</w:t>
      </w:r>
    </w:p>
    <w:tbl>
      <w:tblPr>
        <w:tblStyle w:val="TableGrid"/>
        <w:tblW w:type="dxa" w:w="9639"/>
        <w:jc w:val="center"/>
        <w:tblLayout w:type="fixed"/>
        <w:tblLook w:firstColumn="1" w:firstRow="1" w:lastColumn="0" w:lastRow="0" w:noHBand="0" w:noVBand="1" w:val="04A0"/>
        <w:tblLayout w:type="fixed"/>
        <w:tblCellMar>
          <w:top w:w="40" w:type="dxa"/>
          <w:left w:w="70" w:type="dxa"/>
          <w:bottom w:w="40" w:type="dxa"/>
          <w:right w:w="70" w:type="dxa"/>
        </w:tblCellMar>
      </w:tblPr>
      <w:tblGrid>
        <w:gridCol w:w="2041"/>
        <w:gridCol w:w="5783"/>
        <w:gridCol w:w="1814"/>
      </w:tblGrid>
      <w:tr>
        <w:trPr>
          <w:tblHeader w:val="true"/>
        </w:trPr>
        <w:tc>
          <w:tcPr>
            <w:tcW w:type="dxa" w:w="2041"/>
            <w:shd w:val="clear" w:color="auto" w:fill="1F3864"/>
          </w:tcPr>
          <w:p>
            <w:pPr>
              <w:spacing w:after="20"/>
            </w:pPr>
            <w:r/>
            <w:r>
              <w:rPr>
                <w:b/>
                <w:color w:val="FFFFFF"/>
                <w:sz w:val="17"/>
              </w:rPr>
              <w:t>Scenario</w:t>
            </w:r>
          </w:p>
        </w:tc>
        <w:tc>
          <w:tcPr>
            <w:tcW w:type="dxa" w:w="5783"/>
            <w:shd w:val="clear" w:color="auto" w:fill="1F3864"/>
          </w:tcPr>
          <w:p>
            <w:pPr>
              <w:spacing w:after="20"/>
            </w:pPr>
            <w:r/>
            <w:r>
              <w:rPr>
                <w:b/>
                <w:color w:val="FFFFFF"/>
                <w:sz w:val="17"/>
              </w:rPr>
              <w:t>What it proves</w:t>
            </w:r>
          </w:p>
        </w:tc>
        <w:tc>
          <w:tcPr>
            <w:tcW w:type="dxa" w:w="1814"/>
            <w:shd w:val="clear" w:color="auto" w:fill="1F3864"/>
          </w:tcPr>
          <w:p>
            <w:pPr>
              <w:spacing w:after="20"/>
            </w:pPr>
            <w:r/>
            <w:r>
              <w:rPr>
                <w:b/>
                <w:color w:val="FFFFFF"/>
                <w:sz w:val="17"/>
              </w:rPr>
              <w:t>Instance</w:t>
            </w:r>
          </w:p>
        </w:tc>
      </w:tr>
      <w:tr>
        <w:trPr>
          <w:cantSplit w:val="true"/>
        </w:trPr>
        <w:tc>
          <w:tcPr>
            <w:tcW w:type="dxa" w:w="2041"/>
          </w:tcPr>
          <w:p>
            <w:pPr>
              <w:spacing w:after="20"/>
            </w:pPr>
            <w:r/>
            <w:r>
              <w:rPr>
                <w:sz w:val="17"/>
              </w:rPr>
              <w:t>happy</w:t>
            </w:r>
          </w:p>
        </w:tc>
        <w:tc>
          <w:tcPr>
            <w:tcW w:type="dxa" w:w="5783"/>
          </w:tcPr>
          <w:p>
            <w:pPr>
              <w:spacing w:after="20"/>
            </w:pPr>
            <w:r/>
            <w:r>
              <w:rPr>
                <w:sz w:val="17"/>
              </w:rPr>
              <w:t>the workers drive the whole pathway; all three gating variables set</w:t>
            </w:r>
          </w:p>
        </w:tc>
        <w:tc>
          <w:tcPr>
            <w:tcW w:type="dxa" w:w="1814"/>
          </w:tcPr>
          <w:p>
            <w:pPr>
              <w:spacing w:after="20"/>
            </w:pPr>
            <w:r/>
            <w:r>
              <w:rPr>
                <w:sz w:val="17"/>
              </w:rPr>
              <w:t>2251799813729686</w:t>
            </w:r>
          </w:p>
        </w:tc>
      </w:tr>
      <w:tr>
        <w:trPr>
          <w:cantSplit w:val="true"/>
        </w:trPr>
        <w:tc>
          <w:tcPr>
            <w:tcW w:type="dxa" w:w="2041"/>
            <w:shd w:val="clear" w:color="auto" w:fill="EEF2F8"/>
          </w:tcPr>
          <w:p>
            <w:pPr>
              <w:spacing w:after="20"/>
            </w:pPr>
            <w:r/>
            <w:r>
              <w:rPr>
                <w:sz w:val="17"/>
              </w:rPr>
              <w:t>capacity-unavailable</w:t>
            </w:r>
          </w:p>
        </w:tc>
        <w:tc>
          <w:tcPr>
            <w:tcW w:type="dxa" w:w="5783"/>
            <w:shd w:val="clear" w:color="auto" w:fill="EEF2F8"/>
          </w:tcPr>
          <w:p>
            <w:pPr>
              <w:spacing w:after="20"/>
            </w:pPr>
            <w:r/>
            <w:r>
              <w:rPr>
                <w:sz w:val="17"/>
              </w:rPr>
              <w:t>capacity refused on attempt 1, T_KeepPending reached, confirmed on attempt 2, no duplicate booking</w:t>
            </w:r>
          </w:p>
        </w:tc>
        <w:tc>
          <w:tcPr>
            <w:tcW w:type="dxa" w:w="1814"/>
            <w:shd w:val="clear" w:color="auto" w:fill="EEF2F8"/>
          </w:tcPr>
          <w:p>
            <w:pPr>
              <w:spacing w:after="20"/>
            </w:pPr>
            <w:r/>
            <w:r>
              <w:rPr>
                <w:sz w:val="17"/>
              </w:rPr>
              <w:t>2251799813729956</w:t>
            </w:r>
          </w:p>
        </w:tc>
      </w:tr>
      <w:tr>
        <w:trPr>
          <w:cantSplit w:val="true"/>
        </w:trPr>
        <w:tc>
          <w:tcPr>
            <w:tcW w:type="dxa" w:w="2041"/>
          </w:tcPr>
          <w:p>
            <w:pPr>
              <w:spacing w:after="20"/>
            </w:pPr>
            <w:r/>
            <w:r>
              <w:rPr>
                <w:sz w:val="17"/>
              </w:rPr>
              <w:t>payment-declined</w:t>
            </w:r>
          </w:p>
        </w:tc>
        <w:tc>
          <w:tcPr>
            <w:tcW w:type="dxa" w:w="5783"/>
          </w:tcPr>
          <w:p>
            <w:pPr>
              <w:spacing w:after="20"/>
            </w:pPr>
            <w:r/>
            <w:r>
              <w:rPr>
                <w:sz w:val="17"/>
              </w:rPr>
              <w:t>decline handled, further attempt succeeds, no card data reaches the process</w:t>
            </w:r>
          </w:p>
        </w:tc>
        <w:tc>
          <w:tcPr>
            <w:tcW w:type="dxa" w:w="1814"/>
          </w:tcPr>
          <w:p>
            <w:pPr>
              <w:spacing w:after="20"/>
            </w:pPr>
            <w:r/>
            <w:r>
              <w:rPr>
                <w:sz w:val="17"/>
              </w:rPr>
              <w:t>2251799813730254</w:t>
            </w:r>
          </w:p>
        </w:tc>
      </w:tr>
      <w:tr>
        <w:trPr>
          <w:cantSplit w:val="true"/>
        </w:trPr>
        <w:tc>
          <w:tcPr>
            <w:tcW w:type="dxa" w:w="2041"/>
            <w:shd w:val="clear" w:color="auto" w:fill="EEF2F8"/>
          </w:tcPr>
          <w:p>
            <w:pPr>
              <w:spacing w:after="20"/>
            </w:pPr>
            <w:r/>
            <w:r>
              <w:rPr>
                <w:sz w:val="17"/>
              </w:rPr>
              <w:t>transient-retry</w:t>
            </w:r>
          </w:p>
        </w:tc>
        <w:tc>
          <w:tcPr>
            <w:tcW w:type="dxa" w:w="5783"/>
            <w:shd w:val="clear" w:color="auto" w:fill="EEF2F8"/>
          </w:tcPr>
          <w:p>
            <w:pPr>
              <w:spacing w:after="20"/>
            </w:pPr>
            <w:r/>
            <w:r>
              <w:rPr>
                <w:sz w:val="17"/>
              </w:rPr>
              <w:t>an injected provider failure is retried by the engine and recovered, not escalated</w:t>
            </w:r>
          </w:p>
        </w:tc>
        <w:tc>
          <w:tcPr>
            <w:tcW w:type="dxa" w:w="1814"/>
            <w:shd w:val="clear" w:color="auto" w:fill="EEF2F8"/>
          </w:tcPr>
          <w:p>
            <w:pPr>
              <w:spacing w:after="20"/>
            </w:pPr>
            <w:r/>
            <w:r>
              <w:rPr>
                <w:sz w:val="17"/>
              </w:rPr>
              <w:t>2251799813730539</w:t>
            </w:r>
          </w:p>
        </w:tc>
      </w:tr>
      <w:tr>
        <w:trPr>
          <w:cantSplit w:val="true"/>
        </w:trPr>
        <w:tc>
          <w:tcPr>
            <w:tcW w:type="dxa" w:w="2041"/>
          </w:tcPr>
          <w:p>
            <w:pPr>
              <w:spacing w:after="20"/>
            </w:pPr>
            <w:r/>
            <w:r>
              <w:rPr>
                <w:sz w:val="17"/>
              </w:rPr>
              <w:t>aftercare-cycles</w:t>
            </w:r>
          </w:p>
        </w:tc>
        <w:tc>
          <w:tcPr>
            <w:tcW w:type="dxa" w:w="5783"/>
          </w:tcPr>
          <w:p>
            <w:pPr>
              <w:spacing w:after="20"/>
            </w:pPr>
            <w:r/>
            <w:r>
              <w:rPr>
                <w:sz w:val="17"/>
              </w:rPr>
              <w:t>two treatment cycles, a clinic letter and a cancellation: request-blood-test, distribute-clinical-correspondence and request-refund, ending at E_PathwayReviewed</w:t>
            </w:r>
          </w:p>
        </w:tc>
        <w:tc>
          <w:tcPr>
            <w:tcW w:type="dxa" w:w="1814"/>
          </w:tcPr>
          <w:p>
            <w:pPr>
              <w:spacing w:after="20"/>
            </w:pPr>
            <w:r/>
            <w:r>
              <w:rPr>
                <w:sz w:val="17"/>
              </w:rPr>
              <w:t>2251799813730803</w:t>
            </w:r>
          </w:p>
        </w:tc>
      </w:tr>
      <w:tr>
        <w:trPr>
          <w:cantSplit w:val="true"/>
        </w:trPr>
        <w:tc>
          <w:tcPr>
            <w:tcW w:type="dxa" w:w="2041"/>
            <w:shd w:val="clear" w:color="auto" w:fill="EEF2F8"/>
          </w:tcPr>
          <w:p>
            <w:pPr>
              <w:spacing w:after="20"/>
            </w:pPr>
            <w:r/>
            <w:r>
              <w:rPr>
                <w:sz w:val="17"/>
              </w:rPr>
              <w:t>enquiry</w:t>
            </w:r>
          </w:p>
        </w:tc>
        <w:tc>
          <w:tcPr>
            <w:tcW w:type="dxa" w:w="5783"/>
            <w:shd w:val="clear" w:color="auto" w:fill="EEF2F8"/>
          </w:tcPr>
          <w:p>
            <w:pPr>
              <w:spacing w:after="20"/>
            </w:pPr>
            <w:r/>
            <w:r>
              <w:rPr>
                <w:sz w:val="17"/>
              </w:rPr>
              <w:t>PR_EnquiryHandling runs to E_EnquiryClosed</w:t>
            </w:r>
          </w:p>
        </w:tc>
        <w:tc>
          <w:tcPr>
            <w:tcW w:type="dxa" w:w="1814"/>
            <w:shd w:val="clear" w:color="auto" w:fill="EEF2F8"/>
          </w:tcPr>
          <w:p>
            <w:pPr>
              <w:spacing w:after="20"/>
            </w:pPr>
            <w:r/>
            <w:r>
              <w:rPr>
                <w:sz w:val="17"/>
              </w:rPr>
              <w:t>2251799813731069</w:t>
            </w:r>
          </w:p>
        </w:tc>
      </w:tr>
    </w:tbl>
    <w:p>
      <w:pPr>
        <w:spacing w:after="40"/>
      </w:pPr>
    </w:p>
    <w:p>
      <w:pPr>
        <w:keepNext/>
        <w:spacing w:before="40" w:after="40"/>
      </w:pPr>
      <w:r>
        <w:rPr>
          <w:b/>
          <w:color w:val="595959"/>
          <w:sz w:val="17"/>
        </w:rPr>
        <w:t>Table 10. Six worker-driven scenarios, all COMPLETED with no incident. Logs in 05_Test_Evidence/worker-run/workers-&lt;scenario&gt;.log.</w:t>
      </w:r>
    </w:p>
    <w:p>
      <w:pPr>
        <w:pStyle w:val="Heading3"/>
      </w:pPr>
      <w:r>
        <w:t>The one job type not executed against the engine</w:t>
      </w:r>
    </w:p>
    <w:p>
      <w:r>
        <w:rPr>
          <w:b w:val="0"/>
          <w:i w:val="0"/>
        </w:rPr>
        <w:t>generate-management-reports is bound only inside PR_ManagementReporting, whose only start event is a monthly timer (R/P1M). A process with no none start event cannot be created on demand — the API answers 409 Conflict — so there is nothing to subscribe to until the timer fires. It is covered by the start-up coverage check instead, and the attempt and its reason are recorded in run-worker-demo.mjs as scenario "reporting", marked skip. This is a stated limitation, not an omission.</w:t>
      </w:r>
    </w:p>
    <w:p>
      <w:pPr>
        <w:pStyle w:val="Heading2"/>
      </w:pPr>
      <w:r>
        <w:t>2.8  Configuration management</w:t>
      </w:r>
    </w:p>
    <w:p>
      <w:pPr>
        <w:pStyle w:val="ListBullet"/>
        <w:spacing w:after="40"/>
      </w:pPr>
      <w:r>
        <w:t>Configuration lives in 04_Java_Worker/src/main/resources/workers.properties with an environment override for every key, so no value has to be edited to run against a local cluster.</w:t>
      </w:r>
    </w:p>
    <w:p>
      <w:pPr>
        <w:pStyle w:val="ListBullet"/>
        <w:spacing w:after="40"/>
      </w:pPr>
      <w:r>
        <w:t>The build is 04_Java_Worker/pom.xml; the delivered artefact is the jar built from the same revision as the sources in the repository.</w:t>
      </w:r>
    </w:p>
    <w:p>
      <w:pPr>
        <w:pStyle w:val="ListBullet"/>
        <w:spacing w:after="40"/>
      </w:pPr>
      <w:r>
        <w:t>Every worker, the shared failure path and the store are first-owned by a named member and second-owned by another (section 5.9), so a worker cannot become undeliverable because one person is unavailable.</w:t>
      </w:r>
    </w:p>
    <w:p>
      <w:r>
        <w:rPr>
          <w:b w:val="0"/>
          <w:i w:val="0"/>
        </w:rPr>
        <w:t>There is one worker per job type, thirteen of them, rather than one dispatcher that switches on the type. The job type is the only contract the engine and the code share, so putting the decision inside one class would move it somewhere the model cannot see. The fleet also prints its coverage line and refuses to start if a declared job type has no subscriber, which turns a renamed job type into a start-up failure instead of a stuck instance. That check has already caught one rename.</w:t>
      </w:r>
    </w:p>
    <w:p>
      <w:r>
        <w:rPr>
          <w:b w:val="0"/>
          <w:i w:val="0"/>
        </w:rPr>
        <w:t>Business outcomes are written to variables instead of being thrown as errors, and that follows from a gap in the models rather than from a preference. None of the four declares a bpmn:error or an error boundary event, so a thrown BPMN error has nothing to catch it and surfaces as an incident for an incident handler to read. The models already branch on suitableSlotFound, treatmentCapacityConfirmed and paymentStatus, so a worker that writes "no" lets the process take a branch somebody designed. We kept the distinction that matters: a provider that answers "no" is a business outcome and completes, a provider that does not answer is a transient failure and is retried. Treating those as one thing would send a patient to escalation because a network connection dropped.</w:t>
      </w:r>
    </w:p>
    <w:p>
      <w:r>
        <w:rPr>
          <w:b w:val="0"/>
          <w:i w:val="0"/>
        </w:rPr>
        <w:t>Two things we would change. First, named error codes with boundary events on the service tasks, so the exception belongs to the model instead of to the worker. Second, an idempotency key on the payment request. The Finance Team's rationale shows why: sending the request serves the goal of collecting what is owed and works against the goal of never charging a patient twice, and the rule that a payment without a returned confirmation must be investigated rather than re-requested is a procedural answer to what is really a duplication risk. A key is the structural answer, and it is the first thing we would add.</w:t>
      </w:r>
    </w:p>
    <w:sectPr w:rsidR="00FC693F" w:rsidRPr="0006063C" w:rsidSect="00034616">
      <w:headerReference w:type="default" r:id="rId9"/>
      <w:footerReference w:type="default" r:id="rId10"/>
      <w:pgSz w:w="11906" w:h="16838"/>
      <w:pgMar w:top="1077" w:right="1134" w:bottom="107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Group 17  ·  page </w:t>
    </w:r>
    <w:r>
      <w:rPr>
        <w:color w:val="595959"/>
        <w:sz w:val="16"/>
      </w:rPr>
    </w:r>
    <w:fldSimple w:instr=" PAGE ">
      <w:r>
        <w:rPr>
          <w:sz w:val="16"/>
        </w:rPr>
        <w:t>1</w:t>
      </w:r>
    </w:fldSimple>
    <w:r>
      <w:rPr>
        <w:color w:val="595959"/>
        <w:sz w:val="16"/>
      </w:rPr>
      <w:t xml:space="preserve"> of </w:t>
    </w:r>
    <w:r>
      <w:rPr>
        <w:color w:val="595959"/>
        <w:sz w:val="16"/>
      </w:rPr>
    </w:r>
    <w:fldSimple w:instr=" NUMPAGES ">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color w:val="595959"/>
        <w:sz w:val="15"/>
      </w:rPr>
      <w:t>UFCEP6-0-3 Portfolio  |  Hospital Patient Referral, Treatment and Administration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val="0"/>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External workers</dc:title>
  <dc:subject>UFCEP6-0-3 Portfolio — 2 External workers</dc:subject>
  <dc:creator>UFCEP6-0-3 group</dc:creator>
  <cp:keywords/>
  <dc:description>Initial release portfolio, UFCEP6-0-3 Advanced Information Systems Development</dc:description>
  <cp:lastModifiedBy>UFCEP6-0-3 group</cp:lastModifiedBy>
  <cp:revision>1</cp:revision>
  <dcterms:created xsi:type="dcterms:W3CDTF">2013-12-23T23:15:00Z</dcterms:created>
  <dcterms:modified xsi:type="dcterms:W3CDTF">2013-12-23T23:15:00Z</dcterms:modified>
  <cp:category>Assessment submission</cp:category>
</cp:coreProperties>
</file>