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Camunda Forms</w:t>
      </w:r>
    </w:p>
    <w:p>
      <w:r>
        <w:rPr>
          <w:b w:val="0"/>
          <w:i w:val="0"/>
        </w:rPr>
        <w:t>Criterion: Camunda Forms (15%). Learning outcomes LO1, LO4, LO2 and LO5.</w:t>
      </w:r>
    </w:p>
    <w:p>
      <w:r>
        <w:rPr>
          <w:b w:val="0"/>
          <w:i w:val="0"/>
        </w:rPr>
        <w:t>The deliverable is the form set that captures the information each user task needs and passes it to the process, together with the evidence that the bindings work, the inputs are validated, and the forms suit the people who use them.</w:t>
      </w:r>
    </w:p>
    <w:p>
      <w:pPr>
        <w:pStyle w:val="Heading2"/>
      </w:pPr>
      <w:r>
        <w:t>3.1  Coverage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3628"/>
        <w:gridCol w:w="6010"/>
      </w:tblGrid>
      <w:tr>
        <w:trPr>
          <w:tblHeader w:val="true"/>
        </w:trPr>
        <w:tc>
          <w:tcPr>
            <w:tcW w:type="dxa" w:w="3628"/>
            <w:shd w:val="clear" w:color="auto" w:fill="1F3864"/>
          </w:tcPr>
          <w:p>
            <w:pPr>
              <w:spacing w:after="20"/>
            </w:pPr>
            <w:r/>
            <w:r>
              <w:rPr>
                <w:b/>
                <w:color w:val="FFFFFF"/>
                <w:sz w:val="18"/>
              </w:rPr>
              <w:t>Item</w:t>
            </w:r>
          </w:p>
        </w:tc>
        <w:tc>
          <w:tcPr>
            <w:tcW w:type="dxa" w:w="6009"/>
            <w:shd w:val="clear" w:color="auto" w:fill="1F3864"/>
          </w:tcPr>
          <w:p>
            <w:pPr>
              <w:spacing w:after="20"/>
            </w:pPr>
            <w:r/>
            <w:r>
              <w:rPr>
                <w:b/>
                <w:color w:val="FFFFFF"/>
                <w:sz w:val="18"/>
              </w:rPr>
              <w:t>Detail</w:t>
            </w:r>
          </w:p>
        </w:tc>
      </w:tr>
      <w:tr>
        <w:trPr>
          <w:cantSplit w:val="true"/>
        </w:trPr>
        <w:tc>
          <w:tcPr>
            <w:tcW w:type="dxa" w:w="3628"/>
          </w:tcPr>
          <w:p>
            <w:pPr>
              <w:spacing w:after="20"/>
            </w:pPr>
            <w:r/>
            <w:r>
              <w:rPr>
                <w:sz w:val="18"/>
              </w:rPr>
              <w:t>User tasks in the four models</w:t>
            </w:r>
          </w:p>
        </w:tc>
        <w:tc>
          <w:tcPr>
            <w:tcW w:type="dxa" w:w="6009"/>
          </w:tcPr>
          <w:p>
            <w:pPr>
              <w:spacing w:after="20"/>
            </w:pPr>
            <w:r/>
            <w:r>
              <w:rPr>
                <w:sz w:val="18"/>
              </w:rPr>
              <w:t>99</w:t>
            </w:r>
          </w:p>
        </w:tc>
      </w:tr>
      <w:tr>
        <w:trPr>
          <w:cantSplit w:val="true"/>
        </w:trPr>
        <w:tc>
          <w:tcPr>
            <w:tcW w:type="dxa" w:w="3628"/>
            <w:shd w:val="clear" w:color="auto" w:fill="EEF2F8"/>
          </w:tcPr>
          <w:p>
            <w:pPr>
              <w:spacing w:after="20"/>
            </w:pPr>
            <w:r/>
            <w:r>
              <w:rPr>
                <w:sz w:val="18"/>
              </w:rPr>
              <w:t>User tasks with a form</w:t>
            </w:r>
          </w:p>
        </w:tc>
        <w:tc>
          <w:tcPr>
            <w:tcW w:type="dxa" w:w="6009"/>
            <w:shd w:val="clear" w:color="auto" w:fill="EEF2F8"/>
          </w:tcPr>
          <w:p>
            <w:pPr>
              <w:spacing w:after="20"/>
            </w:pPr>
            <w:r/>
            <w:r>
              <w:rPr>
                <w:sz w:val="18"/>
              </w:rPr>
              <w:t>99 (100%)</w:t>
            </w:r>
          </w:p>
        </w:tc>
      </w:tr>
      <w:tr>
        <w:trPr>
          <w:cantSplit w:val="true"/>
        </w:trPr>
        <w:tc>
          <w:tcPr>
            <w:tcW w:type="dxa" w:w="3628"/>
          </w:tcPr>
          <w:p>
            <w:pPr>
              <w:spacing w:after="20"/>
            </w:pPr>
            <w:r/>
            <w:r>
              <w:rPr>
                <w:sz w:val="18"/>
              </w:rPr>
              <w:t>Distinct forms</w:t>
            </w:r>
          </w:p>
        </w:tc>
        <w:tc>
          <w:tcPr>
            <w:tcW w:type="dxa" w:w="6009"/>
          </w:tcPr>
          <w:p>
            <w:pPr>
              <w:spacing w:after="20"/>
            </w:pPr>
            <w:r/>
            <w:r>
              <w:rPr>
                <w:sz w:val="18"/>
              </w:rPr>
              <w:t>69</w:t>
            </w:r>
          </w:p>
        </w:tc>
      </w:tr>
      <w:tr>
        <w:trPr>
          <w:cantSplit w:val="true"/>
        </w:trPr>
        <w:tc>
          <w:tcPr>
            <w:tcW w:type="dxa" w:w="3628"/>
            <w:shd w:val="clear" w:color="auto" w:fill="EEF2F8"/>
          </w:tcPr>
          <w:p>
            <w:pPr>
              <w:spacing w:after="20"/>
            </w:pPr>
            <w:r/>
            <w:r>
              <w:rPr>
                <w:sz w:val="18"/>
              </w:rPr>
              <w:t>User tasks with a candidate group</w:t>
            </w:r>
          </w:p>
        </w:tc>
        <w:tc>
          <w:tcPr>
            <w:tcW w:type="dxa" w:w="6009"/>
            <w:shd w:val="clear" w:color="auto" w:fill="EEF2F8"/>
          </w:tcPr>
          <w:p>
            <w:pPr>
              <w:spacing w:after="20"/>
            </w:pPr>
            <w:r/>
            <w:r>
              <w:rPr>
                <w:sz w:val="18"/>
              </w:rPr>
              <w:t>99 (100%)</w:t>
            </w:r>
          </w:p>
        </w:tc>
      </w:tr>
      <w:tr>
        <w:trPr>
          <w:cantSplit w:val="true"/>
        </w:trPr>
        <w:tc>
          <w:tcPr>
            <w:tcW w:type="dxa" w:w="3628"/>
          </w:tcPr>
          <w:p>
            <w:pPr>
              <w:spacing w:after="20"/>
            </w:pPr>
            <w:r/>
            <w:r>
              <w:rPr>
                <w:sz w:val="18"/>
              </w:rPr>
              <w:t>Distinct candidate groups</w:t>
            </w:r>
          </w:p>
        </w:tc>
        <w:tc>
          <w:tcPr>
            <w:tcW w:type="dxa" w:w="6009"/>
          </w:tcPr>
          <w:p>
            <w:pPr>
              <w:spacing w:after="20"/>
            </w:pPr>
            <w:r/>
            <w:r>
              <w:rPr>
                <w:sz w:val="18"/>
              </w:rPr>
              <w:t>10</w:t>
            </w:r>
          </w:p>
        </w:tc>
      </w:tr>
      <w:tr>
        <w:trPr>
          <w:cantSplit w:val="true"/>
        </w:trPr>
        <w:tc>
          <w:tcPr>
            <w:tcW w:type="dxa" w:w="3628"/>
            <w:shd w:val="clear" w:color="auto" w:fill="EEF2F8"/>
          </w:tcPr>
          <w:p>
            <w:pPr>
              <w:spacing w:after="20"/>
            </w:pPr>
            <w:r/>
            <w:r>
              <w:rPr>
                <w:sz w:val="18"/>
              </w:rPr>
              <w:t>Form components</w:t>
            </w:r>
          </w:p>
        </w:tc>
        <w:tc>
          <w:tcPr>
            <w:tcW w:type="dxa" w:w="6009"/>
            <w:shd w:val="clear" w:color="auto" w:fill="EEF2F8"/>
          </w:tcPr>
          <w:p>
            <w:pPr>
              <w:spacing w:after="20"/>
            </w:pPr>
            <w:r>
              <w:t xml:space="preserve">237 (168 inputs and 69 display elements)</w:t>
            </w:r>
          </w:p>
        </w:tc>
      </w:tr>
      <w:tr>
        <w:trPr>
          <w:cantSplit w:val="true"/>
        </w:trPr>
        <w:tc>
          <w:tcPr>
            <w:tcW w:type="dxa" w:w="3628"/>
          </w:tcPr>
          <w:p>
            <w:pPr>
              <w:spacing w:after="20"/>
            </w:pPr>
            <w:r/>
            <w:r>
              <w:rPr>
                <w:sz w:val="18"/>
              </w:rPr>
              <w:t>Required inputs</w:t>
            </w:r>
          </w:p>
        </w:tc>
        <w:tc>
          <w:tcPr>
            <w:tcW w:type="dxa" w:w="6009"/>
          </w:tcPr>
          <w:p>
            <w:pPr>
              <w:spacing w:after="20"/>
            </w:pPr>
            <w:r/>
            <w:r>
              <w:rPr>
                <w:sz w:val="18"/>
              </w:rPr>
              <w:t>157</w:t>
            </w:r>
          </w:p>
        </w:tc>
      </w:tr>
      <w:tr>
        <w:trPr>
          <w:cantSplit w:val="true"/>
        </w:trPr>
        <w:tc>
          <w:tcPr>
            <w:tcW w:type="dxa" w:w="3628"/>
            <w:shd w:val="clear" w:color="auto" w:fill="EEF2F8"/>
          </w:tcPr>
          <w:p>
            <w:pPr>
              <w:spacing w:after="20"/>
            </w:pPr>
            <w:r/>
            <w:r>
              <w:rPr>
                <w:sz w:val="18"/>
              </w:rPr>
              <w:t>Inputs with a constraint</w:t>
            </w:r>
          </w:p>
        </w:tc>
        <w:tc>
          <w:tcPr>
            <w:tcW w:type="dxa" w:w="6009"/>
            <w:shd w:val="clear" w:color="auto" w:fill="EEF2F8"/>
          </w:tcPr>
          <w:p>
            <w:pPr>
              <w:spacing w:after="20"/>
            </w:pPr>
            <w:r/>
            <w:r>
              <w:rPr>
                <w:sz w:val="18"/>
              </w:rPr>
              <w:t>70 pattern, 17 fixed-value lists</w:t>
            </w:r>
          </w:p>
        </w:tc>
      </w:tr>
    </w:tbl>
    <w:p>
      <w:pPr>
        <w:spacing w:after="40"/>
      </w:pPr>
    </w:p>
    <w:p>
      <w:pPr>
        <w:pStyle w:val="Heading2"/>
      </w:pPr>
      <w:r>
        <w:t>3.2  How the forms are bound</w:t>
      </w:r>
    </w:p>
    <w:p>
      <w:r>
        <w:rPr>
          <w:b w:val="0"/>
          <w:i w:val="0"/>
        </w:rPr>
        <w:t>Every user task carries a zeebe:formDefinition with an explicit formId and bindingType="latest", and a zeebe:assignmentDefinition naming the candidate group. A form is not part of the .bpmn file, so the model and the forms it references are deployed together in one deployment by 09_Tests_and_Tools/deploy-all.mjs. Deploying the model alone leaves the first user task with a FORM_NOT_FOUND incident, which is exactly what happened before the forms were generated and deployed with the models; the defect is recorded in the repository defect log as DEP-04 and closed by that change.</w:t>
      </w:r>
    </w:p>
    <w:tbl>
      <w:tblPr>
        <w:tblW w:type="auto" w:w="0"/>
        <w:jc w:val="center"/>
        <w:tblLook w:firstColumn="1" w:firstRow="1" w:lastColumn="0" w:lastRow="0" w:noHBand="0" w:noVBand="1" w:val="04A0"/>
        <w:tblLayout w:type="autofit"/>
        <w:tblCellMar>
          <w:top w:w="70" w:type="dxa"/>
          <w:left w:w="110" w:type="dxa"/>
          <w:bottom w:w="70" w:type="dxa"/>
          <w:right w:w="110" w:type="dxa"/>
        </w:tblCellMar>
      </w:tblPr>
      <w:tblGrid>
        <w:gridCol w:w="9638"/>
      </w:tblGrid>
      <w:tr>
        <w:tc>
          <w:tcPr>
            <w:tcW w:type="dxa" w:w="9638"/>
            <w:shd w:val="clear" w:color="auto" w:fill="FFF4E5"/>
          </w:tcPr>
          <w:p>
            <w:r/>
            <w:r>
              <w:rPr>
                <w:sz w:val="18"/>
              </w:rPr>
              <w:t>Why bindingType is written explicitly: an earlier version of the attribute was misspelt as binding="deployment". The engine ignored an attribute it did not know and used its default, latest, so the Modeler Deploy button appeared to work while a teammate deploying their own copy of the forms silently replaced every drop-down with an old text box. The attribute is now correct, and the binding mode is switchable with 09_Tests_and_Tools/set-form-binding.ps1.</w:t>
            </w:r>
          </w:p>
        </w:tc>
      </w:tr>
    </w:tbl>
    <w:p>
      <w:pPr>
        <w:spacing w:after="40"/>
      </w:pPr>
    </w:p>
    <w:p>
      <w:pPr>
        <w:pStyle w:val="Heading2"/>
      </w:pPr>
      <w:r>
        <w:t>3.3  Control types and why each is used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360"/>
        <w:gridCol w:w="793"/>
        <w:gridCol w:w="3515"/>
        <w:gridCol w:w="3969"/>
      </w:tblGrid>
      <w:tr>
        <w:trPr>
          <w:tblHeader w:val="true"/>
        </w:trPr>
        <w:tc>
          <w:tcPr>
            <w:tcW w:type="dxa" w:w="1361"/>
            <w:shd w:val="clear" w:color="auto" w:fill="1F3864"/>
          </w:tcPr>
          <w:p>
            <w:pPr>
              <w:spacing w:after="20"/>
            </w:pPr>
            <w:r/>
            <w:r>
              <w:rPr>
                <w:b/>
                <w:color w:val="FFFFFF"/>
                <w:sz w:val="17"/>
              </w:rPr>
              <w:t>Control</w:t>
            </w:r>
          </w:p>
        </w:tc>
        <w:tc>
          <w:tcPr>
            <w:tcW w:type="dxa" w:w="794"/>
            <w:shd w:val="clear" w:color="auto" w:fill="1F3864"/>
          </w:tcPr>
          <w:p>
            <w:pPr>
              <w:spacing w:after="20"/>
            </w:pPr>
            <w:r/>
            <w:r>
              <w:rPr>
                <w:b/>
                <w:color w:val="FFFFFF"/>
                <w:sz w:val="17"/>
              </w:rPr>
              <w:t>Count</w:t>
            </w:r>
          </w:p>
        </w:tc>
        <w:tc>
          <w:tcPr>
            <w:tcW w:type="dxa" w:w="3515"/>
            <w:shd w:val="clear" w:color="auto" w:fill="1F3864"/>
          </w:tcPr>
          <w:p>
            <w:pPr>
              <w:spacing w:after="20"/>
            </w:pPr>
            <w:r/>
            <w:r>
              <w:rPr>
                <w:b/>
                <w:color w:val="FFFFFF"/>
                <w:sz w:val="17"/>
              </w:rPr>
              <w:t>Used for</w:t>
            </w:r>
          </w:p>
        </w:tc>
        <w:tc>
          <w:tcPr>
            <w:tcW w:type="dxa" w:w="3969"/>
            <w:shd w:val="clear" w:color="auto" w:fill="1F3864"/>
          </w:tcPr>
          <w:p>
            <w:pPr>
              <w:spacing w:after="20"/>
            </w:pPr>
            <w:r/>
            <w:r>
              <w:rPr>
                <w:b/>
                <w:color w:val="FFFFFF"/>
                <w:sz w:val="17"/>
              </w:rPr>
              <w:t>Why this control</w:t>
            </w:r>
          </w:p>
        </w:tc>
      </w:tr>
      <w:tr>
        <w:trPr>
          <w:cantSplit w:val="true"/>
        </w:trPr>
        <w:tc>
          <w:tcPr>
            <w:tcW w:type="dxa" w:w="1361"/>
          </w:tcPr>
          <w:p>
            <w:pPr>
              <w:spacing w:after="20"/>
            </w:pPr>
            <w:r/>
            <w:r>
              <w:rPr>
                <w:sz w:val="17"/>
              </w:rPr>
              <w:t>textfield</w:t>
            </w:r>
          </w:p>
        </w:tc>
        <w:tc>
          <w:tcPr>
            <w:tcW w:type="dxa" w:w="794"/>
          </w:tcPr>
          <w:p>
            <w:pPr>
              <w:spacing w:after="20"/>
              <w:jc w:val="right"/>
            </w:pPr>
            <w:r/>
            <w:r>
              <w:rPr>
                <w:sz w:val="17"/>
              </w:rPr>
              <w:t>91</w:t>
            </w:r>
          </w:p>
        </w:tc>
        <w:tc>
          <w:tcPr>
            <w:tcW w:type="dxa" w:w="3515"/>
          </w:tcPr>
          <w:p>
            <w:pPr>
              <w:spacing w:after="20"/>
            </w:pPr>
            <w:r/>
            <w:r>
              <w:rPr>
                <w:sz w:val="17"/>
              </w:rPr>
              <w:t>names, identifiers, references, short free text</w:t>
            </w:r>
          </w:p>
        </w:tc>
        <w:tc>
          <w:tcPr>
            <w:tcW w:type="dxa" w:w="3969"/>
          </w:tcPr>
          <w:p>
            <w:pPr>
              <w:spacing w:after="20"/>
            </w:pPr>
            <w:r/>
            <w:r>
              <w:rPr>
                <w:sz w:val="17"/>
              </w:rPr>
              <w:t>single line; the only control that cannot accept a line break</w:t>
            </w:r>
          </w:p>
        </w:tc>
      </w:tr>
      <w:tr>
        <w:trPr>
          <w:cantSplit w:val="true"/>
        </w:trPr>
        <w:tc>
          <w:tcPr>
            <w:tcW w:type="dxa" w:w="1361"/>
            <w:shd w:val="clear" w:color="auto" w:fill="EEF2F8"/>
          </w:tcPr>
          <w:p>
            <w:pPr>
              <w:spacing w:after="20"/>
            </w:pPr>
            <w:r/>
            <w:r>
              <w:rPr>
                <w:sz w:val="17"/>
              </w:rPr>
              <w:t>text</w:t>
            </w:r>
          </w:p>
        </w:tc>
        <w:tc>
          <w:tcPr>
            <w:tcW w:type="dxa" w:w="794"/>
            <w:shd w:val="clear" w:color="auto" w:fill="EEF2F8"/>
          </w:tcPr>
          <w:p>
            <w:pPr>
              <w:spacing w:after="20"/>
              <w:jc w:val="right"/>
            </w:pPr>
            <w:r>
              <w:t xml:space="preserve">69</w:t>
            </w:r>
          </w:p>
        </w:tc>
        <w:tc>
          <w:tcPr>
            <w:tcW w:type="dxa" w:w="3515"/>
            <w:shd w:val="clear" w:color="auto" w:fill="EEF2F8"/>
          </w:tcPr>
          <w:p>
            <w:pPr>
              <w:spacing w:after="20"/>
            </w:pPr>
            <w:r/>
            <w:r>
              <w:rPr>
                <w:sz w:val="17"/>
              </w:rPr>
              <w:t>headings and instructions inside a form</w:t>
            </w:r>
          </w:p>
        </w:tc>
        <w:tc>
          <w:tcPr>
            <w:tcW w:type="dxa" w:w="3969"/>
            <w:shd w:val="clear" w:color="auto" w:fill="EEF2F8"/>
          </w:tcPr>
          <w:p>
            <w:pPr>
              <w:spacing w:after="20"/>
            </w:pPr>
            <w:r/>
            <w:r>
              <w:rPr>
                <w:sz w:val="17"/>
              </w:rPr>
              <w:t>display only; keeps a long form readable without splitting the task</w:t>
            </w:r>
          </w:p>
        </w:tc>
      </w:tr>
      <w:tr>
        <w:trPr>
          <w:cantSplit w:val="true"/>
        </w:trPr>
        <w:tc>
          <w:tcPr>
            <w:tcW w:type="dxa" w:w="1361"/>
          </w:tcPr>
          <w:p>
            <w:pPr>
              <w:spacing w:after="20"/>
            </w:pPr>
            <w:r/>
            <w:r>
              <w:rPr>
                <w:sz w:val="17"/>
              </w:rPr>
              <w:t>checkbox</w:t>
            </w:r>
          </w:p>
        </w:tc>
        <w:tc>
          <w:tcPr>
            <w:tcW w:type="dxa" w:w="794"/>
          </w:tcPr>
          <w:p>
            <w:pPr>
              <w:spacing w:after="20"/>
              <w:jc w:val="right"/>
            </w:pPr>
            <w:r/>
            <w:r>
              <w:rPr>
                <w:sz w:val="17"/>
              </w:rPr>
              <w:t>39</w:t>
            </w:r>
          </w:p>
        </w:tc>
        <w:tc>
          <w:tcPr>
            <w:tcW w:type="dxa" w:w="3515"/>
          </w:tcPr>
          <w:p>
            <w:pPr>
              <w:spacing w:after="20"/>
            </w:pPr>
            <w:r/>
            <w:r>
              <w:rPr>
                <w:sz w:val="17"/>
              </w:rPr>
              <w:t>yes/no decisions and confirmations</w:t>
            </w:r>
          </w:p>
        </w:tc>
        <w:tc>
          <w:tcPr>
            <w:tcW w:type="dxa" w:w="3969"/>
          </w:tcPr>
          <w:p>
            <w:pPr>
              <w:spacing w:after="20"/>
            </w:pPr>
            <w:r/>
            <w:r>
              <w:rPr>
                <w:sz w:val="17"/>
              </w:rPr>
              <w:t>a decision that must be recorded even when the answer is no</w:t>
            </w:r>
          </w:p>
        </w:tc>
      </w:tr>
      <w:tr>
        <w:trPr>
          <w:cantSplit w:val="true"/>
        </w:trPr>
        <w:tc>
          <w:tcPr>
            <w:tcW w:type="dxa" w:w="1361"/>
            <w:shd w:val="clear" w:color="auto" w:fill="EEF2F8"/>
          </w:tcPr>
          <w:p>
            <w:pPr>
              <w:spacing w:after="20"/>
            </w:pPr>
            <w:r/>
            <w:r>
              <w:rPr>
                <w:sz w:val="17"/>
              </w:rPr>
              <w:t>select</w:t>
            </w:r>
          </w:p>
        </w:tc>
        <w:tc>
          <w:tcPr>
            <w:tcW w:type="dxa" w:w="794"/>
            <w:shd w:val="clear" w:color="auto" w:fill="EEF2F8"/>
          </w:tcPr>
          <w:p>
            <w:pPr>
              <w:spacing w:after="20"/>
              <w:jc w:val="right"/>
            </w:pPr>
            <w:r/>
            <w:r>
              <w:rPr>
                <w:sz w:val="17"/>
              </w:rPr>
              <w:t>17</w:t>
            </w:r>
          </w:p>
        </w:tc>
        <w:tc>
          <w:tcPr>
            <w:tcW w:type="dxa" w:w="3515"/>
            <w:shd w:val="clear" w:color="auto" w:fill="EEF2F8"/>
          </w:tcPr>
          <w:p>
            <w:pPr>
              <w:spacing w:after="20"/>
            </w:pPr>
            <w:r/>
            <w:r>
              <w:rPr>
                <w:sz w:val="17"/>
              </w:rPr>
              <w:t>controlled vocabularies — decision, urgency, funding route, outcome</w:t>
            </w:r>
          </w:p>
        </w:tc>
        <w:tc>
          <w:tcPr>
            <w:tcW w:type="dxa" w:w="3969"/>
            <w:shd w:val="clear" w:color="auto" w:fill="EEF2F8"/>
          </w:tcPr>
          <w:p>
            <w:pPr>
              <w:spacing w:after="20"/>
            </w:pPr>
            <w:r/>
            <w:r>
              <w:rPr>
                <w:sz w:val="17"/>
              </w:rPr>
              <w:t>prevents the value drift that made a gateway unselectable in an earlier increment</w:t>
            </w:r>
          </w:p>
        </w:tc>
      </w:tr>
      <w:tr>
        <w:trPr>
          <w:cantSplit w:val="true"/>
        </w:trPr>
        <w:tc>
          <w:tcPr>
            <w:tcW w:type="dxa" w:w="1361"/>
          </w:tcPr>
          <w:p>
            <w:pPr>
              <w:spacing w:after="20"/>
            </w:pPr>
            <w:r/>
            <w:r>
              <w:rPr>
                <w:sz w:val="17"/>
              </w:rPr>
              <w:t>number</w:t>
            </w:r>
          </w:p>
        </w:tc>
        <w:tc>
          <w:tcPr>
            <w:tcW w:type="dxa" w:w="794"/>
          </w:tcPr>
          <w:p>
            <w:pPr>
              <w:spacing w:after="20"/>
              <w:jc w:val="right"/>
            </w:pPr>
            <w:r/>
            <w:r>
              <w:rPr>
                <w:sz w:val="17"/>
              </w:rPr>
              <w:t>14</w:t>
            </w:r>
          </w:p>
        </w:tc>
        <w:tc>
          <w:tcPr>
            <w:tcW w:type="dxa" w:w="3515"/>
          </w:tcPr>
          <w:p>
            <w:pPr>
              <w:spacing w:after="20"/>
            </w:pPr>
            <w:r/>
            <w:r>
              <w:rPr>
                <w:sz w:val="17"/>
              </w:rPr>
              <w:t>amounts, cycles, attempt counts</w:t>
            </w:r>
          </w:p>
        </w:tc>
        <w:tc>
          <w:tcPr>
            <w:tcW w:type="dxa" w:w="3969"/>
          </w:tcPr>
          <w:p>
            <w:pPr>
              <w:spacing w:after="20"/>
            </w:pPr>
            <w:r/>
            <w:r>
              <w:rPr>
                <w:sz w:val="17"/>
              </w:rPr>
              <w:t>numeric entry, so a gateway comparing a number is never given a string</w:t>
            </w:r>
          </w:p>
        </w:tc>
      </w:tr>
      <w:tr>
        <w:trPr>
          <w:cantSplit w:val="true"/>
        </w:trPr>
        <w:tc>
          <w:tcPr>
            <w:tcW w:type="dxa" w:w="1361"/>
            <w:shd w:val="clear" w:color="auto" w:fill="EEF2F8"/>
          </w:tcPr>
          <w:p>
            <w:pPr>
              <w:spacing w:after="20"/>
            </w:pPr>
            <w:r/>
            <w:r>
              <w:rPr>
                <w:sz w:val="17"/>
              </w:rPr>
              <w:t>datetime</w:t>
            </w:r>
          </w:p>
        </w:tc>
        <w:tc>
          <w:tcPr>
            <w:tcW w:type="dxa" w:w="794"/>
            <w:shd w:val="clear" w:color="auto" w:fill="EEF2F8"/>
          </w:tcPr>
          <w:p>
            <w:pPr>
              <w:spacing w:after="20"/>
              <w:jc w:val="right"/>
            </w:pPr>
            <w:r/>
            <w:r>
              <w:rPr>
                <w:sz w:val="17"/>
              </w:rPr>
              <w:t>4</w:t>
            </w:r>
          </w:p>
        </w:tc>
        <w:tc>
          <w:tcPr>
            <w:tcW w:type="dxa" w:w="3515"/>
            <w:shd w:val="clear" w:color="auto" w:fill="EEF2F8"/>
          </w:tcPr>
          <w:p>
            <w:pPr>
              <w:spacing w:after="20"/>
            </w:pPr>
            <w:r/>
            <w:r>
              <w:rPr>
                <w:sz w:val="17"/>
              </w:rPr>
              <w:t>appointment dates and deadlines</w:t>
            </w:r>
          </w:p>
        </w:tc>
        <w:tc>
          <w:tcPr>
            <w:tcW w:type="dxa" w:w="3969"/>
            <w:shd w:val="clear" w:color="auto" w:fill="EEF2F8"/>
          </w:tcPr>
          <w:p>
            <w:pPr>
              <w:spacing w:after="20"/>
            </w:pPr>
            <w:r/>
            <w:r>
              <w:rPr>
                <w:sz w:val="17"/>
              </w:rPr>
              <w:t>a date the 14-day rule can be evaluated against</w:t>
            </w:r>
          </w:p>
        </w:tc>
      </w:tr>
      <w:tr>
        <w:trPr>
          <w:cantSplit w:val="true"/>
        </w:trPr>
        <w:tc>
          <w:tcPr>
            <w:tcW w:type="dxa" w:w="1361"/>
          </w:tcPr>
          <w:p>
            <w:pPr>
              <w:spacing w:after="20"/>
            </w:pPr>
            <w:r/>
            <w:r>
              <w:rPr>
                <w:sz w:val="17"/>
              </w:rPr>
              <w:t>textarea</w:t>
            </w:r>
          </w:p>
        </w:tc>
        <w:tc>
          <w:tcPr>
            <w:tcW w:type="dxa" w:w="794"/>
          </w:tcPr>
          <w:p>
            <w:pPr>
              <w:spacing w:after="20"/>
              <w:jc w:val="right"/>
            </w:pPr>
            <w:r/>
            <w:r>
              <w:rPr>
                <w:sz w:val="17"/>
              </w:rPr>
              <w:t>3</w:t>
            </w:r>
          </w:p>
        </w:tc>
        <w:tc>
          <w:tcPr>
            <w:tcW w:type="dxa" w:w="3515"/>
          </w:tcPr>
          <w:p>
            <w:pPr>
              <w:spacing w:after="20"/>
            </w:pPr>
            <w:r/>
            <w:r>
              <w:rPr>
                <w:sz w:val="17"/>
              </w:rPr>
              <w:t>rationale, clinical notes, explanation</w:t>
            </w:r>
          </w:p>
        </w:tc>
        <w:tc>
          <w:tcPr>
            <w:tcW w:type="dxa" w:w="3969"/>
          </w:tcPr>
          <w:p>
            <w:pPr>
              <w:spacing w:after="20"/>
            </w:pPr>
            <w:r/>
            <w:r>
              <w:rPr>
                <w:sz w:val="17"/>
              </w:rPr>
              <w:t>the reason for a decision has to be recordable in the clinician's own words</w:t>
            </w:r>
          </w:p>
        </w:tc>
      </w:tr>
    </w:tbl>
    <w:p>
      <w:pPr>
        <w:spacing w:after="40"/>
      </w:pPr>
    </w:p>
    <w:p>
      <w:pPr>
        <w:keepNext/>
        <w:spacing w:before="40" w:after="40"/>
      </w:pPr>
      <w:r>
        <w:rPr>
          <w:b/>
          <w:color w:val="595959"/>
          <w:sz w:val="17"/>
        </w:rPr>
        <w:t>Table 11. Controls in use. An earlier increment used only text and textfield; the controlled vocabularies were added because gateways were comparing free text.</w:t>
      </w:r>
    </w:p>
    <w:p>
      <w:pPr>
        <w:pStyle w:val="Heading2"/>
      </w:pPr>
      <w:r>
        <w:t>3.4  Validation</w:t>
      </w:r>
    </w:p>
    <w:p>
      <w:r>
        <w:rPr>
          <w:b w:val="0"/>
          <w:i w:val="0"/>
        </w:rPr>
        <w:t>Validation is declared in the form itself, so it is enforced by the Tasklist before the task can be completed, and it is visible in the form file rather than hidden in the process.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381"/>
        <w:gridCol w:w="907"/>
        <w:gridCol w:w="6350"/>
      </w:tblGrid>
      <w:tr>
        <w:trPr>
          <w:tblHeader w:val="true"/>
        </w:trPr>
        <w:tc>
          <w:tcPr>
            <w:tcW w:type="dxa" w:w="2381"/>
            <w:shd w:val="clear" w:color="auto" w:fill="1F3864"/>
          </w:tcPr>
          <w:p>
            <w:pPr>
              <w:spacing w:after="20"/>
            </w:pPr>
            <w:r/>
            <w:r>
              <w:rPr>
                <w:b/>
                <w:color w:val="FFFFFF"/>
                <w:sz w:val="17"/>
              </w:rPr>
              <w:t>Validation</w:t>
            </w:r>
          </w:p>
        </w:tc>
        <w:tc>
          <w:tcPr>
            <w:tcW w:type="dxa" w:w="907"/>
            <w:shd w:val="clear" w:color="auto" w:fill="1F3864"/>
          </w:tcPr>
          <w:p>
            <w:pPr>
              <w:spacing w:after="20"/>
            </w:pPr>
            <w:r/>
            <w:r>
              <w:rPr>
                <w:b/>
                <w:color w:val="FFFFFF"/>
                <w:sz w:val="17"/>
              </w:rPr>
              <w:t>Count</w:t>
            </w:r>
          </w:p>
        </w:tc>
        <w:tc>
          <w:tcPr>
            <w:tcW w:type="dxa" w:w="6350"/>
            <w:shd w:val="clear" w:color="auto" w:fill="1F3864"/>
          </w:tcPr>
          <w:p>
            <w:pPr>
              <w:spacing w:after="20"/>
            </w:pPr>
            <w:r/>
            <w:r>
              <w:rPr>
                <w:b/>
                <w:color w:val="FFFFFF"/>
                <w:sz w:val="17"/>
              </w:rPr>
              <w:t>Where it matters</w:t>
            </w:r>
          </w:p>
        </w:tc>
      </w:tr>
      <w:tr>
        <w:trPr>
          <w:cantSplit w:val="true"/>
        </w:trPr>
        <w:tc>
          <w:tcPr>
            <w:tcW w:type="dxa" w:w="2381"/>
          </w:tcPr>
          <w:p>
            <w:pPr>
              <w:spacing w:after="20"/>
            </w:pPr>
            <w:r/>
            <w:r>
              <w:rPr>
                <w:sz w:val="17"/>
              </w:rPr>
              <w:t>required</w:t>
            </w:r>
          </w:p>
        </w:tc>
        <w:tc>
          <w:tcPr>
            <w:tcW w:type="dxa" w:w="907"/>
          </w:tcPr>
          <w:p>
            <w:pPr>
              <w:spacing w:after="20"/>
              <w:jc w:val="right"/>
            </w:pPr>
            <w:r/>
            <w:r>
              <w:rPr>
                <w:sz w:val="17"/>
              </w:rPr>
              <w:t>157</w:t>
            </w:r>
          </w:p>
        </w:tc>
        <w:tc>
          <w:tcPr>
            <w:tcW w:type="dxa" w:w="6350"/>
          </w:tcPr>
          <w:p>
            <w:pPr>
              <w:spacing w:after="20"/>
            </w:pPr>
            <w:r/>
            <w:r>
              <w:rPr>
                <w:sz w:val="17"/>
              </w:rPr>
              <w:t>every variable a gateway reads, and every field the case study says must be recorded</w:t>
            </w:r>
          </w:p>
        </w:tc>
      </w:tr>
      <w:tr>
        <w:trPr>
          <w:cantSplit w:val="true"/>
        </w:trPr>
        <w:tc>
          <w:tcPr>
            <w:tcW w:type="dxa" w:w="2381"/>
            <w:shd w:val="clear" w:color="auto" w:fill="EEF2F8"/>
          </w:tcPr>
          <w:p>
            <w:pPr>
              <w:spacing w:after="20"/>
            </w:pPr>
            <w:r/>
            <w:r>
              <w:rPr>
                <w:sz w:val="17"/>
              </w:rPr>
              <w:t>pattern (regular expression)</w:t>
            </w:r>
          </w:p>
        </w:tc>
        <w:tc>
          <w:tcPr>
            <w:tcW w:type="dxa" w:w="907"/>
            <w:shd w:val="clear" w:color="auto" w:fill="EEF2F8"/>
          </w:tcPr>
          <w:p>
            <w:pPr>
              <w:spacing w:after="20"/>
              <w:jc w:val="right"/>
            </w:pPr>
            <w:r/>
            <w:r>
              <w:rPr>
                <w:sz w:val="17"/>
              </w:rPr>
              <w:t>70</w:t>
            </w:r>
          </w:p>
        </w:tc>
        <w:tc>
          <w:tcPr>
            <w:tcW w:type="dxa" w:w="6350"/>
            <w:shd w:val="clear" w:color="auto" w:fill="EEF2F8"/>
          </w:tcPr>
          <w:p>
            <w:pPr>
              <w:spacing w:after="20"/>
            </w:pPr>
            <w:r/>
            <w:r>
              <w:rPr>
                <w:sz w:val="17"/>
              </w:rPr>
              <w:t>identifiers such as the patient identifier and reference numbers</w:t>
            </w:r>
          </w:p>
        </w:tc>
      </w:tr>
      <w:tr>
        <w:trPr>
          <w:cantSplit w:val="true"/>
        </w:trPr>
        <w:tc>
          <w:tcPr>
            <w:tcW w:type="dxa" w:w="2381"/>
          </w:tcPr>
          <w:p>
            <w:pPr>
              <w:spacing w:after="20"/>
            </w:pPr>
            <w:r/>
            <w:r>
              <w:rPr>
                <w:sz w:val="17"/>
              </w:rPr>
              <w:t>min/max length or value</w:t>
            </w:r>
          </w:p>
        </w:tc>
        <w:tc>
          <w:tcPr>
            <w:tcW w:type="dxa" w:w="907"/>
          </w:tcPr>
          <w:p>
            <w:pPr>
              <w:spacing w:after="20"/>
              <w:jc w:val="right"/>
            </w:pPr>
            <w:r/>
            <w:r>
              <w:rPr>
                <w:sz w:val="17"/>
              </w:rPr>
              <w:t>35</w:t>
            </w:r>
          </w:p>
        </w:tc>
        <w:tc>
          <w:tcPr>
            <w:tcW w:type="dxa" w:w="6350"/>
          </w:tcPr>
          <w:p>
            <w:pPr>
              <w:spacing w:after="20"/>
            </w:pPr>
            <w:r/>
            <w:r>
              <w:rPr>
                <w:sz w:val="17"/>
              </w:rPr>
              <w:t>amounts that must be positive, free text that must not be empty</w:t>
            </w:r>
          </w:p>
        </w:tc>
      </w:tr>
      <w:tr>
        <w:trPr>
          <w:cantSplit w:val="true"/>
        </w:trPr>
        <w:tc>
          <w:tcPr>
            <w:tcW w:type="dxa" w:w="2381"/>
            <w:shd w:val="clear" w:color="auto" w:fill="EEF2F8"/>
          </w:tcPr>
          <w:p>
            <w:pPr>
              <w:spacing w:after="20"/>
            </w:pPr>
            <w:r/>
            <w:r>
              <w:rPr>
                <w:sz w:val="17"/>
              </w:rPr>
              <w:t>fixed value list</w:t>
            </w:r>
          </w:p>
        </w:tc>
        <w:tc>
          <w:tcPr>
            <w:tcW w:type="dxa" w:w="907"/>
            <w:shd w:val="clear" w:color="auto" w:fill="EEF2F8"/>
          </w:tcPr>
          <w:p>
            <w:pPr>
              <w:spacing w:after="20"/>
              <w:jc w:val="right"/>
            </w:pPr>
            <w:r/>
            <w:r>
              <w:rPr>
                <w:sz w:val="17"/>
              </w:rPr>
              <w:t>17</w:t>
            </w:r>
          </w:p>
        </w:tc>
        <w:tc>
          <w:tcPr>
            <w:tcW w:type="dxa" w:w="6350"/>
            <w:shd w:val="clear" w:color="auto" w:fill="EEF2F8"/>
          </w:tcPr>
          <w:p>
            <w:pPr>
              <w:spacing w:after="20"/>
            </w:pPr>
            <w:r/>
            <w:r>
              <w:rPr>
                <w:sz w:val="17"/>
              </w:rPr>
              <w:t>decision, urgency, funding route, payment outcome — the values the gateways test</w:t>
            </w:r>
          </w:p>
        </w:tc>
      </w:tr>
    </w:tbl>
    <w:p>
      <w:pPr>
        <w:spacing w:after="40"/>
      </w:pPr>
    </w:p>
    <w:p>
      <w:pPr>
        <w:keepNext/>
        <w:spacing w:before="40" w:after="40"/>
      </w:pPr>
      <w:r>
        <w:rPr>
          <w:b/>
          <w:color w:val="595959"/>
          <w:sz w:val="17"/>
        </w:rPr>
        <w:t>Table 12. Declared validation. Counts read from the .form files.</w:t>
      </w:r>
    </w:p>
    <w:p>
      <w:pPr>
        <w:pStyle w:val="Heading2"/>
      </w:pPr>
      <w:r>
        <w:t>3.5  Variables exchanged with the process</w:t>
      </w:r>
    </w:p>
    <w:p>
      <w:r>
        <w:rPr>
          <w:b w:val="0"/>
          <w:i w:val="0"/>
        </w:rPr>
        <w:t>The form key is the process variable. The table traces gating variables from the control that captures them to the gateway that reads them — the chain that has to hold or the model takes the wrong branch.</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268"/>
        <w:gridCol w:w="3742"/>
        <w:gridCol w:w="3628"/>
      </w:tblGrid>
      <w:tr>
        <w:trPr>
          <w:tblHeader w:val="true"/>
        </w:trPr>
        <w:tc>
          <w:tcPr>
            <w:tcW w:type="dxa" w:w="2268"/>
            <w:shd w:val="clear" w:color="auto" w:fill="1F3864"/>
          </w:tcPr>
          <w:p>
            <w:pPr>
              <w:spacing w:after="20"/>
            </w:pPr>
            <w:r/>
            <w:r>
              <w:rPr>
                <w:b/>
                <w:color w:val="FFFFFF"/>
                <w:sz w:val="17"/>
              </w:rPr>
              <w:t>Variable</w:t>
            </w:r>
          </w:p>
        </w:tc>
        <w:tc>
          <w:tcPr>
            <w:tcW w:type="dxa" w:w="3742"/>
            <w:shd w:val="clear" w:color="auto" w:fill="1F3864"/>
          </w:tcPr>
          <w:p>
            <w:pPr>
              <w:spacing w:after="20"/>
            </w:pPr>
            <w:r/>
            <w:r>
              <w:rPr>
                <w:b/>
                <w:color w:val="FFFFFF"/>
                <w:sz w:val="17"/>
              </w:rPr>
              <w:t>Captured by</w:t>
            </w:r>
          </w:p>
        </w:tc>
        <w:tc>
          <w:tcPr>
            <w:tcW w:type="dxa" w:w="3628"/>
            <w:shd w:val="clear" w:color="auto" w:fill="1F3864"/>
          </w:tcPr>
          <w:p>
            <w:pPr>
              <w:spacing w:after="20"/>
            </w:pPr>
            <w:r/>
            <w:r>
              <w:rPr>
                <w:b/>
                <w:color w:val="FFFFFF"/>
                <w:sz w:val="17"/>
              </w:rPr>
              <w:t>Read by</w:t>
            </w:r>
          </w:p>
        </w:tc>
      </w:tr>
      <w:tr>
        <w:trPr>
          <w:cantSplit w:val="true"/>
        </w:trPr>
        <w:tc>
          <w:tcPr>
            <w:tcW w:type="dxa" w:w="2268"/>
          </w:tcPr>
          <w:p>
            <w:pPr>
              <w:spacing w:after="20"/>
            </w:pPr>
            <w:r/>
            <w:r>
              <w:rPr>
                <w:sz w:val="17"/>
              </w:rPr>
              <w:t>suitableSlotFound</w:t>
            </w:r>
          </w:p>
        </w:tc>
        <w:tc>
          <w:tcPr>
            <w:tcW w:type="dxa" w:w="3742"/>
          </w:tcPr>
          <w:p>
            <w:pPr>
              <w:spacing w:after="20"/>
            </w:pPr>
            <w:r/>
            <w:r>
              <w:rPr>
                <w:sz w:val="17"/>
              </w:rPr>
              <w:t>select in form-select-book-appointment (slot query result)</w:t>
            </w:r>
          </w:p>
        </w:tc>
        <w:tc>
          <w:tcPr>
            <w:tcW w:type="dxa" w:w="3628"/>
          </w:tcPr>
          <w:p>
            <w:pPr>
              <w:spacing w:after="20"/>
            </w:pPr>
            <w:r/>
            <w:r>
              <w:rPr>
                <w:sz w:val="17"/>
              </w:rPr>
              <w:t>G_SlotsAvailable in PR_Operational_Merged</w:t>
            </w:r>
          </w:p>
        </w:tc>
      </w:tr>
      <w:tr>
        <w:trPr>
          <w:cantSplit w:val="true"/>
        </w:trPr>
        <w:tc>
          <w:tcPr>
            <w:tcW w:type="dxa" w:w="2268"/>
            <w:shd w:val="clear" w:color="auto" w:fill="EEF2F8"/>
          </w:tcPr>
          <w:p>
            <w:pPr>
              <w:spacing w:after="20"/>
            </w:pPr>
            <w:r/>
            <w:r>
              <w:rPr>
                <w:sz w:val="17"/>
              </w:rPr>
              <w:t>treatmentCapacityConfirmed</w:t>
            </w:r>
          </w:p>
        </w:tc>
        <w:tc>
          <w:tcPr>
            <w:tcW w:type="dxa" w:w="3742"/>
            <w:shd w:val="clear" w:color="auto" w:fill="EEF2F8"/>
          </w:tcPr>
          <w:p>
            <w:pPr>
              <w:spacing w:after="20"/>
            </w:pPr>
            <w:r/>
            <w:r>
              <w:rPr>
                <w:sz w:val="17"/>
              </w:rPr>
              <w:t>select in form-resolve-capacity-constraint</w:t>
            </w:r>
          </w:p>
        </w:tc>
        <w:tc>
          <w:tcPr>
            <w:tcW w:type="dxa" w:w="3628"/>
            <w:shd w:val="clear" w:color="auto" w:fill="EEF2F8"/>
          </w:tcPr>
          <w:p>
            <w:pPr>
              <w:spacing w:after="20"/>
            </w:pPr>
            <w:r/>
            <w:r>
              <w:rPr>
                <w:sz w:val="17"/>
              </w:rPr>
              <w:t>G_CapacityConfirmed</w:t>
            </w:r>
          </w:p>
        </w:tc>
      </w:tr>
      <w:tr>
        <w:trPr>
          <w:cantSplit w:val="true"/>
        </w:trPr>
        <w:tc>
          <w:tcPr>
            <w:tcW w:type="dxa" w:w="2268"/>
          </w:tcPr>
          <w:p>
            <w:pPr>
              <w:spacing w:after="20"/>
            </w:pPr>
            <w:r/>
            <w:r>
              <w:rPr>
                <w:sz w:val="17"/>
              </w:rPr>
              <w:t>paymentStatus</w:t>
            </w:r>
          </w:p>
        </w:tc>
        <w:tc>
          <w:tcPr>
            <w:tcW w:type="dxa" w:w="3742"/>
          </w:tcPr>
          <w:p>
            <w:pPr>
              <w:spacing w:after="20"/>
            </w:pPr>
            <w:r/>
            <w:r>
              <w:rPr>
                <w:sz w:val="17"/>
              </w:rPr>
              <w:t>select in form-record-payment and form-handle-payment-failure</w:t>
            </w:r>
          </w:p>
        </w:tc>
        <w:tc>
          <w:tcPr>
            <w:tcW w:type="dxa" w:w="3628"/>
          </w:tcPr>
          <w:p>
            <w:pPr>
              <w:spacing w:after="20"/>
            </w:pPr>
            <w:r/>
            <w:r>
              <w:rPr>
                <w:sz w:val="17"/>
              </w:rPr>
              <w:t>G_PaymentOutcome and the urgent-treatment branch</w:t>
            </w:r>
          </w:p>
        </w:tc>
      </w:tr>
      <w:tr>
        <w:trPr>
          <w:cantSplit w:val="true"/>
        </w:trPr>
        <w:tc>
          <w:tcPr>
            <w:tcW w:type="dxa" w:w="2268"/>
            <w:shd w:val="clear" w:color="auto" w:fill="EEF2F8"/>
          </w:tcPr>
          <w:p>
            <w:pPr>
              <w:spacing w:after="20"/>
            </w:pPr>
            <w:r/>
            <w:r>
              <w:rPr>
                <w:sz w:val="17"/>
              </w:rPr>
              <w:t>referralDecision</w:t>
            </w:r>
          </w:p>
        </w:tc>
        <w:tc>
          <w:tcPr>
            <w:tcW w:type="dxa" w:w="3742"/>
            <w:shd w:val="clear" w:color="auto" w:fill="EEF2F8"/>
          </w:tcPr>
          <w:p>
            <w:pPr>
              <w:spacing w:after="20"/>
            </w:pPr>
            <w:r/>
            <w:r>
              <w:rPr>
                <w:sz w:val="17"/>
              </w:rPr>
              <w:t>select in form-record-referral-decision</w:t>
            </w:r>
          </w:p>
        </w:tc>
        <w:tc>
          <w:tcPr>
            <w:tcW w:type="dxa" w:w="3628"/>
            <w:shd w:val="clear" w:color="auto" w:fill="EEF2F8"/>
          </w:tcPr>
          <w:p>
            <w:pPr>
              <w:spacing w:after="20"/>
            </w:pPr>
            <w:r/>
            <w:r>
              <w:rPr>
                <w:sz w:val="17"/>
              </w:rPr>
              <w:t>G_ReferralDecision (accepted, rejected, information required, redirected)</w:t>
            </w:r>
          </w:p>
        </w:tc>
      </w:tr>
      <w:tr>
        <w:trPr>
          <w:cantSplit w:val="true"/>
        </w:trPr>
        <w:tc>
          <w:tcPr>
            <w:tcW w:type="dxa" w:w="2268"/>
          </w:tcPr>
          <w:p>
            <w:pPr>
              <w:spacing w:after="20"/>
            </w:pPr>
            <w:r/>
            <w:r>
              <w:rPr>
                <w:sz w:val="17"/>
              </w:rPr>
              <w:t>consentGiven</w:t>
            </w:r>
          </w:p>
        </w:tc>
        <w:tc>
          <w:tcPr>
            <w:tcW w:type="dxa" w:w="3742"/>
          </w:tcPr>
          <w:p>
            <w:pPr>
              <w:spacing w:after="20"/>
            </w:pPr>
            <w:r/>
            <w:r>
              <w:rPr>
                <w:sz w:val="17"/>
              </w:rPr>
              <w:t>checkbox in form-record-patient-consent</w:t>
            </w:r>
          </w:p>
        </w:tc>
        <w:tc>
          <w:tcPr>
            <w:tcW w:type="dxa" w:w="3628"/>
          </w:tcPr>
          <w:p>
            <w:pPr>
              <w:spacing w:after="20"/>
            </w:pPr>
            <w:r/>
            <w:r>
              <w:rPr>
                <w:sz w:val="17"/>
              </w:rPr>
              <w:t>G_PatientConsent</w:t>
            </w:r>
          </w:p>
        </w:tc>
      </w:tr>
      <w:tr>
        <w:trPr>
          <w:cantSplit w:val="true"/>
        </w:trPr>
        <w:tc>
          <w:tcPr>
            <w:tcW w:type="dxa" w:w="2268"/>
            <w:shd w:val="clear" w:color="auto" w:fill="EEF2F8"/>
          </w:tcPr>
          <w:p>
            <w:pPr>
              <w:spacing w:after="20"/>
            </w:pPr>
            <w:r/>
            <w:r>
              <w:rPr>
                <w:sz w:val="17"/>
              </w:rPr>
              <w:t>appointmentWithin14Days</w:t>
            </w:r>
          </w:p>
        </w:tc>
        <w:tc>
          <w:tcPr>
            <w:tcW w:type="dxa" w:w="3742"/>
            <w:shd w:val="clear" w:color="auto" w:fill="EEF2F8"/>
          </w:tcPr>
          <w:p>
            <w:pPr>
              <w:spacing w:after="20"/>
            </w:pPr>
            <w:r/>
            <w:r>
              <w:rPr>
                <w:sz w:val="17"/>
              </w:rPr>
              <w:t>checkbox in form-record-pending-booking</w:t>
            </w:r>
          </w:p>
        </w:tc>
        <w:tc>
          <w:tcPr>
            <w:tcW w:type="dxa" w:w="3628"/>
            <w:shd w:val="clear" w:color="auto" w:fill="EEF2F8"/>
          </w:tcPr>
          <w:p>
            <w:pPr>
              <w:spacing w:after="20"/>
            </w:pPr>
            <w:r/>
            <w:r>
              <w:rPr>
                <w:sz w:val="17"/>
              </w:rPr>
              <w:t>the 14-day telephone rule</w:t>
            </w:r>
          </w:p>
        </w:tc>
      </w:tr>
    </w:tbl>
    <w:p>
      <w:pPr>
        <w:spacing w:after="40"/>
      </w:pPr>
    </w:p>
    <w:p>
      <w:pPr>
        <w:keepNext/>
        <w:spacing w:before="40" w:after="40"/>
      </w:pPr>
      <w:r>
        <w:rPr>
          <w:b/>
          <w:color w:val="595959"/>
          <w:sz w:val="17"/>
        </w:rPr>
        <w:t>Table 13. Three of these six chains are re-checked by validate-contract.py (step 9 of verify-all) and by WorkerContractTest.</w:t>
      </w:r>
    </w:p>
    <w:p>
      <w:pPr>
        <w:pStyle w:val="Heading2"/>
      </w:pPr>
      <w:r>
        <w:t>3.6  The intended user, accessibility and consistency</w:t>
      </w:r>
    </w:p>
    <w:p>
      <w:r>
        <w:rPr>
          <w:b w:val="0"/>
          <w:i w:val="0"/>
        </w:rPr>
        <w:t>The users of these forms are not the public. They are nine hospital teams, each with a narrow job: a medical secretary checking documentation, a consultant recording a clinical decision, a finance officer recording a payment, a call handler classifying an enquiry. The design consequence is that a form is scoped to one team and one decision, and carries the vocabulary that team already uses.</w:t>
      </w:r>
    </w:p>
    <w:p>
      <w:r>
        <w:rPr>
          <w:b w:val="0"/>
          <w:i w:val="0"/>
        </w:rPr>
        <w:t>The table states what the current set does and does not evidence against the accessibility expectations of LO1 (a design that recognises the user and is Disability Discrimination Act compliant).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3061"/>
        <w:gridCol w:w="1474"/>
        <w:gridCol w:w="5103"/>
      </w:tblGrid>
      <w:tr>
        <w:trPr>
          <w:tblHeader w:val="true"/>
        </w:trPr>
        <w:tc>
          <w:tcPr>
            <w:tcW w:type="dxa" w:w="3061"/>
            <w:shd w:val="clear" w:color="auto" w:fill="1F3864"/>
          </w:tcPr>
          <w:p>
            <w:pPr>
              <w:spacing w:after="20"/>
            </w:pPr>
            <w:r/>
            <w:r>
              <w:rPr>
                <w:b/>
                <w:color w:val="FFFFFF"/>
                <w:sz w:val="17"/>
              </w:rPr>
              <w:t>Expectation</w:t>
            </w:r>
          </w:p>
        </w:tc>
        <w:tc>
          <w:tcPr>
            <w:tcW w:type="dxa" w:w="1474"/>
            <w:shd w:val="clear" w:color="auto" w:fill="1F3864"/>
          </w:tcPr>
          <w:p>
            <w:pPr>
              <w:spacing w:after="20"/>
            </w:pPr>
            <w:r/>
            <w:r>
              <w:rPr>
                <w:b/>
                <w:color w:val="FFFFFF"/>
                <w:sz w:val="17"/>
              </w:rPr>
              <w:t>Status</w:t>
            </w:r>
          </w:p>
        </w:tc>
        <w:tc>
          <w:tcPr>
            <w:tcW w:type="dxa" w:w="5102"/>
            <w:shd w:val="clear" w:color="auto" w:fill="1F3864"/>
          </w:tcPr>
          <w:p>
            <w:pPr>
              <w:spacing w:after="20"/>
            </w:pPr>
            <w:r/>
            <w:r>
              <w:rPr>
                <w:b/>
                <w:color w:val="FFFFFF"/>
                <w:sz w:val="17"/>
              </w:rPr>
              <w:t>Evidence or gap</w:t>
            </w:r>
          </w:p>
        </w:tc>
      </w:tr>
      <w:tr>
        <w:trPr>
          <w:cantSplit w:val="true"/>
        </w:trPr>
        <w:tc>
          <w:tcPr>
            <w:tcW w:type="dxa" w:w="3061"/>
          </w:tcPr>
          <w:p>
            <w:pPr>
              <w:spacing w:after="20"/>
            </w:pPr>
            <w:r/>
            <w:r>
              <w:rPr>
                <w:sz w:val="17"/>
              </w:rPr>
              <w:t>Every input has a visible label</w:t>
            </w:r>
          </w:p>
        </w:tc>
        <w:tc>
          <w:tcPr>
            <w:tcW w:type="dxa" w:w="1474"/>
          </w:tcPr>
          <w:p>
            <w:pPr>
              <w:spacing w:after="20"/>
            </w:pPr>
            <w:r/>
            <w:r>
              <w:rPr>
                <w:sz w:val="17"/>
              </w:rPr>
              <w:t>Evidenced</w:t>
            </w:r>
          </w:p>
        </w:tc>
        <w:tc>
          <w:tcPr>
            <w:tcW w:type="dxa" w:w="5102"/>
          </w:tcPr>
          <w:p>
            <w:pPr>
              <w:spacing w:after="20"/>
            </w:pPr>
            <w:r/>
            <w:r>
              <w:rPr>
                <w:sz w:val="17"/>
              </w:rPr>
              <w:t>all 168 input components carry a label; checked across the 69 form files</w:t>
            </w:r>
          </w:p>
        </w:tc>
      </w:tr>
      <w:tr>
        <w:trPr>
          <w:cantSplit w:val="true"/>
        </w:trPr>
        <w:tc>
          <w:tcPr>
            <w:tcW w:type="dxa" w:w="3061"/>
            <w:shd w:val="clear" w:color="auto" w:fill="EEF2F8"/>
          </w:tcPr>
          <w:p>
            <w:pPr>
              <w:spacing w:after="20"/>
            </w:pPr>
            <w:r/>
            <w:r>
              <w:rPr>
                <w:sz w:val="17"/>
              </w:rPr>
              <w:t>Layout is a single logical reading and tab order</w:t>
            </w:r>
          </w:p>
        </w:tc>
        <w:tc>
          <w:tcPr>
            <w:tcW w:type="dxa" w:w="1474"/>
            <w:shd w:val="clear" w:color="auto" w:fill="EEF2F8"/>
          </w:tcPr>
          <w:p>
            <w:pPr>
              <w:spacing w:after="20"/>
            </w:pPr>
            <w:r/>
            <w:r>
              <w:rPr>
                <w:sz w:val="17"/>
              </w:rPr>
              <w:t>Evidenced</w:t>
            </w:r>
          </w:p>
        </w:tc>
        <w:tc>
          <w:tcPr>
            <w:tcW w:type="dxa" w:w="5102"/>
            <w:shd w:val="clear" w:color="auto" w:fill="EEF2F8"/>
          </w:tcPr>
          <w:p>
            <w:pPr>
              <w:spacing w:after="20"/>
            </w:pPr>
            <w:r/>
            <w:r>
              <w:rPr>
                <w:sz w:val="17"/>
              </w:rPr>
              <w:t>components are declared in the order the task is performed; no two-column layout</w:t>
            </w:r>
          </w:p>
        </w:tc>
      </w:tr>
      <w:tr>
        <w:trPr>
          <w:cantSplit w:val="true"/>
        </w:trPr>
        <w:tc>
          <w:tcPr>
            <w:tcW w:type="dxa" w:w="3061"/>
          </w:tcPr>
          <w:p>
            <w:pPr>
              <w:spacing w:after="20"/>
            </w:pPr>
            <w:r/>
            <w:r>
              <w:rPr>
                <w:sz w:val="17"/>
              </w:rPr>
              <w:t>Controlled values rather than free text where the value is fixed</w:t>
            </w:r>
          </w:p>
        </w:tc>
        <w:tc>
          <w:tcPr>
            <w:tcW w:type="dxa" w:w="1474"/>
          </w:tcPr>
          <w:p>
            <w:pPr>
              <w:spacing w:after="20"/>
            </w:pPr>
            <w:r/>
            <w:r>
              <w:rPr>
                <w:sz w:val="17"/>
              </w:rPr>
              <w:t>Evidenced</w:t>
            </w:r>
          </w:p>
        </w:tc>
        <w:tc>
          <w:tcPr>
            <w:tcW w:type="dxa" w:w="5102"/>
          </w:tcPr>
          <w:p>
            <w:pPr>
              <w:spacing w:after="20"/>
            </w:pPr>
            <w:r/>
            <w:r>
              <w:rPr>
                <w:sz w:val="17"/>
              </w:rPr>
              <w:t>17 fixed-value selects; this is also what makes the gateways selectable</w:t>
            </w:r>
          </w:p>
        </w:tc>
      </w:tr>
      <w:tr>
        <w:trPr>
          <w:cantSplit w:val="true"/>
        </w:trPr>
        <w:tc>
          <w:tcPr>
            <w:tcW w:type="dxa" w:w="3061"/>
            <w:shd w:val="clear" w:color="auto" w:fill="EEF2F8"/>
          </w:tcPr>
          <w:p>
            <w:pPr>
              <w:spacing w:after="20"/>
            </w:pPr>
            <w:r/>
            <w:r>
              <w:rPr>
                <w:sz w:val="17"/>
              </w:rPr>
              <w:t>Required fields are marked and enforced</w:t>
            </w:r>
          </w:p>
        </w:tc>
        <w:tc>
          <w:tcPr>
            <w:tcW w:type="dxa" w:w="1474"/>
            <w:shd w:val="clear" w:color="auto" w:fill="EEF2F8"/>
          </w:tcPr>
          <w:p>
            <w:pPr>
              <w:spacing w:after="20"/>
            </w:pPr>
            <w:r/>
            <w:r>
              <w:rPr>
                <w:sz w:val="17"/>
              </w:rPr>
              <w:t>Evidenced</w:t>
            </w:r>
          </w:p>
        </w:tc>
        <w:tc>
          <w:tcPr>
            <w:tcW w:type="dxa" w:w="5102"/>
            <w:shd w:val="clear" w:color="auto" w:fill="EEF2F8"/>
          </w:tcPr>
          <w:p>
            <w:pPr>
              <w:spacing w:after="20"/>
            </w:pPr>
            <w:r/>
            <w:r>
              <w:rPr>
                <w:sz w:val="17"/>
              </w:rPr>
              <w:t>157 required inputs; enforcement is by the Tasklist, not by the process</w:t>
            </w:r>
          </w:p>
        </w:tc>
      </w:tr>
      <w:tr>
        <w:trPr>
          <w:cantSplit w:val="true"/>
        </w:trPr>
        <w:tc>
          <w:tcPr>
            <w:tcW w:type="dxa" w:w="3061"/>
          </w:tcPr>
          <w:p>
            <w:pPr>
              <w:spacing w:after="20"/>
            </w:pPr>
            <w:r/>
            <w:r>
              <w:rPr>
                <w:sz w:val="17"/>
              </w:rPr>
              <w:t>Error messages identify the field</w:t>
            </w:r>
          </w:p>
        </w:tc>
        <w:tc>
          <w:tcPr>
            <w:tcW w:type="dxa" w:w="1474"/>
          </w:tcPr>
          <w:p>
            <w:pPr>
              <w:spacing w:after="20"/>
            </w:pPr>
            <w:r/>
            <w:r>
              <w:rPr>
                <w:sz w:val="17"/>
              </w:rPr>
              <w:t>Partially evidenced</w:t>
            </w:r>
          </w:p>
        </w:tc>
        <w:tc>
          <w:tcPr>
            <w:tcW w:type="dxa" w:w="5102"/>
          </w:tcPr>
          <w:p>
            <w:pPr>
              <w:spacing w:after="20"/>
            </w:pPr>
            <w:r/>
            <w:r>
              <w:rPr>
                <w:sz w:val="17"/>
              </w:rPr>
              <w:t>the Tasklist reports the failed constraint against the field, but no custom error text is authored, so messages are the platform default rather than task-specific guidance</w:t>
            </w:r>
          </w:p>
        </w:tc>
      </w:tr>
      <w:tr>
        <w:trPr>
          <w:cantSplit w:val="true"/>
        </w:trPr>
        <w:tc>
          <w:tcPr>
            <w:tcW w:type="dxa" w:w="3061"/>
            <w:shd w:val="clear" w:color="auto" w:fill="EEF2F8"/>
          </w:tcPr>
          <w:p>
            <w:pPr>
              <w:spacing w:after="20"/>
            </w:pPr>
            <w:r/>
            <w:r>
              <w:rPr>
                <w:sz w:val="17"/>
              </w:rPr>
              <w:t>Help text or description on each field</w:t>
            </w:r>
          </w:p>
        </w:tc>
        <w:tc>
          <w:tcPr>
            <w:tcW w:type="dxa" w:w="1474"/>
            <w:shd w:val="clear" w:color="auto" w:fill="EEF2F8"/>
          </w:tcPr>
          <w:p>
            <w:pPr>
              <w:spacing w:after="20"/>
            </w:pPr>
            <w:r/>
            <w:r>
              <w:rPr>
                <w:sz w:val="17"/>
              </w:rPr>
              <w:t>Not evidenced</w:t>
            </w:r>
          </w:p>
        </w:tc>
        <w:tc>
          <w:tcPr>
            <w:tcW w:type="dxa" w:w="5102"/>
            <w:shd w:val="clear" w:color="auto" w:fill="EEF2F8"/>
          </w:tcPr>
          <w:p>
            <w:pPr>
              <w:spacing w:after="20"/>
            </w:pPr>
            <w:r/>
            <w:r>
              <w:rPr>
                <w:sz w:val="17"/>
              </w:rPr>
              <w:t>0 of 237 components carry a description; the task name and the BPMN documentation element carry the instruction instead</w:t>
            </w:r>
          </w:p>
        </w:tc>
      </w:tr>
      <w:tr>
        <w:trPr>
          <w:cantSplit w:val="true"/>
        </w:trPr>
        <w:tc>
          <w:tcPr>
            <w:tcW w:type="dxa" w:w="3061"/>
          </w:tcPr>
          <w:p>
            <w:pPr>
              <w:spacing w:after="20"/>
            </w:pPr>
            <w:r/>
            <w:r>
              <w:rPr>
                <w:sz w:val="17"/>
              </w:rPr>
              <w:t>Keyboard-only operation and screen-reader behaviour</w:t>
            </w:r>
          </w:p>
        </w:tc>
        <w:tc>
          <w:tcPr>
            <w:tcW w:type="dxa" w:w="1474"/>
          </w:tcPr>
          <w:p>
            <w:pPr>
              <w:spacing w:after="20"/>
            </w:pPr>
            <w:r/>
            <w:r>
              <w:rPr>
                <w:sz w:val="17"/>
              </w:rPr>
              <w:t>Not evidenced</w:t>
            </w:r>
          </w:p>
        </w:tc>
        <w:tc>
          <w:tcPr>
            <w:tcW w:type="dxa" w:w="5102"/>
          </w:tcPr>
          <w:p>
            <w:pPr>
              <w:spacing w:after="20"/>
            </w:pPr>
            <w:r/>
            <w:r>
              <w:rPr>
                <w:sz w:val="17"/>
              </w:rPr>
              <w:t>the forms use the Camunda form-js renderer, whose accessibility behaviour was not audited by this group; no assistive-technology test was run</w:t>
            </w:r>
          </w:p>
        </w:tc>
      </w:tr>
      <w:tr>
        <w:trPr>
          <w:cantSplit w:val="true"/>
        </w:trPr>
        <w:tc>
          <w:tcPr>
            <w:tcW w:type="dxa" w:w="3061"/>
            <w:shd w:val="clear" w:color="auto" w:fill="EEF2F8"/>
          </w:tcPr>
          <w:p>
            <w:pPr>
              <w:spacing w:after="20"/>
            </w:pPr>
            <w:r/>
            <w:r>
              <w:rPr>
                <w:sz w:val="17"/>
              </w:rPr>
              <w:t>Colour contrast and font size</w:t>
            </w:r>
          </w:p>
        </w:tc>
        <w:tc>
          <w:tcPr>
            <w:tcW w:type="dxa" w:w="1474"/>
            <w:shd w:val="clear" w:color="auto" w:fill="EEF2F8"/>
          </w:tcPr>
          <w:p>
            <w:pPr>
              <w:spacing w:after="20"/>
            </w:pPr>
            <w:r/>
            <w:r>
              <w:rPr>
                <w:sz w:val="17"/>
              </w:rPr>
              <w:t>Not evidenced</w:t>
            </w:r>
          </w:p>
        </w:tc>
        <w:tc>
          <w:tcPr>
            <w:tcW w:type="dxa" w:w="5102"/>
            <w:shd w:val="clear" w:color="auto" w:fill="EEF2F8"/>
          </w:tcPr>
          <w:p>
            <w:pPr>
              <w:spacing w:after="20"/>
            </w:pPr>
            <w:r/>
            <w:r>
              <w:rPr>
                <w:sz w:val="17"/>
              </w:rPr>
              <w:t>theme defaults were used; no contrast measurement was taken</w:t>
            </w:r>
          </w:p>
        </w:tc>
      </w:tr>
      <w:tr>
        <w:trPr>
          <w:cantSplit w:val="true"/>
        </w:trPr>
        <w:tc>
          <w:tcPr>
            <w:tcW w:type="dxa" w:w="3061"/>
          </w:tcPr>
          <w:p>
            <w:pPr>
              <w:spacing w:after="20"/>
            </w:pPr>
            <w:r/>
            <w:r>
              <w:rPr>
                <w:sz w:val="17"/>
              </w:rPr>
              <w:t>Alternative formats for patient-facing communication</w:t>
            </w:r>
          </w:p>
        </w:tc>
        <w:tc>
          <w:tcPr>
            <w:tcW w:type="dxa" w:w="1474"/>
          </w:tcPr>
          <w:p>
            <w:pPr>
              <w:spacing w:after="20"/>
            </w:pPr>
            <w:r/>
            <w:r>
              <w:rPr>
                <w:sz w:val="17"/>
              </w:rPr>
              <w:t>Not implemented</w:t>
            </w:r>
          </w:p>
        </w:tc>
        <w:tc>
          <w:tcPr>
            <w:tcW w:type="dxa" w:w="5102"/>
          </w:tcPr>
          <w:p>
            <w:pPr>
              <w:spacing w:after="20"/>
            </w:pPr>
            <w:r/>
            <w:r>
              <w:rPr>
                <w:sz w:val="17"/>
              </w:rPr>
              <w:t>the case study requires accessible formats and translation for patients; the initial release captures no such preference</w:t>
            </w:r>
          </w:p>
        </w:tc>
      </w:tr>
    </w:tbl>
    <w:p>
      <w:pPr>
        <w:spacing w:after="40"/>
      </w:pPr>
    </w:p>
    <w:p>
      <w:pPr>
        <w:keepNext/>
        <w:spacing w:before="40" w:after="40"/>
      </w:pPr>
      <w:r>
        <w:rPr>
          <w:b/>
          <w:color w:val="595959"/>
          <w:sz w:val="17"/>
        </w:rPr>
        <w:t>Table 14. Accessibility position, stated rather than assumed.</w:t>
      </w:r>
    </w:p>
    <w:p>
      <w:pPr>
        <w:pStyle w:val="Heading3"/>
      </w:pPr>
      <w:r>
        <w:t>Consistency across the workflow</w:t>
      </w:r>
    </w:p>
    <w:p>
      <w:r>
        <w:rPr>
          <w:b w:val="0"/>
          <w:i w:val="0"/>
        </w:rPr>
        <w:t>Consistency is the third thing the criterion asks for, and it is the one that can be measured rather than asserted. Two measurements across all 69 forms:</w:t>
      </w:r>
    </w:p>
    <w:p>
      <w:pPr>
        <w:pStyle w:val="ListBullet"/>
        <w:spacing w:after="40"/>
      </w:pPr>
      <w:r>
        <w:t>There are 56 distinct variable keys. No key is captured by more than one control type: referralDecision is a select everywhere it appears, patientId is a textfield everywhere, an amount is a number everywhere. A value that the process compares exactly is never collected as free text.</w:t>
      </w:r>
    </w:p>
    <w:p>
      <w:pPr>
        <w:pStyle w:val="ListBullet"/>
        <w:spacing w:after="40"/>
      </w:pPr>
      <w:r>
        <w:t>The 69 forms serve 99 user tasks, so 30 tasks reuse a form rather than defining a second one for the same decision. The most reused forms are bound to two tasks each, usually the operational task and its strategic counterpart, which is what keeps the two views talking about the same thing.</w:t>
      </w:r>
    </w:p>
    <w:p>
      <w:r>
        <w:rPr>
          <w:b w:val="0"/>
          <w:i w:val="0"/>
        </w:rPr>
        <w:t>Where consistency is deliberately broken is the label wording, and it is worth being explicit about it because a reader will notice. Seven keys carry a different label depending on where in the pathway they are read: the same field is "resource required" when the booking team asks and "resource confirmed" when it comes back, and an amount is "amount to refund" before the decision and "amount refunded" after it. That is a choice for the person filling the form at that moment, at the cost of a slightly harder read across forms. If we were doing it again we would keep the per-task wording and add the fixed variable name as help text, which is the one place those two requirements do not pull in the same direction.</w:t>
      </w:r>
    </w:p>
    <w:p>
      <w:pPr>
        <w:pStyle w:val="Heading2"/>
      </w:pPr>
      <w:r>
        <w:t>3.7  Testing</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3628"/>
        <w:gridCol w:w="2608"/>
        <w:gridCol w:w="3402"/>
      </w:tblGrid>
      <w:tr>
        <w:trPr>
          <w:tblHeader w:val="true"/>
        </w:trPr>
        <w:tc>
          <w:tcPr>
            <w:tcW w:type="dxa" w:w="3628"/>
            <w:shd w:val="clear" w:color="auto" w:fill="1F3864"/>
          </w:tcPr>
          <w:p>
            <w:pPr>
              <w:spacing w:after="20"/>
            </w:pPr>
            <w:r/>
            <w:r>
              <w:rPr>
                <w:b/>
                <w:color w:val="FFFFFF"/>
                <w:sz w:val="17"/>
              </w:rPr>
              <w:t>Check</w:t>
            </w:r>
          </w:p>
        </w:tc>
        <w:tc>
          <w:tcPr>
            <w:tcW w:type="dxa" w:w="2608"/>
            <w:shd w:val="clear" w:color="auto" w:fill="1F3864"/>
          </w:tcPr>
          <w:p>
            <w:pPr>
              <w:spacing w:after="20"/>
            </w:pPr>
            <w:r/>
            <w:r>
              <w:rPr>
                <w:b/>
                <w:color w:val="FFFFFF"/>
                <w:sz w:val="17"/>
              </w:rPr>
              <w:t>Script</w:t>
            </w:r>
          </w:p>
        </w:tc>
        <w:tc>
          <w:tcPr>
            <w:tcW w:type="dxa" w:w="3402"/>
            <w:shd w:val="clear" w:color="auto" w:fill="1F3864"/>
          </w:tcPr>
          <w:p>
            <w:pPr>
              <w:spacing w:after="20"/>
            </w:pPr>
            <w:r/>
            <w:r>
              <w:rPr>
                <w:b/>
                <w:color w:val="FFFFFF"/>
                <w:sz w:val="17"/>
              </w:rPr>
              <w:t>Result</w:t>
            </w:r>
          </w:p>
        </w:tc>
      </w:tr>
      <w:tr>
        <w:trPr>
          <w:cantSplit w:val="true"/>
        </w:trPr>
        <w:tc>
          <w:tcPr>
            <w:tcW w:type="dxa" w:w="3628"/>
          </w:tcPr>
          <w:p>
            <w:pPr>
              <w:spacing w:after="20"/>
            </w:pPr>
            <w:r/>
            <w:r>
              <w:rPr>
                <w:sz w:val="17"/>
              </w:rPr>
              <w:t>Every form parses and every component is well formed</w:t>
            </w:r>
          </w:p>
        </w:tc>
        <w:tc>
          <w:tcPr>
            <w:tcW w:type="dxa" w:w="2608"/>
          </w:tcPr>
          <w:p>
            <w:pPr>
              <w:spacing w:after="20"/>
            </w:pPr>
            <w:r/>
            <w:r>
              <w:rPr>
                <w:sz w:val="17"/>
              </w:rPr>
              <w:t>validate-forms.py</w:t>
            </w:r>
          </w:p>
        </w:tc>
        <w:tc>
          <w:tcPr>
            <w:tcW w:type="dxa" w:w="3402"/>
          </w:tcPr>
          <w:p>
            <w:pPr>
              <w:spacing w:after="20"/>
            </w:pPr>
            <w:r/>
            <w:r>
              <w:rPr>
                <w:sz w:val="17"/>
              </w:rPr>
              <w:t>all 69 forms valid</w:t>
            </w:r>
          </w:p>
        </w:tc>
      </w:tr>
      <w:tr>
        <w:trPr>
          <w:cantSplit w:val="true"/>
        </w:trPr>
        <w:tc>
          <w:tcPr>
            <w:tcW w:type="dxa" w:w="3628"/>
            <w:shd w:val="clear" w:color="auto" w:fill="EEF2F8"/>
          </w:tcPr>
          <w:p>
            <w:pPr>
              <w:spacing w:after="20"/>
            </w:pPr>
            <w:r/>
            <w:r>
              <w:rPr>
                <w:sz w:val="17"/>
              </w:rPr>
              <w:t>Every user task binding resolves to a form that exists</w:t>
            </w:r>
          </w:p>
        </w:tc>
        <w:tc>
          <w:tcPr>
            <w:tcW w:type="dxa" w:w="2608"/>
            <w:shd w:val="clear" w:color="auto" w:fill="EEF2F8"/>
          </w:tcPr>
          <w:p>
            <w:pPr>
              <w:spacing w:after="20"/>
            </w:pPr>
            <w:r/>
            <w:r>
              <w:rPr>
                <w:sz w:val="17"/>
              </w:rPr>
              <w:t>validate-bindings.mjs</w:t>
            </w:r>
          </w:p>
        </w:tc>
        <w:tc>
          <w:tcPr>
            <w:tcW w:type="dxa" w:w="3402"/>
            <w:shd w:val="clear" w:color="auto" w:fill="EEF2F8"/>
          </w:tcPr>
          <w:p>
            <w:pPr>
              <w:spacing w:after="20"/>
            </w:pPr>
            <w:r/>
            <w:r>
              <w:rPr>
                <w:sz w:val="17"/>
              </w:rPr>
              <w:t>99 of 99 bound, 0 missing</w:t>
            </w:r>
          </w:p>
        </w:tc>
      </w:tr>
      <w:tr>
        <w:trPr>
          <w:cantSplit w:val="true"/>
        </w:trPr>
        <w:tc>
          <w:tcPr>
            <w:tcW w:type="dxa" w:w="3628"/>
          </w:tcPr>
          <w:p>
            <w:pPr>
              <w:spacing w:after="20"/>
            </w:pPr>
            <w:r/>
            <w:r>
              <w:rPr>
                <w:sz w:val="17"/>
              </w:rPr>
              <w:t>No control that does not belong to the task</w:t>
            </w:r>
          </w:p>
        </w:tc>
        <w:tc>
          <w:tcPr>
            <w:tcW w:type="dxa" w:w="2608"/>
          </w:tcPr>
          <w:p>
            <w:pPr>
              <w:spacing w:after="20"/>
            </w:pPr>
            <w:r/>
            <w:r>
              <w:rPr>
                <w:sz w:val="17"/>
              </w:rPr>
              <w:t>validate-form-controls.py</w:t>
            </w:r>
          </w:p>
        </w:tc>
        <w:tc>
          <w:tcPr>
            <w:tcW w:type="dxa" w:w="3402"/>
          </w:tcPr>
          <w:p>
            <w:pPr>
              <w:spacing w:after="20"/>
            </w:pPr>
            <w:r/>
            <w:r>
              <w:rPr>
                <w:sz w:val="17"/>
              </w:rPr>
              <w:t>0 inappropriate controls</w:t>
            </w:r>
          </w:p>
        </w:tc>
      </w:tr>
      <w:tr>
        <w:trPr>
          <w:cantSplit w:val="true"/>
        </w:trPr>
        <w:tc>
          <w:tcPr>
            <w:tcW w:type="dxa" w:w="3628"/>
            <w:shd w:val="clear" w:color="auto" w:fill="EEF2F8"/>
          </w:tcPr>
          <w:p>
            <w:pPr>
              <w:spacing w:after="20"/>
            </w:pPr>
            <w:r/>
            <w:r>
              <w:rPr>
                <w:sz w:val="17"/>
              </w:rPr>
              <w:t>Every form renders in the renderer the Tasklist uses</w:t>
            </w:r>
          </w:p>
        </w:tc>
        <w:tc>
          <w:tcPr>
            <w:tcW w:type="dxa" w:w="2608"/>
            <w:shd w:val="clear" w:color="auto" w:fill="EEF2F8"/>
          </w:tcPr>
          <w:p>
            <w:pPr>
              <w:spacing w:after="20"/>
            </w:pPr>
            <w:r/>
            <w:r>
              <w:rPr>
                <w:sz w:val="17"/>
              </w:rPr>
              <w:t>render-forms.mjs (form-js)</w:t>
            </w:r>
          </w:p>
        </w:tc>
        <w:tc>
          <w:tcPr>
            <w:tcW w:type="dxa" w:w="3402"/>
            <w:shd w:val="clear" w:color="auto" w:fill="EEF2F8"/>
          </w:tcPr>
          <w:p>
            <w:pPr>
              <w:spacing w:after="20"/>
            </w:pPr>
            <w:r/>
            <w:r>
              <w:rPr>
                <w:sz w:val="17"/>
              </w:rPr>
              <w:t>all forms render</w:t>
            </w:r>
          </w:p>
        </w:tc>
      </w:tr>
      <w:tr>
        <w:trPr>
          <w:cantSplit w:val="true"/>
        </w:trPr>
        <w:tc>
          <w:tcPr>
            <w:tcW w:type="dxa" w:w="3628"/>
          </w:tcPr>
          <w:p>
            <w:pPr>
              <w:spacing w:after="20"/>
            </w:pPr>
            <w:r/>
            <w:r>
              <w:rPr>
                <w:sz w:val="17"/>
              </w:rPr>
              <w:t>Every gateway variable has a form source</w:t>
            </w:r>
          </w:p>
        </w:tc>
        <w:tc>
          <w:tcPr>
            <w:tcW w:type="dxa" w:w="2608"/>
          </w:tcPr>
          <w:p>
            <w:pPr>
              <w:spacing w:after="20"/>
            </w:pPr>
            <w:r/>
            <w:r>
              <w:rPr>
                <w:sz w:val="17"/>
              </w:rPr>
              <w:t>validate-contract.py</w:t>
            </w:r>
          </w:p>
        </w:tc>
        <w:tc>
          <w:tcPr>
            <w:tcW w:type="dxa" w:w="3402"/>
          </w:tcPr>
          <w:p>
            <w:pPr>
              <w:spacing w:after="20"/>
            </w:pPr>
            <w:r/>
            <w:r>
              <w:rPr>
                <w:sz w:val="17"/>
              </w:rPr>
              <w:t>0 worker inputs with no form source</w:t>
            </w:r>
          </w:p>
        </w:tc>
      </w:tr>
      <w:tr>
        <w:trPr>
          <w:cantSplit w:val="true"/>
        </w:trPr>
        <w:tc>
          <w:tcPr>
            <w:tcW w:type="dxa" w:w="3628"/>
            <w:shd w:val="clear" w:color="auto" w:fill="EEF2F8"/>
          </w:tcPr>
          <w:p>
            <w:pPr>
              <w:spacing w:after="20"/>
            </w:pPr>
            <w:r/>
            <w:r>
              <w:rPr>
                <w:sz w:val="17"/>
              </w:rPr>
              <w:t>Forms exercised inside a running instance</w:t>
            </w:r>
          </w:p>
        </w:tc>
        <w:tc>
          <w:tcPr>
            <w:tcW w:type="dxa" w:w="2608"/>
            <w:shd w:val="clear" w:color="auto" w:fill="EEF2F8"/>
          </w:tcPr>
          <w:p>
            <w:pPr>
              <w:spacing w:after="20"/>
            </w:pPr>
            <w:r/>
            <w:r>
              <w:rPr>
                <w:sz w:val="17"/>
              </w:rPr>
              <w:t>run-acceptance.mjs</w:t>
            </w:r>
          </w:p>
        </w:tc>
        <w:tc>
          <w:tcPr>
            <w:tcW w:type="dxa" w:w="3402"/>
            <w:shd w:val="clear" w:color="auto" w:fill="EEF2F8"/>
          </w:tcPr>
          <w:p>
            <w:pPr>
              <w:spacing w:after="20"/>
            </w:pPr>
            <w:r/>
            <w:r>
              <w:rPr>
                <w:sz w:val="17"/>
              </w:rPr>
              <w:t>18 cases completed through the forms</w:t>
            </w:r>
          </w:p>
        </w:tc>
      </w:tr>
    </w:tbl>
    <w:p>
      <w:pPr>
        <w:spacing w:after="40"/>
      </w:pPr>
    </w:p>
    <w:p>
      <w:pPr>
        <w:keepNext/>
        <w:spacing w:before="40" w:after="40"/>
      </w:pPr>
      <w:r>
        <w:rPr>
          <w:b/>
          <w:color w:val="595959"/>
          <w:sz w:val="17"/>
        </w:rPr>
        <w:t>Table 15. Form test evidence. The same checks run as steps 7, 8 and 9 of verify-all.ps1.</w:t>
      </w:r>
    </w:p>
    <w:p>
      <w:pPr>
        <w:pStyle w:val="Heading2"/>
      </w:pPr>
      <w:r>
        <w:t>3.8  Appendix — form inventory</w:t>
      </w:r>
    </w:p>
    <w:p>
      <w:r>
        <w:rPr>
          <w:b w:val="0"/>
          <w:i w:val="0"/>
        </w:rPr>
        <w:t>One row per form: the fields it carries, how many are required, and how many user tasks in the four models bind to it. A form bound to more than one task is the same decision reused in the strategic and operational views.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3515"/>
        <w:gridCol w:w="793"/>
        <w:gridCol w:w="907"/>
        <w:gridCol w:w="793"/>
        <w:gridCol w:w="2608"/>
        <w:gridCol w:w="1020"/>
      </w:tblGrid>
      <w:tr>
        <w:trPr>
          <w:tblHeader w:val="true"/>
        </w:trPr>
        <w:tc>
          <w:tcPr>
            <w:tcW w:type="dxa" w:w="3515"/>
            <w:shd w:val="clear" w:color="auto" w:fill="1F3864"/>
          </w:tcPr>
          <w:p>
            <w:pPr>
              <w:spacing w:after="20"/>
            </w:pPr>
            <w:r/>
            <w:r>
              <w:rPr>
                <w:b/>
                <w:color w:val="FFFFFF"/>
                <w:sz w:val="15"/>
              </w:rPr>
              <w:t>Form</w:t>
            </w:r>
          </w:p>
        </w:tc>
        <w:tc>
          <w:tcPr>
            <w:tcW w:type="dxa" w:w="794"/>
            <w:shd w:val="clear" w:color="auto" w:fill="1F3864"/>
          </w:tcPr>
          <w:p>
            <w:pPr>
              <w:spacing w:after="20"/>
            </w:pPr>
            <w:r/>
            <w:r>
              <w:rPr>
                <w:b/>
                <w:color w:val="FFFFFF"/>
                <w:sz w:val="15"/>
              </w:rPr>
              <w:t>Fields</w:t>
            </w:r>
          </w:p>
        </w:tc>
        <w:tc>
          <w:tcPr>
            <w:tcW w:type="dxa" w:w="907"/>
            <w:shd w:val="clear" w:color="auto" w:fill="1F3864"/>
          </w:tcPr>
          <w:p>
            <w:pPr>
              <w:spacing w:after="20"/>
            </w:pPr>
            <w:r/>
            <w:r>
              <w:rPr>
                <w:b/>
                <w:color w:val="FFFFFF"/>
                <w:sz w:val="15"/>
              </w:rPr>
              <w:t>Required</w:t>
            </w:r>
          </w:p>
        </w:tc>
        <w:tc>
          <w:tcPr>
            <w:tcW w:type="dxa" w:w="794"/>
            <w:shd w:val="clear" w:color="auto" w:fill="1F3864"/>
          </w:tcPr>
          <w:p>
            <w:pPr>
              <w:spacing w:after="20"/>
            </w:pPr>
            <w:r/>
            <w:r>
              <w:rPr>
                <w:b/>
                <w:color w:val="FFFFFF"/>
                <w:sz w:val="15"/>
              </w:rPr>
              <w:t>Pattern</w:t>
            </w:r>
          </w:p>
        </w:tc>
        <w:tc>
          <w:tcPr>
            <w:tcW w:type="dxa" w:w="2608"/>
            <w:shd w:val="clear" w:color="auto" w:fill="1F3864"/>
          </w:tcPr>
          <w:p>
            <w:pPr>
              <w:spacing w:after="20"/>
            </w:pPr>
            <w:r/>
            <w:r>
              <w:rPr>
                <w:b/>
                <w:color w:val="FFFFFF"/>
                <w:sz w:val="15"/>
              </w:rPr>
              <w:t>Controls</w:t>
            </w:r>
          </w:p>
        </w:tc>
        <w:tc>
          <w:tcPr>
            <w:tcW w:type="dxa" w:w="1020"/>
            <w:shd w:val="clear" w:color="auto" w:fill="1F3864"/>
          </w:tcPr>
          <w:p>
            <w:pPr>
              <w:spacing w:after="20"/>
            </w:pPr>
            <w:r/>
            <w:r>
              <w:rPr>
                <w:b/>
                <w:color w:val="FFFFFF"/>
                <w:sz w:val="15"/>
              </w:rPr>
              <w:t>Tasks bound</w:t>
            </w:r>
          </w:p>
        </w:tc>
      </w:tr>
      <w:tr>
        <w:trPr>
          <w:cantSplit w:val="true"/>
        </w:trPr>
        <w:tc>
          <w:tcPr>
            <w:tcW w:type="dxa" w:w="3515"/>
          </w:tcPr>
          <w:p>
            <w:pPr>
              <w:spacing w:after="20"/>
            </w:pPr>
            <w:r/>
            <w:r>
              <w:rPr>
                <w:sz w:val="15"/>
              </w:rPr>
              <w:t>form-advise-no-treatment</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form-answer-administrative-enquiry</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form-answer-clinical-enquiry</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form-answer-financial-enquiry</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form-apply-treatment-change</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form-approve-clinic-letter</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form-arrange-follow-up</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form-authorise-treatment-funding</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form-authorise-urgent-treatment</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form-book-new-patient-appointment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form-check-referral-documents</w:t>
            </w:r>
          </w:p>
        </w:tc>
        <w:tc>
          <w:tcPr>
            <w:tcW w:type="dxa" w:w="794"/>
          </w:tcPr>
          <w:p>
            <w:pPr>
              <w:spacing w:after="20"/>
              <w:jc w:val="right"/>
            </w:pPr>
            <w:r/>
            <w:r>
              <w:rPr>
                <w:sz w:val="15"/>
              </w:rPr>
              <w:t>5</w:t>
            </w:r>
          </w:p>
        </w:tc>
        <w:tc>
          <w:tcPr>
            <w:tcW w:type="dxa" w:w="907"/>
          </w:tcPr>
          <w:p>
            <w:pPr>
              <w:spacing w:after="20"/>
              <w:jc w:val="right"/>
            </w:pPr>
            <w:r/>
            <w:r>
              <w:rPr>
                <w:sz w:val="15"/>
              </w:rPr>
              <w:t>3</w:t>
            </w:r>
          </w:p>
        </w:tc>
        <w:tc>
          <w:tcPr>
            <w:tcW w:type="dxa" w:w="794"/>
          </w:tcPr>
          <w:p>
            <w:pPr>
              <w:spacing w:after="20"/>
              <w:jc w:val="right"/>
            </w:pPr>
            <w:r/>
            <w:r>
              <w:rPr>
                <w:sz w:val="15"/>
              </w:rPr>
              <w:t>1</w:t>
            </w:r>
          </w:p>
        </w:tc>
        <w:tc>
          <w:tcPr>
            <w:tcW w:type="dxa" w:w="2608"/>
          </w:tcPr>
          <w:p>
            <w:pPr>
              <w:spacing w:after="20"/>
            </w:pPr>
            <w:r/>
            <w:r>
              <w:rPr>
                <w:sz w:val="15"/>
              </w:rPr>
              <w:t>checkbox, select, text, textarea,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form-classify-enquiry</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form-clinic-letter-admin-check</w:t>
            </w:r>
          </w:p>
        </w:tc>
        <w:tc>
          <w:tcPr>
            <w:tcW w:type="dxa" w:w="794"/>
          </w:tcPr>
          <w:p>
            <w:pPr>
              <w:spacing w:after="20"/>
              <w:jc w:val="right"/>
            </w:pPr>
            <w:r/>
            <w:r>
              <w:rPr>
                <w:sz w:val="15"/>
              </w:rPr>
              <w:t>6</w:t>
            </w:r>
          </w:p>
        </w:tc>
        <w:tc>
          <w:tcPr>
            <w:tcW w:type="dxa" w:w="907"/>
          </w:tcPr>
          <w:p>
            <w:pPr>
              <w:spacing w:after="20"/>
              <w:jc w:val="right"/>
            </w:pPr>
            <w:r/>
            <w:r>
              <w:rPr>
                <w:sz w:val="15"/>
              </w:rPr>
              <w:t>4</w:t>
            </w:r>
          </w:p>
        </w:tc>
        <w:tc>
          <w:tcPr>
            <w:tcW w:type="dxa" w:w="794"/>
          </w:tcPr>
          <w:p>
            <w:pPr>
              <w:spacing w:after="20"/>
              <w:jc w:val="right"/>
            </w:pPr>
            <w:r/>
            <w:r>
              <w:rPr>
                <w:sz w:val="15"/>
              </w:rPr>
              <w:t>1</w:t>
            </w:r>
          </w:p>
        </w:tc>
        <w:tc>
          <w:tcPr>
            <w:tcW w:type="dxa" w:w="2608"/>
          </w:tcPr>
          <w:p>
            <w:pPr>
              <w:spacing w:after="20"/>
            </w:pPr>
            <w:r/>
            <w:r>
              <w:rPr>
                <w:sz w:val="15"/>
              </w:rPr>
              <w:t>checkbox, select, text, textarea,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form-clinical-review-referral</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form-complete-pathway</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form-confirm-appointment</w:t>
            </w:r>
          </w:p>
        </w:tc>
        <w:tc>
          <w:tcPr>
            <w:tcW w:type="dxa" w:w="794"/>
            <w:shd w:val="clear" w:color="auto" w:fill="EEF2F8"/>
          </w:tcPr>
          <w:p>
            <w:pPr>
              <w:spacing w:after="20"/>
              <w:jc w:val="right"/>
            </w:pPr>
            <w:r/>
            <w:r>
              <w:rPr>
                <w:sz w:val="15"/>
              </w:rPr>
              <w:t>4</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form-confirm-follow-up</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form-confirm-treatment-schedule</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form-deliver-treatment-cycle</w:t>
            </w:r>
          </w:p>
        </w:tc>
        <w:tc>
          <w:tcPr>
            <w:tcW w:type="dxa" w:w="794"/>
          </w:tcPr>
          <w:p>
            <w:pPr>
              <w:spacing w:after="20"/>
              <w:jc w:val="right"/>
            </w:pPr>
            <w:r/>
            <w:r>
              <w:rPr>
                <w:sz w:val="15"/>
              </w:rPr>
              <w:t>6</w:t>
            </w:r>
          </w:p>
        </w:tc>
        <w:tc>
          <w:tcPr>
            <w:tcW w:type="dxa" w:w="907"/>
          </w:tcPr>
          <w:p>
            <w:pPr>
              <w:spacing w:after="20"/>
              <w:jc w:val="right"/>
            </w:pPr>
            <w:r/>
            <w:r>
              <w:rPr>
                <w:sz w:val="15"/>
              </w:rPr>
              <w:t>3</w:t>
            </w:r>
          </w:p>
        </w:tc>
        <w:tc>
          <w:tcPr>
            <w:tcW w:type="dxa" w:w="794"/>
          </w:tcPr>
          <w:p>
            <w:pPr>
              <w:spacing w:after="20"/>
              <w:jc w:val="right"/>
            </w:pPr>
            <w:r/>
            <w:r>
              <w:rPr>
                <w:sz w:val="15"/>
              </w:rPr>
              <w:t>1</w:t>
            </w:r>
          </w:p>
        </w:tc>
        <w:tc>
          <w:tcPr>
            <w:tcW w:type="dxa" w:w="2608"/>
          </w:tcPr>
          <w:p>
            <w:pPr>
              <w:spacing w:after="20"/>
            </w:pPr>
            <w:r/>
            <w:r>
              <w:rPr>
                <w:sz w:val="15"/>
              </w:rPr>
              <w:t>checkbox, datetime, number,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form-determine-funding-route</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form-escalate-correspondence</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form-escalate-higher-management</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form-escalate-to-manager</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number,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form-expedite-urgent-booking</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form-follow-up-review</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number,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form-forward-accepted-referral</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form-handle-patient-enquiry</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form-handle-payment-failure</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form-highlight-follow-up</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form-issue-letter-reminder</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number,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form-mark-payment-investigation</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form-new-patient-consultation</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form-offer-another-appointment</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form-prepare-accessible-format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form-prepare-clinic-letter</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form-provide-clinical-advice</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form-provide-cns-contact-details</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form-receive-referral</w:t>
            </w:r>
          </w:p>
        </w:tc>
        <w:tc>
          <w:tcPr>
            <w:tcW w:type="dxa" w:w="794"/>
            <w:shd w:val="clear" w:color="auto" w:fill="EEF2F8"/>
          </w:tcPr>
          <w:p>
            <w:pPr>
              <w:spacing w:after="20"/>
              <w:jc w:val="right"/>
            </w:pPr>
            <w:r/>
            <w:r>
              <w:rPr>
                <w:sz w:val="15"/>
              </w:rPr>
              <w:t>6</w:t>
            </w:r>
          </w:p>
        </w:tc>
        <w:tc>
          <w:tcPr>
            <w:tcW w:type="dxa" w:w="907"/>
            <w:shd w:val="clear" w:color="auto" w:fill="EEF2F8"/>
          </w:tcPr>
          <w:p>
            <w:pPr>
              <w:spacing w:after="20"/>
              <w:jc w:val="right"/>
            </w:pPr>
            <w:r/>
            <w:r>
              <w:rPr>
                <w:sz w:val="15"/>
              </w:rPr>
              <w:t>5</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form-record-consultation-consent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form-record-contact-outcome</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form-record-enquiry-outcome</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form-record-funding-approval</w:t>
            </w:r>
          </w:p>
        </w:tc>
        <w:tc>
          <w:tcPr>
            <w:tcW w:type="dxa" w:w="794"/>
            <w:shd w:val="clear" w:color="auto" w:fill="EEF2F8"/>
          </w:tcPr>
          <w:p>
            <w:pPr>
              <w:spacing w:after="20"/>
              <w:jc w:val="right"/>
            </w:pPr>
            <w:r/>
            <w:r>
              <w:rPr>
                <w:sz w:val="15"/>
              </w:rPr>
              <w:t>8</w:t>
            </w:r>
          </w:p>
        </w:tc>
        <w:tc>
          <w:tcPr>
            <w:tcW w:type="dxa" w:w="907"/>
            <w:shd w:val="clear" w:color="auto" w:fill="EEF2F8"/>
          </w:tcPr>
          <w:p>
            <w:pPr>
              <w:spacing w:after="20"/>
              <w:jc w:val="right"/>
            </w:pPr>
            <w:r/>
            <w:r>
              <w:rPr>
                <w:sz w:val="15"/>
              </w:rPr>
              <w:t>6</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number, select, text, textarea,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form-record-non-attendance</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form-record-patient-consent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form-record-payment</w:t>
            </w:r>
          </w:p>
        </w:tc>
        <w:tc>
          <w:tcPr>
            <w:tcW w:type="dxa" w:w="794"/>
          </w:tcPr>
          <w:p>
            <w:pPr>
              <w:spacing w:after="20"/>
              <w:jc w:val="right"/>
            </w:pPr>
            <w:r/>
            <w:r>
              <w:rPr>
                <w:sz w:val="15"/>
              </w:rPr>
              <w:t>6</w:t>
            </w:r>
          </w:p>
        </w:tc>
        <w:tc>
          <w:tcPr>
            <w:tcW w:type="dxa" w:w="907"/>
          </w:tcPr>
          <w:p>
            <w:pPr>
              <w:spacing w:after="20"/>
              <w:jc w:val="right"/>
            </w:pPr>
            <w:r/>
            <w:r>
              <w:rPr>
                <w:sz w:val="15"/>
              </w:rPr>
              <w:t>5</w:t>
            </w:r>
          </w:p>
        </w:tc>
        <w:tc>
          <w:tcPr>
            <w:tcW w:type="dxa" w:w="794"/>
          </w:tcPr>
          <w:p>
            <w:pPr>
              <w:spacing w:after="20"/>
              <w:jc w:val="right"/>
            </w:pPr>
            <w:r/>
            <w:r>
              <w:rPr>
                <w:sz w:val="15"/>
              </w:rPr>
              <w:t>1</w:t>
            </w:r>
          </w:p>
        </w:tc>
        <w:tc>
          <w:tcPr>
            <w:tcW w:type="dxa" w:w="2608"/>
          </w:tcPr>
          <w:p>
            <w:pPr>
              <w:spacing w:after="20"/>
            </w:pPr>
            <w:r/>
            <w:r>
              <w:rPr>
                <w:sz w:val="15"/>
              </w:rPr>
              <w:t>datetime, number, select,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form-record-pending-booking</w:t>
            </w:r>
          </w:p>
        </w:tc>
        <w:tc>
          <w:tcPr>
            <w:tcW w:type="dxa" w:w="794"/>
            <w:shd w:val="clear" w:color="auto" w:fill="EEF2F8"/>
          </w:tcPr>
          <w:p>
            <w:pPr>
              <w:spacing w:after="20"/>
              <w:jc w:val="right"/>
            </w:pPr>
            <w:r/>
            <w:r>
              <w:rPr>
                <w:sz w:val="15"/>
              </w:rPr>
              <w:t>5</w:t>
            </w:r>
          </w:p>
        </w:tc>
        <w:tc>
          <w:tcPr>
            <w:tcW w:type="dxa" w:w="907"/>
            <w:shd w:val="clear" w:color="auto" w:fill="EEF2F8"/>
          </w:tcPr>
          <w:p>
            <w:pPr>
              <w:spacing w:after="20"/>
              <w:jc w:val="right"/>
            </w:pPr>
            <w:r/>
            <w:r>
              <w:rPr>
                <w:sz w:val="15"/>
              </w:rPr>
              <w:t>3</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number,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form-record-referral-decision</w:t>
            </w:r>
          </w:p>
        </w:tc>
        <w:tc>
          <w:tcPr>
            <w:tcW w:type="dxa" w:w="794"/>
          </w:tcPr>
          <w:p>
            <w:pPr>
              <w:spacing w:after="20"/>
              <w:jc w:val="right"/>
            </w:pPr>
            <w:r/>
            <w:r>
              <w:rPr>
                <w:sz w:val="15"/>
              </w:rPr>
              <w:t>4</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select,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form-record-refund</w:t>
            </w:r>
          </w:p>
        </w:tc>
        <w:tc>
          <w:tcPr>
            <w:tcW w:type="dxa" w:w="794"/>
            <w:shd w:val="clear" w:color="auto" w:fill="EEF2F8"/>
          </w:tcPr>
          <w:p>
            <w:pPr>
              <w:spacing w:after="20"/>
              <w:jc w:val="right"/>
            </w:pPr>
            <w:r/>
            <w:r>
              <w:rPr>
                <w:sz w:val="15"/>
              </w:rPr>
              <w:t>5</w:t>
            </w:r>
          </w:p>
        </w:tc>
        <w:tc>
          <w:tcPr>
            <w:tcW w:type="dxa" w:w="907"/>
            <w:shd w:val="clear" w:color="auto" w:fill="EEF2F8"/>
          </w:tcPr>
          <w:p>
            <w:pPr>
              <w:spacing w:after="20"/>
              <w:jc w:val="right"/>
            </w:pPr>
            <w:r/>
            <w:r>
              <w:rPr>
                <w:sz w:val="15"/>
              </w:rPr>
              <w:t>4</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datetime, number,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form-refer-unconfirmed-payment</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form-refund-decision</w:t>
            </w:r>
          </w:p>
        </w:tc>
        <w:tc>
          <w:tcPr>
            <w:tcW w:type="dxa" w:w="794"/>
            <w:shd w:val="clear" w:color="auto" w:fill="EEF2F8"/>
          </w:tcPr>
          <w:p>
            <w:pPr>
              <w:spacing w:after="20"/>
              <w:jc w:val="right"/>
            </w:pPr>
            <w:r/>
            <w:r>
              <w:rPr>
                <w:sz w:val="15"/>
              </w:rPr>
              <w:t>5</w:t>
            </w:r>
          </w:p>
        </w:tc>
        <w:tc>
          <w:tcPr>
            <w:tcW w:type="dxa" w:w="907"/>
            <w:shd w:val="clear" w:color="auto" w:fill="EEF2F8"/>
          </w:tcPr>
          <w:p>
            <w:pPr>
              <w:spacing w:after="20"/>
              <w:jc w:val="right"/>
            </w:pPr>
            <w:r/>
            <w:r>
              <w:rPr>
                <w:sz w:val="15"/>
              </w:rPr>
              <w:t>3</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number, 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form-register-referral</w:t>
            </w:r>
          </w:p>
        </w:tc>
        <w:tc>
          <w:tcPr>
            <w:tcW w:type="dxa" w:w="794"/>
          </w:tcPr>
          <w:p>
            <w:pPr>
              <w:spacing w:after="20"/>
              <w:jc w:val="right"/>
            </w:pPr>
            <w:r/>
            <w:r>
              <w:rPr>
                <w:sz w:val="15"/>
              </w:rPr>
              <w:t>7</w:t>
            </w:r>
          </w:p>
        </w:tc>
        <w:tc>
          <w:tcPr>
            <w:tcW w:type="dxa" w:w="907"/>
          </w:tcPr>
          <w:p>
            <w:pPr>
              <w:spacing w:after="20"/>
              <w:jc w:val="right"/>
            </w:pPr>
            <w:r/>
            <w:r>
              <w:rPr>
                <w:sz w:val="15"/>
              </w:rPr>
              <w:t>6</w:t>
            </w:r>
          </w:p>
        </w:tc>
        <w:tc>
          <w:tcPr>
            <w:tcW w:type="dxa" w:w="794"/>
          </w:tcPr>
          <w:p>
            <w:pPr>
              <w:spacing w:after="20"/>
              <w:jc w:val="right"/>
            </w:pPr>
            <w:r/>
            <w:r>
              <w:rPr>
                <w:sz w:val="15"/>
              </w:rPr>
              <w:t>1</w:t>
            </w:r>
          </w:p>
        </w:tc>
        <w:tc>
          <w:tcPr>
            <w:tcW w:type="dxa" w:w="2608"/>
          </w:tcPr>
          <w:p>
            <w:pPr>
              <w:spacing w:after="20"/>
            </w:pPr>
            <w:r/>
            <w:r>
              <w:rPr>
                <w:sz w:val="15"/>
              </w:rPr>
              <w:t>checkbox, select,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form-register-referral-landscape</w:t>
            </w:r>
          </w:p>
        </w:tc>
        <w:tc>
          <w:tcPr>
            <w:tcW w:type="dxa" w:w="794"/>
            <w:shd w:val="clear" w:color="auto" w:fill="EEF2F8"/>
          </w:tcPr>
          <w:p>
            <w:pPr>
              <w:spacing w:after="20"/>
              <w:jc w:val="right"/>
            </w:pPr>
            <w:r/>
            <w:r>
              <w:rPr>
                <w:sz w:val="15"/>
              </w:rPr>
              <w:t>8</w:t>
            </w:r>
          </w:p>
        </w:tc>
        <w:tc>
          <w:tcPr>
            <w:tcW w:type="dxa" w:w="907"/>
            <w:shd w:val="clear" w:color="auto" w:fill="EEF2F8"/>
          </w:tcPr>
          <w:p>
            <w:pPr>
              <w:spacing w:after="20"/>
              <w:jc w:val="right"/>
            </w:pPr>
            <w:r/>
            <w:r>
              <w:rPr>
                <w:sz w:val="15"/>
              </w:rPr>
              <w:t>7</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form-request-follow-up</w:t>
            </w:r>
          </w:p>
        </w:tc>
        <w:tc>
          <w:tcPr>
            <w:tcW w:type="dxa" w:w="794"/>
          </w:tcPr>
          <w:p>
            <w:pPr>
              <w:spacing w:after="20"/>
              <w:jc w:val="right"/>
            </w:pPr>
            <w:r/>
            <w:r>
              <w:rPr>
                <w:sz w:val="15"/>
              </w:rPr>
              <w:t>4</w:t>
            </w:r>
          </w:p>
        </w:tc>
        <w:tc>
          <w:tcPr>
            <w:tcW w:type="dxa" w:w="907"/>
          </w:tcPr>
          <w:p>
            <w:pPr>
              <w:spacing w:after="20"/>
              <w:jc w:val="right"/>
            </w:pPr>
            <w:r/>
            <w:r>
              <w:rPr>
                <w:sz w:val="15"/>
              </w:rPr>
              <w:t>3</w:t>
            </w:r>
          </w:p>
        </w:tc>
        <w:tc>
          <w:tcPr>
            <w:tcW w:type="dxa" w:w="794"/>
          </w:tcPr>
          <w:p>
            <w:pPr>
              <w:spacing w:after="20"/>
              <w:jc w:val="right"/>
            </w:pPr>
            <w:r/>
            <w:r>
              <w:rPr>
                <w:sz w:val="15"/>
              </w:rPr>
              <w:t>1</w:t>
            </w:r>
          </w:p>
        </w:tc>
        <w:tc>
          <w:tcPr>
            <w:tcW w:type="dxa" w:w="2608"/>
          </w:tcPr>
          <w:p>
            <w:pPr>
              <w:spacing w:after="20"/>
            </w:pPr>
            <w:r/>
            <w:r>
              <w:rPr>
                <w:sz w:val="15"/>
              </w:rPr>
              <w:t>checkbox, number,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form-request-funding-approval</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form-resolve-capacity-constraint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form-resolve-funding-issue</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form-resolve-payment-transaction</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form-return-unauthorised-request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form-review-cycle-results</w:t>
            </w:r>
          </w:p>
        </w:tc>
        <w:tc>
          <w:tcPr>
            <w:tcW w:type="dxa" w:w="794"/>
          </w:tcPr>
          <w:p>
            <w:pPr>
              <w:spacing w:after="20"/>
              <w:jc w:val="right"/>
            </w:pPr>
            <w:r/>
            <w:r>
              <w:rPr>
                <w:sz w:val="15"/>
              </w:rPr>
              <w:t>4</w:t>
            </w:r>
          </w:p>
        </w:tc>
        <w:tc>
          <w:tcPr>
            <w:tcW w:type="dxa" w:w="907"/>
          </w:tcPr>
          <w:p>
            <w:pPr>
              <w:spacing w:after="20"/>
              <w:jc w:val="right"/>
            </w:pPr>
            <w:r/>
            <w:r>
              <w:rPr>
                <w:sz w:val="15"/>
              </w:rPr>
              <w:t>3</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form-review-financial-impact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form-review-management-reports</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2</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form-select-book-appointment</w:t>
            </w:r>
          </w:p>
        </w:tc>
        <w:tc>
          <w:tcPr>
            <w:tcW w:type="dxa" w:w="794"/>
            <w:shd w:val="clear" w:color="auto" w:fill="EEF2F8"/>
          </w:tcPr>
          <w:p>
            <w:pPr>
              <w:spacing w:after="20"/>
              <w:jc w:val="right"/>
            </w:pPr>
            <w:r/>
            <w:r>
              <w:rPr>
                <w:sz w:val="15"/>
              </w:rPr>
              <w:t>7</w:t>
            </w:r>
          </w:p>
        </w:tc>
        <w:tc>
          <w:tcPr>
            <w:tcW w:type="dxa" w:w="907"/>
            <w:shd w:val="clear" w:color="auto" w:fill="EEF2F8"/>
          </w:tcPr>
          <w:p>
            <w:pPr>
              <w:spacing w:after="20"/>
              <w:jc w:val="right"/>
            </w:pPr>
            <w:r/>
            <w:r>
              <w:rPr>
                <w:sz w:val="15"/>
              </w:rPr>
              <w:t>5</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datetime, number,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form-telephone-patient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form-treatment-booking-request</w:t>
            </w:r>
          </w:p>
        </w:tc>
        <w:tc>
          <w:tcPr>
            <w:tcW w:type="dxa" w:w="794"/>
            <w:shd w:val="clear" w:color="auto" w:fill="EEF2F8"/>
          </w:tcPr>
          <w:p>
            <w:pPr>
              <w:spacing w:after="20"/>
              <w:jc w:val="right"/>
            </w:pPr>
            <w:r/>
            <w:r>
              <w:rPr>
                <w:sz w:val="15"/>
              </w:rPr>
              <w:t>8</w:t>
            </w:r>
          </w:p>
        </w:tc>
        <w:tc>
          <w:tcPr>
            <w:tcW w:type="dxa" w:w="907"/>
            <w:shd w:val="clear" w:color="auto" w:fill="EEF2F8"/>
          </w:tcPr>
          <w:p>
            <w:pPr>
              <w:spacing w:after="20"/>
              <w:jc w:val="right"/>
            </w:pPr>
            <w:r/>
            <w:r>
              <w:rPr>
                <w:sz w:val="15"/>
              </w:rPr>
              <w:t>7</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number, 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form-treatment-modification-request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form-urgent-clinical-concern</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form-urgent-postponement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form-validate-booking-request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form-validate-treatment-request</w:t>
            </w:r>
          </w:p>
        </w:tc>
        <w:tc>
          <w:tcPr>
            <w:tcW w:type="dxa" w:w="794"/>
          </w:tcPr>
          <w:p>
            <w:pPr>
              <w:spacing w:after="20"/>
              <w:jc w:val="right"/>
            </w:pPr>
            <w:r/>
            <w:r>
              <w:rPr>
                <w:sz w:val="15"/>
              </w:rPr>
              <w:t>5</w:t>
            </w:r>
          </w:p>
        </w:tc>
        <w:tc>
          <w:tcPr>
            <w:tcW w:type="dxa" w:w="907"/>
          </w:tcPr>
          <w:p>
            <w:pPr>
              <w:spacing w:after="20"/>
              <w:jc w:val="right"/>
            </w:pPr>
            <w:r/>
            <w:r>
              <w:rPr>
                <w:sz w:val="15"/>
              </w:rPr>
              <w:t>4</w:t>
            </w:r>
          </w:p>
        </w:tc>
        <w:tc>
          <w:tcPr>
            <w:tcW w:type="dxa" w:w="794"/>
          </w:tcPr>
          <w:p>
            <w:pPr>
              <w:spacing w:after="20"/>
              <w:jc w:val="right"/>
            </w:pPr>
            <w:r/>
            <w:r>
              <w:rPr>
                <w:sz w:val="15"/>
              </w:rPr>
              <w:t>1</w:t>
            </w:r>
          </w:p>
        </w:tc>
        <w:tc>
          <w:tcPr>
            <w:tcW w:type="dxa" w:w="2608"/>
          </w:tcPr>
          <w:p>
            <w:pPr>
              <w:spacing w:after="20"/>
            </w:pPr>
            <w:r/>
            <w:r>
              <w:rPr>
                <w:sz w:val="15"/>
              </w:rPr>
              <w:t>checkbox, number, text, textfield</w:t>
            </w:r>
          </w:p>
        </w:tc>
        <w:tc>
          <w:tcPr>
            <w:tcW w:type="dxa" w:w="1020"/>
          </w:tcPr>
          <w:p>
            <w:pPr>
              <w:spacing w:after="20"/>
              <w:jc w:val="right"/>
            </w:pPr>
            <w:r/>
            <w:r>
              <w:rPr>
                <w:sz w:val="15"/>
              </w:rPr>
              <w:t>2</w:t>
            </w:r>
          </w:p>
        </w:tc>
      </w:tr>
    </w:tbl>
    <w:p>
      <w:pPr>
        <w:spacing w:after="40"/>
      </w:pPr>
    </w:p>
    <w:p>
      <w:pPr>
        <w:keepNext/>
        <w:spacing w:before="40" w:after="40"/>
      </w:pPr>
      <w:r>
        <w:rPr>
          <w:b/>
          <w:color w:val="595959"/>
          <w:sz w:val="17"/>
        </w:rPr>
        <w:t>Table 16. All 69 forms. Controls listed alphabetically.</w:t>
      </w:r>
    </w:p>
    <w:p>
      <w:r>
        <w:rPr>
          <w:b w:val="0"/>
          <w:i w:val="0"/>
        </w:rPr>
        <w:t>The forms were written before we had any reason to look at them as more than data capture. The review changed that in a specific way. When we audited the 68 forms against the gateways they feed, we found ten fields where a free-text box was collecting a value the process compares exactly. referralDecision was a textfield in front of a gateway that tests four literal strings. referralUrgency and enquiryType had the same problem, and two letter-age fields were checkboxes feeding numeric comparisons, which cannot be right. Those ten became selects or numbers, each one justified by the line of the model that reads it; 08_Repository_Documents/form-field-change-log.md lists all ten with the line reference.</w:t>
      </w:r>
    </w:p>
    <w:p>
      <w:r>
        <w:rPr>
          <w:b w:val="0"/>
          <w:i w:val="0"/>
        </w:rPr>
        <w:t>The same audit added 41 controls for data the process needed and no form collected, and validation on 115 fields that already existed. The pattern behind those numbers is the same in each team. A medical secretary checking documentation needed a checklist per expected document rather than one free-text note. A consultant needed a controlled decision plus somewhere to write the reason. A finance officer needed the reference, the amount and the date, and nothing that resembles card data.</w:t>
      </w:r>
    </w:p>
    <w:p>
      <w:r>
        <w:rPr>
          <w:b w:val="0"/>
          <w:i w:val="0"/>
        </w:rPr>
        <w:t>On accessibility our position is deliberately narrow. Every input has a visible label, the components are declared in the order the task is performed so the tab order follows the work, and the Tasklist enforces the required fields before a task can be completed. What we did not do is equally clear: no field carries a description or in-line help, no assistive technology was used to test any form, no contrast measurement was taken, and the accessible-format requirement for patients is out of scope in this release because no preference is captured. We would rather state that plainly than claim Disability Discrimination Act compliance we cannot evidence, and the next step we would take is a description on each field plus a screen-reader pass over the five longest forms.</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Camunda Forms</dc:title>
  <dc:subject>UFCEP6-0-3 Portfolio — 3 Camunda Forms</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