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Project and test plan</w:t>
      </w:r>
    </w:p>
    <w:p>
      <w:r>
        <w:rPr>
          <w:b w:val="0"/>
          <w:i w:val="0"/>
        </w:rPr>
        <w:t>Criterion: Project &amp; Test Plan (10%). Learning outcomes LO3 and LO5.</w:t>
      </w:r>
    </w:p>
    <w:p>
      <w:r>
        <w:rPr>
          <w:b w:val="0"/>
          <w:i w:val="0"/>
        </w:rPr>
        <w:t>This section states how the project was planned and run, and then sets out the test plan and the evidence that the testing described in it was actually executed.</w:t>
      </w:r>
    </w:p>
    <w:p>
      <w:pPr>
        <w:pStyle w:val="Heading2"/>
      </w:pPr>
      <w:r>
        <w:t>4.1  How the project was planned</w:t>
      </w:r>
    </w:p>
    <w:p>
      <w:r>
        <w:rPr>
          <w:b w:val="0"/>
          <w:i w:val="0"/>
        </w:rPr>
        <w:t>The work was planned as a prioritised product backlog, cut into four sprints. Every item carries a first owner, a second owner, an estimate in story points and hours, its dependencies, its acceptance conditions and a status. The backlog workbook is the planning record; the sheets are listed below so a reader can go straight to the evidence rather than take the description on trust.</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835"/>
        <w:gridCol w:w="6804"/>
      </w:tblGrid>
      <w:tr>
        <w:trPr>
          <w:tblHeader w:val="true"/>
        </w:trPr>
        <w:tc>
          <w:tcPr>
            <w:tcW w:type="dxa" w:w="2835"/>
            <w:shd w:val="clear" w:color="auto" w:fill="1F3864"/>
          </w:tcPr>
          <w:p>
            <w:pPr>
              <w:spacing w:after="20"/>
            </w:pPr>
            <w:r/>
            <w:r>
              <w:rPr>
                <w:b/>
                <w:color w:val="FFFFFF"/>
                <w:sz w:val="17"/>
              </w:rPr>
              <w:t>Workbook sheet</w:t>
            </w:r>
          </w:p>
        </w:tc>
        <w:tc>
          <w:tcPr>
            <w:tcW w:type="dxa" w:w="6803"/>
            <w:shd w:val="clear" w:color="auto" w:fill="1F3864"/>
          </w:tcPr>
          <w:p>
            <w:pPr>
              <w:spacing w:after="20"/>
            </w:pPr>
            <w:r/>
            <w:r>
              <w:rPr>
                <w:b/>
                <w:color w:val="FFFFFF"/>
                <w:sz w:val="17"/>
              </w:rPr>
              <w:t>What it holds</w:t>
            </w:r>
          </w:p>
        </w:tc>
      </w:tr>
      <w:tr>
        <w:trPr>
          <w:cantSplit w:val="true"/>
        </w:trPr>
        <w:tc>
          <w:tcPr>
            <w:tcW w:type="dxa" w:w="2835"/>
          </w:tcPr>
          <w:p>
            <w:pPr>
              <w:spacing w:after="20"/>
            </w:pPr>
            <w:r/>
            <w:r>
              <w:rPr>
                <w:sz w:val="17"/>
              </w:rPr>
              <w:t>Project Backlog</w:t>
            </w:r>
          </w:p>
        </w:tc>
        <w:tc>
          <w:tcPr>
            <w:tcW w:type="dxa" w:w="6803"/>
          </w:tcPr>
          <w:p>
            <w:pPr>
              <w:spacing w:after="20"/>
            </w:pPr>
            <w:r/>
            <w:r>
              <w:rPr>
                <w:sz w:val="17"/>
              </w:rPr>
              <w:t>the prioritised product backlog (user story, workstream, priority, story points, sprint, first and second owner, dependencies, acceptance criteria, status, hours)</w:t>
            </w:r>
          </w:p>
        </w:tc>
      </w:tr>
      <w:tr>
        <w:trPr>
          <w:cantSplit w:val="true"/>
        </w:trPr>
        <w:tc>
          <w:tcPr>
            <w:tcW w:type="dxa" w:w="2835"/>
            <w:shd w:val="clear" w:color="auto" w:fill="EEF2F8"/>
          </w:tcPr>
          <w:p>
            <w:pPr>
              <w:spacing w:after="20"/>
            </w:pPr>
            <w:r/>
            <w:r>
              <w:rPr>
                <w:sz w:val="17"/>
              </w:rPr>
              <w:t>Sprint 1 Backlog … Sprint 4 Backlog</w:t>
            </w:r>
          </w:p>
        </w:tc>
        <w:tc>
          <w:tcPr>
            <w:tcW w:type="dxa" w:w="6803"/>
            <w:shd w:val="clear" w:color="auto" w:fill="EEF2F8"/>
          </w:tcPr>
          <w:p>
            <w:pPr>
              <w:spacing w:after="20"/>
            </w:pPr>
            <w:r/>
            <w:r>
              <w:rPr>
                <w:sz w:val="17"/>
              </w:rPr>
              <w:t>the selected items for each sprint with a daily plan, estimates, owners and status</w:t>
            </w:r>
          </w:p>
        </w:tc>
      </w:tr>
      <w:tr>
        <w:trPr>
          <w:cantSplit w:val="true"/>
        </w:trPr>
        <w:tc>
          <w:tcPr>
            <w:tcW w:type="dxa" w:w="2835"/>
          </w:tcPr>
          <w:p>
            <w:pPr>
              <w:spacing w:after="20"/>
            </w:pPr>
            <w:r/>
            <w:r>
              <w:rPr>
                <w:sz w:val="17"/>
              </w:rPr>
              <w:t>Assessment Mapping</w:t>
            </w:r>
          </w:p>
        </w:tc>
        <w:tc>
          <w:tcPr>
            <w:tcW w:type="dxa" w:w="6803"/>
          </w:tcPr>
          <w:p>
            <w:pPr>
              <w:spacing w:after="20"/>
            </w:pPr>
            <w:r/>
            <w:r>
              <w:rPr>
                <w:sz w:val="17"/>
              </w:rPr>
              <w:t>each marking criterion mapped to the backlog items that satisfy it and to the file that evidences it</w:t>
            </w:r>
          </w:p>
        </w:tc>
      </w:tr>
      <w:tr>
        <w:trPr>
          <w:cantSplit w:val="true"/>
        </w:trPr>
        <w:tc>
          <w:tcPr>
            <w:tcW w:type="dxa" w:w="2835"/>
            <w:shd w:val="clear" w:color="auto" w:fill="EEF2F8"/>
          </w:tcPr>
          <w:p>
            <w:pPr>
              <w:spacing w:after="20"/>
            </w:pPr>
            <w:r/>
            <w:r>
              <w:rPr>
                <w:sz w:val="17"/>
              </w:rPr>
              <w:t>Risks &amp; Assumptions</w:t>
            </w:r>
          </w:p>
        </w:tc>
        <w:tc>
          <w:tcPr>
            <w:tcW w:type="dxa" w:w="6803"/>
            <w:shd w:val="clear" w:color="auto" w:fill="EEF2F8"/>
          </w:tcPr>
          <w:p>
            <w:pPr>
              <w:spacing w:after="20"/>
            </w:pPr>
            <w:r/>
            <w:r>
              <w:rPr>
                <w:sz w:val="17"/>
              </w:rPr>
              <w:t>the project risk register with likelihood, effect, response and owner</w:t>
            </w:r>
          </w:p>
        </w:tc>
      </w:tr>
      <w:tr>
        <w:trPr>
          <w:cantSplit w:val="true"/>
        </w:trPr>
        <w:tc>
          <w:tcPr>
            <w:tcW w:type="dxa" w:w="2835"/>
          </w:tcPr>
          <w:p>
            <w:pPr>
              <w:spacing w:after="20"/>
            </w:pPr>
            <w:r/>
            <w:r>
              <w:rPr>
                <w:sz w:val="17"/>
              </w:rPr>
              <w:t>README</w:t>
            </w:r>
          </w:p>
        </w:tc>
        <w:tc>
          <w:tcPr>
            <w:tcW w:type="dxa" w:w="6803"/>
          </w:tcPr>
          <w:p>
            <w:pPr>
              <w:spacing w:after="20"/>
            </w:pPr>
            <w:r/>
            <w:r>
              <w:rPr>
                <w:sz w:val="17"/>
              </w:rPr>
              <w:t>how the workbook is to be read and maintained</w:t>
            </w:r>
          </w:p>
        </w:tc>
      </w:tr>
    </w:tbl>
    <w:p>
      <w:pPr>
        <w:spacing w:after="40"/>
      </w:pPr>
    </w:p>
    <w:p>
      <w:pPr>
        <w:keepNext/>
        <w:spacing w:before="40" w:after="40"/>
      </w:pPr>
      <w:r>
        <w:rPr>
          <w:b/>
          <w:color w:val="595959"/>
          <w:sz w:val="17"/>
        </w:rPr>
        <w:t>Table 17. Structure of 01_Agile_Planning/Hospital_Patient_System_Project_Backlog_按评价逐项修正最终版.xlsx.</w:t>
      </w:r>
    </w:p>
    <w:p>
      <w:pPr>
        <w:pStyle w:val="Heading2"/>
      </w:pPr>
      <w:r>
        <w:t>4.2  Sprint plan and what each sprint was for</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701"/>
        <w:gridCol w:w="3628"/>
        <w:gridCol w:w="1814"/>
        <w:gridCol w:w="2494"/>
      </w:tblGrid>
      <w:tr>
        <w:trPr>
          <w:tblHeader w:val="true"/>
        </w:trPr>
        <w:tc>
          <w:tcPr>
            <w:tcW w:type="dxa" w:w="1701"/>
            <w:shd w:val="clear" w:color="auto" w:fill="1F3864"/>
          </w:tcPr>
          <w:p>
            <w:pPr>
              <w:spacing w:after="20"/>
            </w:pPr>
            <w:r/>
            <w:r>
              <w:rPr>
                <w:b/>
                <w:color w:val="FFFFFF"/>
                <w:sz w:val="17"/>
              </w:rPr>
              <w:t>Sprint</w:t>
            </w:r>
          </w:p>
        </w:tc>
        <w:tc>
          <w:tcPr>
            <w:tcW w:type="dxa" w:w="3628"/>
            <w:shd w:val="clear" w:color="auto" w:fill="1F3864"/>
          </w:tcPr>
          <w:p>
            <w:pPr>
              <w:spacing w:after="20"/>
            </w:pPr>
            <w:r/>
            <w:r>
              <w:rPr>
                <w:b/>
                <w:color w:val="FFFFFF"/>
                <w:sz w:val="17"/>
              </w:rPr>
              <w:t>Planned window</w:t>
            </w:r>
          </w:p>
        </w:tc>
        <w:tc>
          <w:tcPr>
            <w:tcW w:type="dxa" w:w="1814"/>
            <w:shd w:val="clear" w:color="auto" w:fill="1F3864"/>
          </w:tcPr>
          <w:p>
            <w:pPr>
              <w:spacing w:after="20"/>
            </w:pPr>
            <w:r/>
            <w:r>
              <w:rPr>
                <w:b/>
                <w:color w:val="FFFFFF"/>
                <w:sz w:val="17"/>
              </w:rPr>
              <w:t>Items selected</w:t>
            </w:r>
          </w:p>
        </w:tc>
        <w:tc>
          <w:tcPr>
            <w:tcW w:type="dxa" w:w="2494"/>
            <w:shd w:val="clear" w:color="auto" w:fill="1F3864"/>
          </w:tcPr>
          <w:p>
            <w:pPr>
              <w:spacing w:after="20"/>
            </w:pPr>
            <w:r/>
            <w:r>
              <w:rPr>
                <w:b/>
                <w:color w:val="FFFFFF"/>
                <w:sz w:val="17"/>
              </w:rPr>
              <w:t>Sum of estimates</w:t>
            </w:r>
          </w:p>
        </w:tc>
      </w:tr>
      <w:tr>
        <w:trPr>
          <w:cantSplit w:val="true"/>
        </w:trPr>
        <w:tc>
          <w:tcPr>
            <w:tcW w:type="dxa" w:w="1701"/>
          </w:tcPr>
          <w:p>
            <w:pPr>
              <w:spacing w:after="20"/>
            </w:pPr>
            <w:r/>
            <w:r>
              <w:rPr>
                <w:sz w:val="17"/>
              </w:rPr>
              <w:t>Sprint 1</w:t>
            </w:r>
          </w:p>
        </w:tc>
        <w:tc>
          <w:tcPr>
            <w:tcW w:type="dxa" w:w="3628"/>
          </w:tcPr>
          <w:p>
            <w:pPr>
              <w:spacing w:after="20"/>
            </w:pPr>
            <w:r/>
            <w:r>
              <w:rPr>
                <w:sz w:val="17"/>
              </w:rPr>
              <w:t>14 - 21 September 2026. Presentation milestone: SR1/SR2 evidence due by 28 September 2026.</w:t>
              <w:br/>
              <w:t>冲刺1计划窗口：2026年9月14日-21日。演示汇报里程碑：SR1/SR2 evidence due by 28 September 2026（SR1/SR2证据须在2026年9月28日前完成）。</w:t>
            </w:r>
          </w:p>
        </w:tc>
        <w:tc>
          <w:tcPr>
            <w:tcW w:type="dxa" w:w="1814"/>
          </w:tcPr>
          <w:p>
            <w:pPr>
              <w:spacing w:after="20"/>
              <w:jc w:val="right"/>
            </w:pPr>
            <w:r/>
            <w:r>
              <w:rPr>
                <w:sz w:val="17"/>
              </w:rPr>
              <w:t>17</w:t>
            </w:r>
          </w:p>
        </w:tc>
        <w:tc>
          <w:tcPr>
            <w:tcW w:type="dxa" w:w="2494"/>
          </w:tcPr>
          <w:p>
            <w:pPr>
              <w:spacing w:after="20"/>
              <w:jc w:val="right"/>
            </w:pPr>
            <w:r/>
            <w:r>
              <w:rPr>
                <w:sz w:val="17"/>
              </w:rPr>
              <w:t>128 h</w:t>
            </w:r>
          </w:p>
        </w:tc>
      </w:tr>
      <w:tr>
        <w:trPr>
          <w:cantSplit w:val="true"/>
        </w:trPr>
        <w:tc>
          <w:tcPr>
            <w:tcW w:type="dxa" w:w="1701"/>
            <w:shd w:val="clear" w:color="auto" w:fill="EEF2F8"/>
          </w:tcPr>
          <w:p>
            <w:pPr>
              <w:spacing w:after="20"/>
            </w:pPr>
            <w:r/>
            <w:r>
              <w:rPr>
                <w:sz w:val="17"/>
              </w:rPr>
              <w:t>Sprint 2</w:t>
            </w:r>
          </w:p>
        </w:tc>
        <w:tc>
          <w:tcPr>
            <w:tcW w:type="dxa" w:w="3628"/>
            <w:shd w:val="clear" w:color="auto" w:fill="EEF2F8"/>
          </w:tcPr>
          <w:p>
            <w:pPr>
              <w:spacing w:after="20"/>
            </w:pPr>
            <w:r/>
            <w:r>
              <w:rPr>
                <w:sz w:val="17"/>
              </w:rPr>
              <w:t>22 - 28 September 2026 | Capacity: 4 people × 5 days × 4 h = 80 h nominal; 128 h task plan (execution re-estimates).</w:t>
              <w:br/>
              <w:t>冲刺2计划窗口：2026年9月22日-28日｜名义容量：4人×5天×4小时=80h；任务计划128h（按执行层重新估算）。</w:t>
            </w:r>
          </w:p>
        </w:tc>
        <w:tc>
          <w:tcPr>
            <w:tcW w:type="dxa" w:w="1814"/>
            <w:shd w:val="clear" w:color="auto" w:fill="EEF2F8"/>
          </w:tcPr>
          <w:p>
            <w:pPr>
              <w:spacing w:after="20"/>
              <w:jc w:val="right"/>
            </w:pPr>
            <w:r/>
            <w:r>
              <w:rPr>
                <w:sz w:val="17"/>
              </w:rPr>
              <w:t>18</w:t>
            </w:r>
          </w:p>
        </w:tc>
        <w:tc>
          <w:tcPr>
            <w:tcW w:type="dxa" w:w="2494"/>
            <w:shd w:val="clear" w:color="auto" w:fill="EEF2F8"/>
          </w:tcPr>
          <w:p>
            <w:pPr>
              <w:spacing w:after="20"/>
              <w:jc w:val="right"/>
            </w:pPr>
            <w:r/>
            <w:r>
              <w:rPr>
                <w:sz w:val="17"/>
              </w:rPr>
              <w:t>128 h</w:t>
            </w:r>
          </w:p>
        </w:tc>
      </w:tr>
      <w:tr>
        <w:trPr>
          <w:cantSplit w:val="true"/>
        </w:trPr>
        <w:tc>
          <w:tcPr>
            <w:tcW w:type="dxa" w:w="1701"/>
          </w:tcPr>
          <w:p>
            <w:pPr>
              <w:spacing w:after="20"/>
            </w:pPr>
            <w:r/>
            <w:r>
              <w:rPr>
                <w:sz w:val="17"/>
              </w:rPr>
              <w:t>Sprint 3</w:t>
            </w:r>
          </w:p>
        </w:tc>
        <w:tc>
          <w:tcPr>
            <w:tcW w:type="dxa" w:w="3628"/>
          </w:tcPr>
          <w:p>
            <w:pPr>
              <w:spacing w:after="20"/>
            </w:pPr>
            <w:r/>
            <w:r>
              <w:rPr>
                <w:sz w:val="17"/>
              </w:rPr>
              <w:t>13 - 19 October 2026  |  Capacity: 4 people × 5 days × 4 h = 80 h nominal; 116 h planned</w:t>
            </w:r>
          </w:p>
        </w:tc>
        <w:tc>
          <w:tcPr>
            <w:tcW w:type="dxa" w:w="1814"/>
          </w:tcPr>
          <w:p>
            <w:pPr>
              <w:spacing w:after="20"/>
              <w:jc w:val="right"/>
            </w:pPr>
            <w:r/>
            <w:r>
              <w:rPr>
                <w:sz w:val="17"/>
              </w:rPr>
              <w:t>25</w:t>
            </w:r>
          </w:p>
        </w:tc>
        <w:tc>
          <w:tcPr>
            <w:tcW w:type="dxa" w:w="2494"/>
          </w:tcPr>
          <w:p>
            <w:pPr>
              <w:spacing w:after="20"/>
              <w:jc w:val="right"/>
            </w:pPr>
            <w:r/>
            <w:r>
              <w:rPr>
                <w:sz w:val="17"/>
              </w:rPr>
              <w:t>154 h</w:t>
            </w:r>
          </w:p>
        </w:tc>
      </w:tr>
      <w:tr>
        <w:trPr>
          <w:cantSplit w:val="true"/>
        </w:trPr>
        <w:tc>
          <w:tcPr>
            <w:tcW w:type="dxa" w:w="1701"/>
            <w:shd w:val="clear" w:color="auto" w:fill="EEF2F8"/>
          </w:tcPr>
          <w:p>
            <w:pPr>
              <w:spacing w:after="20"/>
            </w:pPr>
            <w:r/>
            <w:r>
              <w:rPr>
                <w:sz w:val="17"/>
              </w:rPr>
              <w:t>Sprint 4</w:t>
            </w:r>
          </w:p>
        </w:tc>
        <w:tc>
          <w:tcPr>
            <w:tcW w:type="dxa" w:w="3628"/>
            <w:shd w:val="clear" w:color="auto" w:fill="EEF2F8"/>
          </w:tcPr>
          <w:p>
            <w:pPr>
              <w:spacing w:after="20"/>
            </w:pPr>
            <w:r/>
            <w:r>
              <w:rPr>
                <w:sz w:val="17"/>
              </w:rPr>
              <w:t>20 - 22 October 2026  |  Capacity: 4 people × 3 days × 4 h = 48 h nominal; 80 h planned</w:t>
            </w:r>
          </w:p>
        </w:tc>
        <w:tc>
          <w:tcPr>
            <w:tcW w:type="dxa" w:w="1814"/>
            <w:shd w:val="clear" w:color="auto" w:fill="EEF2F8"/>
          </w:tcPr>
          <w:p>
            <w:pPr>
              <w:spacing w:after="20"/>
              <w:jc w:val="right"/>
            </w:pPr>
            <w:r/>
            <w:r>
              <w:rPr>
                <w:sz w:val="17"/>
              </w:rPr>
              <w:t>24</w:t>
            </w:r>
          </w:p>
        </w:tc>
        <w:tc>
          <w:tcPr>
            <w:tcW w:type="dxa" w:w="2494"/>
            <w:shd w:val="clear" w:color="auto" w:fill="EEF2F8"/>
          </w:tcPr>
          <w:p>
            <w:pPr>
              <w:spacing w:after="20"/>
              <w:jc w:val="right"/>
            </w:pPr>
            <w:r/>
            <w:r>
              <w:rPr>
                <w:sz w:val="17"/>
              </w:rPr>
              <w:t>80 h</w:t>
            </w:r>
          </w:p>
        </w:tc>
      </w:tr>
    </w:tbl>
    <w:p>
      <w:pPr>
        <w:spacing w:after="40"/>
      </w:pPr>
    </w:p>
    <w:p>
      <w:pPr>
        <w:keepNext/>
        <w:spacing w:before="40" w:after="40"/>
      </w:pPr>
      <w:r>
        <w:rPr>
          <w:b/>
          <w:color w:val="595959"/>
          <w:sz w:val="17"/>
        </w:rPr>
        <w:t>Table 18. Sprint windows and estimates, read from the workbook. The sum is the Est. Hours column of the selected items, not a capacity statement.</w:t>
      </w:r>
    </w:p>
    <w:p>
      <w:r>
        <w:rPr>
          <w:b w:val="0"/>
          <w:i w:val="0"/>
        </w:rPr>
        <w:t>The first two sprints are the ones marked for this assessment. Sprint 1 established the baseline — scope, backlog, repository, an initial BPMN increment and the first forms — and Sprint 2 integrated the operational model with the workers and the forms, which is the increment the second sprint review assesses.</w:t>
      </w:r>
    </w:p>
    <w:tbl>
      <w:tblPr>
        <w:tblW w:type="auto" w:w="0"/>
        <w:jc w:val="center"/>
        <w:tblLook w:firstColumn="1" w:firstRow="1" w:lastColumn="0" w:lastRow="0" w:noHBand="0" w:noVBand="1" w:val="04A0"/>
        <w:tblLayout w:type="autofit"/>
        <w:tblCellMar>
          <w:top w:w="70" w:type="dxa"/>
          <w:left w:w="110" w:type="dxa"/>
          <w:bottom w:w="70" w:type="dxa"/>
          <w:right w:w="110" w:type="dxa"/>
        </w:tblCellMar>
      </w:tblPr>
      <w:tblGrid>
        <w:gridCol w:w="9638"/>
      </w:tblGrid>
      <w:tr>
        <w:tc>
          <w:tcPr>
            <w:tcW w:type="dxa" w:w="9638"/>
            <w:shd w:val="clear" w:color="auto" w:fill="FFF4E5"/>
          </w:tcPr>
          <w:p>
            <w:r/>
            <w:r>
              <w:rPr>
                <w:sz w:val="18"/>
              </w:rPr>
              <w:t>Two marked activities fall in each sprint: one standup and one sprint review. Section 5 holds the records. The sprint reviews were marked against the increment available on the day, so later improvements are recorded in the backlog rather than written back into an earlier review.</w:t>
            </w:r>
          </w:p>
        </w:tc>
      </w:tr>
    </w:tbl>
    <w:p>
      <w:pPr>
        <w:spacing w:after="40"/>
      </w:pPr>
    </w:p>
    <w:p>
      <w:pPr>
        <w:pStyle w:val="Heading2"/>
      </w:pPr>
      <w:r>
        <w:t>4.3  Estimating, capacity and how the plan met reality</w:t>
      </w:r>
    </w:p>
    <w:p>
      <w:r>
        <w:rPr>
          <w:b w:val="0"/>
          <w:i w:val="0"/>
        </w:rPr>
        <w:t>We planned 128 hours in each of the two marked sprints: 17 items in Sprint 1 and 18 in Sprint 2, summed from the Est. Hours column of the sprint backlogs. Nominal capacity was 80 hours per sprint on the assumption we used throughout the project, four people at four hours a day over five working days. Both sprints were therefore planned at around 160% of the hours that existed, and both were delivered by using the last two days of the sprint on integration rather than on new work. The plan was not wrong about what needed doing; it was wrong about how much of it four people could do in a week.</w:t>
      </w:r>
    </w:p>
    <w:p>
      <w:r>
        <w:rPr>
          <w:b w:val="0"/>
          <w:i w:val="0"/>
        </w:rPr>
        <w:t>Two things were underestimated, and neither of them was the modelling. The first was the merge. Three files written at different times on two execution platforms had duplicate element identifiers, pools pointing at the wrong process, empty lanes and five gateways with no default flow. We had estimated the merge as "put them together"; it was really a rebuild, and the audit behind it produced sixteen defect categories before a single instance could run. The second was the distance between "the model deploys" and "the model runs". Three XSD sequence violations and the form-binding defect only appeared once an instance started, so a task we thought was finished at mid-sprint was not finished until the last day.</w:t>
      </w:r>
    </w:p>
    <w:p>
      <w:r>
        <w:rPr>
          <w:b w:val="0"/>
          <w:i w:val="0"/>
        </w:rPr>
        <w:t>What we estimated well. Each form is small and bounded, so the form work was predictable once the inventory existed. The acceptance harness was written before the exception paths were specified, which made each new case cheap to add: eighteen cases cost far less than the first three, because the polling loop and the expectation model were already there. Documentation was estimated badly in both directions, first as nothing and then as everything.</w:t>
      </w:r>
    </w:p>
    <w:p>
      <w:r>
        <w:rPr>
          <w:b w:val="0"/>
          <w:i w:val="0"/>
        </w:rPr>
        <w:t>If we planned again, the merge would be its own backlog item with its own owner and an estimate, the deployment rehearsal would sit at the middle of the sprint rather than at the end, and the forms would be generated from a frozen model instead of being written in parallel with a model that kept changing the task list underneath them.</w:t>
      </w:r>
    </w:p>
    <w:p>
      <w:pPr>
        <w:pStyle w:val="Heading2"/>
      </w:pPr>
      <w:r>
        <w:t>4.4  Risks, dependencies and contingency</w:t>
      </w:r>
    </w:p>
    <w:p>
      <w:r>
        <w:rPr>
          <w:b w:val="0"/>
          <w:i w:val="0"/>
        </w:rPr>
        <w:t>The risk register is the Risks &amp; Assumptions sheet of the workbook. The table below reproduces its columns so the register can be read alongside this document, and the rows are reproduced from the sheet.</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680"/>
        <w:gridCol w:w="1077"/>
        <w:gridCol w:w="2948"/>
        <w:gridCol w:w="850"/>
        <w:gridCol w:w="850"/>
        <w:gridCol w:w="2438"/>
        <w:gridCol w:w="793"/>
      </w:tblGrid>
      <w:tr>
        <w:trPr>
          <w:tblHeader w:val="true"/>
        </w:trPr>
        <w:tc>
          <w:tcPr>
            <w:tcW w:type="dxa" w:w="680"/>
            <w:shd w:val="clear" w:color="auto" w:fill="1F3864"/>
          </w:tcPr>
          <w:p>
            <w:pPr>
              <w:spacing w:after="20"/>
            </w:pPr>
            <w:r/>
            <w:r>
              <w:rPr>
                <w:b/>
                <w:color w:val="FFFFFF"/>
                <w:sz w:val="16"/>
              </w:rPr>
              <w:t>ID</w:t>
            </w:r>
          </w:p>
        </w:tc>
        <w:tc>
          <w:tcPr>
            <w:tcW w:type="dxa" w:w="1077"/>
            <w:shd w:val="clear" w:color="auto" w:fill="1F3864"/>
          </w:tcPr>
          <w:p>
            <w:pPr>
              <w:spacing w:after="20"/>
            </w:pPr>
            <w:r/>
            <w:r>
              <w:rPr>
                <w:b/>
                <w:color w:val="FFFFFF"/>
                <w:sz w:val="16"/>
              </w:rPr>
              <w:t>Type</w:t>
            </w:r>
          </w:p>
        </w:tc>
        <w:tc>
          <w:tcPr>
            <w:tcW w:type="dxa" w:w="2948"/>
            <w:shd w:val="clear" w:color="auto" w:fill="1F3864"/>
          </w:tcPr>
          <w:p>
            <w:pPr>
              <w:spacing w:after="20"/>
            </w:pPr>
            <w:r/>
            <w:r>
              <w:rPr>
                <w:b/>
                <w:color w:val="FFFFFF"/>
                <w:sz w:val="16"/>
              </w:rPr>
              <w:t>Risk</w:t>
            </w:r>
          </w:p>
        </w:tc>
        <w:tc>
          <w:tcPr>
            <w:tcW w:type="dxa" w:w="850"/>
            <w:shd w:val="clear" w:color="auto" w:fill="1F3864"/>
          </w:tcPr>
          <w:p>
            <w:pPr>
              <w:spacing w:after="20"/>
            </w:pPr>
            <w:r/>
            <w:r>
              <w:rPr>
                <w:b/>
                <w:color w:val="FFFFFF"/>
                <w:sz w:val="16"/>
              </w:rPr>
              <w:t>Chance</w:t>
            </w:r>
          </w:p>
        </w:tc>
        <w:tc>
          <w:tcPr>
            <w:tcW w:type="dxa" w:w="850"/>
            <w:shd w:val="clear" w:color="auto" w:fill="1F3864"/>
          </w:tcPr>
          <w:p>
            <w:pPr>
              <w:spacing w:after="20"/>
            </w:pPr>
            <w:r/>
            <w:r>
              <w:rPr>
                <w:b/>
                <w:color w:val="FFFFFF"/>
                <w:sz w:val="16"/>
              </w:rPr>
              <w:t>Effect</w:t>
            </w:r>
          </w:p>
        </w:tc>
        <w:tc>
          <w:tcPr>
            <w:tcW w:type="dxa" w:w="2438"/>
            <w:shd w:val="clear" w:color="auto" w:fill="1F3864"/>
          </w:tcPr>
          <w:p>
            <w:pPr>
              <w:spacing w:after="20"/>
            </w:pPr>
            <w:r/>
            <w:r>
              <w:rPr>
                <w:b/>
                <w:color w:val="FFFFFF"/>
                <w:sz w:val="16"/>
              </w:rPr>
              <w:t>Response</w:t>
            </w:r>
          </w:p>
        </w:tc>
        <w:tc>
          <w:tcPr>
            <w:tcW w:type="dxa" w:w="794"/>
            <w:shd w:val="clear" w:color="auto" w:fill="1F3864"/>
          </w:tcPr>
          <w:p>
            <w:pPr>
              <w:spacing w:after="20"/>
            </w:pPr>
            <w:r/>
            <w:r>
              <w:rPr>
                <w:b/>
                <w:color w:val="FFFFFF"/>
                <w:sz w:val="16"/>
              </w:rPr>
              <w:t>Owner</w:t>
            </w:r>
          </w:p>
        </w:tc>
      </w:tr>
      <w:tr>
        <w:trPr>
          <w:cantSplit w:val="true"/>
        </w:trPr>
        <w:tc>
          <w:tcPr>
            <w:tcW w:type="dxa" w:w="680"/>
          </w:tcPr>
          <w:p>
            <w:pPr>
              <w:spacing w:after="20"/>
            </w:pPr>
            <w:r>
              <w:t xml:space="preserve">R-01</w:t>
            </w:r>
          </w:p>
        </w:tc>
        <w:tc>
          <w:tcPr>
            <w:tcW w:type="dxa" w:w="1077"/>
          </w:tcPr>
          <w:p>
            <w:pPr>
              <w:spacing w:after="20"/>
            </w:pPr>
            <w:r>
              <w:t xml:space="preserve">Technical</w:t>
            </w:r>
          </w:p>
        </w:tc>
        <w:tc>
          <w:tcPr>
            <w:tcW w:type="dxa" w:w="2948"/>
          </w:tcPr>
          <w:p>
            <w:pPr>
              <w:spacing w:after="20"/>
            </w:pPr>
            <w:r>
              <w:t xml:space="preserve">It is hard to link Camunda with outside services, so the working model may be late</w:t>
            </w:r>
          </w:p>
        </w:tc>
        <w:tc>
          <w:tcPr>
            <w:tcW w:type="dxa" w:w="850"/>
          </w:tcPr>
          <w:p>
            <w:pPr>
              <w:spacing w:after="20"/>
            </w:pPr>
            <w:r>
              <w:t xml:space="preserve">High</w:t>
            </w:r>
          </w:p>
        </w:tc>
        <w:tc>
          <w:tcPr>
            <w:tcW w:type="dxa" w:w="850"/>
          </w:tcPr>
          <w:p>
            <w:pPr>
              <w:spacing w:after="20"/>
            </w:pPr>
            <w:r>
              <w:t xml:space="preserve">High</w:t>
            </w:r>
          </w:p>
        </w:tc>
        <w:tc>
          <w:tcPr>
            <w:tcW w:type="dxa" w:w="2438"/>
          </w:tcPr>
          <w:p>
            <w:pPr>
              <w:spacing w:after="20"/>
            </w:pPr>
            <w:r>
              <w:t xml:space="preserve">Build one small working flow early; make fake outside services (PB-26); max and finn work together on the link-up; tell the team about problems at standups</w:t>
            </w:r>
          </w:p>
        </w:tc>
        <w:tc>
          <w:tcPr>
            <w:tcW w:type="dxa" w:w="794"/>
          </w:tcPr>
          <w:p>
            <w:pPr>
              <w:spacing w:after="20"/>
            </w:pPr>
            <w:r>
              <w:t xml:space="preserve">max/finn</w:t>
            </w:r>
          </w:p>
        </w:tc>
      </w:tr>
      <w:tr>
        <w:trPr>
          <w:cantSplit w:val="true"/>
        </w:trPr>
        <w:tc>
          <w:tcPr>
            <w:tcW w:type="dxa" w:w="680"/>
          </w:tcPr>
          <w:p>
            <w:pPr>
              <w:spacing w:after="20"/>
            </w:pPr>
            <w:r>
              <w:t xml:space="preserve">R-02</w:t>
            </w:r>
          </w:p>
        </w:tc>
        <w:tc>
          <w:tcPr>
            <w:tcW w:type="dxa" w:w="1077"/>
          </w:tcPr>
          <w:p>
            <w:pPr>
              <w:spacing w:after="20"/>
            </w:pPr>
            <w:r>
              <w:t xml:space="preserve">Technical</w:t>
            </w:r>
          </w:p>
        </w:tc>
        <w:tc>
          <w:tcPr>
            <w:tcW w:type="dxa" w:w="2948"/>
          </w:tcPr>
          <w:p>
            <w:pPr>
              <w:spacing w:after="20"/>
            </w:pPr>
            <w:r>
              <w:t xml:space="preserve">Payment and funding flows have many special cases (card declined, cancelled, double payment, messages fail)</w:t>
            </w:r>
          </w:p>
        </w:tc>
        <w:tc>
          <w:tcPr>
            <w:tcW w:type="dxa" w:w="850"/>
          </w:tcPr>
          <w:p>
            <w:pPr>
              <w:spacing w:after="20"/>
            </w:pPr>
            <w:r>
              <w:t xml:space="preserve">Medium</w:t>
            </w:r>
          </w:p>
        </w:tc>
        <w:tc>
          <w:tcPr>
            <w:tcW w:type="dxa" w:w="850"/>
          </w:tcPr>
          <w:p>
            <w:pPr>
              <w:spacing w:after="20"/>
            </w:pPr>
            <w:r>
              <w:t xml:space="preserve">High</w:t>
            </w:r>
          </w:p>
        </w:tc>
        <w:tc>
          <w:tcPr>
            <w:tcW w:type="dxa" w:w="2438"/>
          </w:tcPr>
          <w:p>
            <w:pPr>
              <w:spacing w:after="20"/>
            </w:pPr>
            <w:r>
              <w:t xml:space="preserve">Make a special-case table early (PB-20); write tests before code; save how we check problems in the model and tests</w:t>
            </w:r>
          </w:p>
        </w:tc>
        <w:tc>
          <w:tcPr>
            <w:tcW w:type="dxa" w:w="794"/>
          </w:tcPr>
          <w:p>
            <w:pPr>
              <w:spacing w:after="20"/>
            </w:pPr>
            <w:r>
              <w:t xml:space="preserve">peter/finn</w:t>
            </w:r>
          </w:p>
        </w:tc>
      </w:tr>
      <w:tr>
        <w:trPr>
          <w:cantSplit w:val="true"/>
        </w:trPr>
        <w:tc>
          <w:tcPr>
            <w:tcW w:type="dxa" w:w="680"/>
          </w:tcPr>
          <w:p>
            <w:pPr>
              <w:spacing w:after="20"/>
            </w:pPr>
            <w:r>
              <w:t xml:space="preserve">R-03</w:t>
            </w:r>
          </w:p>
        </w:tc>
        <w:tc>
          <w:tcPr>
            <w:tcW w:type="dxa" w:w="1077"/>
          </w:tcPr>
          <w:p>
            <w:pPr>
              <w:spacing w:after="20"/>
            </w:pPr>
            <w:r>
              <w:t xml:space="preserve">Time</w:t>
            </w:r>
          </w:p>
        </w:tc>
        <w:tc>
          <w:tcPr>
            <w:tcW w:type="dxa" w:w="2948"/>
          </w:tcPr>
          <w:p>
            <w:pPr>
              <w:spacing w:after="20"/>
            </w:pPr>
            <w:r>
              <w:t xml:space="preserve">Two units (UFCEP4-0-3 and UFCEP6-0-3) run at the same time and the hand-in dates are close</w:t>
            </w:r>
          </w:p>
        </w:tc>
        <w:tc>
          <w:tcPr>
            <w:tcW w:type="dxa" w:w="850"/>
          </w:tcPr>
          <w:p>
            <w:pPr>
              <w:spacing w:after="20"/>
            </w:pPr>
            <w:r>
              <w:t xml:space="preserve">High</w:t>
            </w:r>
          </w:p>
        </w:tc>
        <w:tc>
          <w:tcPr>
            <w:tcW w:type="dxa" w:w="850"/>
          </w:tcPr>
          <w:p>
            <w:pPr>
              <w:spacing w:after="20"/>
            </w:pPr>
            <w:r>
              <w:t xml:space="preserve">High</w:t>
            </w:r>
          </w:p>
        </w:tc>
        <w:tc>
          <w:tcPr>
            <w:tcW w:type="dxa" w:w="2438"/>
          </w:tcPr>
          <w:p>
            <w:pPr>
              <w:spacing w:after="20"/>
            </w:pPr>
            <w:r>
              <w:t xml:space="preserve">One Backlog with shared milestones; put work together every week; always do Must tasks first</w:t>
            </w:r>
          </w:p>
        </w:tc>
        <w:tc>
          <w:tcPr>
            <w:tcW w:type="dxa" w:w="794"/>
          </w:tcPr>
          <w:p>
            <w:pPr>
              <w:spacing w:after="20"/>
            </w:pPr>
            <w:r>
              <w:t xml:space="preserve">henry</w:t>
            </w:r>
          </w:p>
        </w:tc>
      </w:tr>
      <w:tr>
        <w:trPr>
          <w:cantSplit w:val="true"/>
        </w:trPr>
        <w:tc>
          <w:tcPr>
            <w:tcW w:type="dxa" w:w="680"/>
          </w:tcPr>
          <w:p>
            <w:pPr>
              <w:spacing w:after="20"/>
            </w:pPr>
            <w:r>
              <w:t xml:space="preserve">R-04</w:t>
            </w:r>
          </w:p>
        </w:tc>
        <w:tc>
          <w:tcPr>
            <w:tcW w:type="dxa" w:w="1077"/>
          </w:tcPr>
          <w:p>
            <w:pPr>
              <w:spacing w:after="20"/>
            </w:pPr>
            <w:r>
              <w:t xml:space="preserve">Time</w:t>
            </w:r>
          </w:p>
        </w:tc>
        <w:tc>
          <w:tcPr>
            <w:tcW w:type="dxa" w:w="2948"/>
          </w:tcPr>
          <w:p>
            <w:pPr>
              <w:spacing w:after="20"/>
            </w:pPr>
            <w:r>
              <w:t xml:space="preserve">SR1 is due on 28 Sep 2026, so we have little time for the full BPMN and the acceptance criteria</w:t>
            </w:r>
          </w:p>
        </w:tc>
        <w:tc>
          <w:tcPr>
            <w:tcW w:type="dxa" w:w="850"/>
          </w:tcPr>
          <w:p>
            <w:pPr>
              <w:spacing w:after="20"/>
            </w:pPr>
            <w:r>
              <w:t xml:space="preserve">Medium</w:t>
            </w:r>
          </w:p>
        </w:tc>
        <w:tc>
          <w:tcPr>
            <w:tcW w:type="dxa" w:w="850"/>
          </w:tcPr>
          <w:p>
            <w:pPr>
              <w:spacing w:after="20"/>
            </w:pPr>
            <w:r>
              <w:t xml:space="preserve">High</w:t>
            </w:r>
          </w:p>
        </w:tc>
        <w:tc>
          <w:tcPr>
            <w:tcW w:type="dxa" w:w="2438"/>
          </w:tcPr>
          <w:p>
            <w:pPr>
              <w:spacing w:after="20"/>
            </w:pPr>
            <w:r>
              <w:t xml:space="preserve">Keep Sprint 1 small; write first criteria early and make them better in Sprint 2; split tasks into small parts</w:t>
            </w:r>
          </w:p>
        </w:tc>
        <w:tc>
          <w:tcPr>
            <w:tcW w:type="dxa" w:w="794"/>
          </w:tcPr>
          <w:p>
            <w:pPr>
              <w:spacing w:after="20"/>
            </w:pPr>
            <w:r>
              <w:t xml:space="preserve">henry/max</w:t>
            </w:r>
          </w:p>
        </w:tc>
      </w:tr>
      <w:tr>
        <w:trPr>
          <w:cantSplit w:val="true"/>
        </w:trPr>
        <w:tc>
          <w:tcPr>
            <w:tcW w:type="dxa" w:w="680"/>
          </w:tcPr>
          <w:p>
            <w:pPr>
              <w:spacing w:after="20"/>
            </w:pPr>
            <w:r>
              <w:t xml:space="preserve">R-05</w:t>
            </w:r>
          </w:p>
        </w:tc>
        <w:tc>
          <w:tcPr>
            <w:tcW w:type="dxa" w:w="1077"/>
          </w:tcPr>
          <w:p>
            <w:pPr>
              <w:spacing w:after="20"/>
            </w:pPr>
            <w:r>
              <w:t xml:space="preserve">People</w:t>
            </w:r>
          </w:p>
        </w:tc>
        <w:tc>
          <w:tcPr>
            <w:tcW w:type="dxa" w:w="2948"/>
          </w:tcPr>
          <w:p>
            <w:pPr>
              <w:spacing w:after="20"/>
            </w:pPr>
            <w:r>
              <w:t xml:space="preserve">A team member is away or late with their work</w:t>
            </w:r>
          </w:p>
        </w:tc>
        <w:tc>
          <w:tcPr>
            <w:tcW w:type="dxa" w:w="850"/>
          </w:tcPr>
          <w:p>
            <w:pPr>
              <w:spacing w:after="20"/>
            </w:pPr>
            <w:r>
              <w:t xml:space="preserve">Medium</w:t>
            </w:r>
          </w:p>
        </w:tc>
        <w:tc>
          <w:tcPr>
            <w:tcW w:type="dxa" w:w="850"/>
          </w:tcPr>
          <w:p>
            <w:pPr>
              <w:spacing w:after="20"/>
            </w:pPr>
            <w:r>
              <w:t xml:space="preserve">Medium</w:t>
            </w:r>
          </w:p>
        </w:tc>
        <w:tc>
          <w:tcPr>
            <w:tcW w:type="dxa" w:w="2438"/>
          </w:tcPr>
          <w:p>
            <w:pPr>
              <w:spacing w:after="20"/>
            </w:pPr>
            <w:r>
              <w:t xml:space="preserve">Every task has a first and second owner; tell the team about problems at standups; keep take-over notes on the task board</w:t>
            </w:r>
          </w:p>
        </w:tc>
        <w:tc>
          <w:tcPr>
            <w:tcW w:type="dxa" w:w="794"/>
          </w:tcPr>
          <w:p>
            <w:pPr>
              <w:spacing w:after="20"/>
            </w:pPr>
            <w:r>
              <w:t xml:space="preserve">all</w:t>
            </w:r>
          </w:p>
        </w:tc>
      </w:tr>
      <w:tr>
        <w:trPr>
          <w:cantSplit w:val="true"/>
        </w:trPr>
        <w:tc>
          <w:tcPr>
            <w:tcW w:type="dxa" w:w="680"/>
          </w:tcPr>
          <w:p>
            <w:pPr>
              <w:spacing w:after="20"/>
            </w:pPr>
            <w:r>
              <w:t xml:space="preserve">R-06</w:t>
            </w:r>
          </w:p>
        </w:tc>
        <w:tc>
          <w:tcPr>
            <w:tcW w:type="dxa" w:w="1077"/>
          </w:tcPr>
          <w:p>
            <w:pPr>
              <w:spacing w:after="20"/>
            </w:pPr>
            <w:r>
              <w:t xml:space="preserve">People</w:t>
            </w:r>
          </w:p>
        </w:tc>
        <w:tc>
          <w:tcPr>
            <w:tcW w:type="dxa" w:w="2948"/>
          </w:tcPr>
          <w:p>
            <w:pPr>
              <w:spacing w:after="20"/>
            </w:pPr>
            <w:r>
              <w:t xml:space="preserve">Some people do more work than others, so personal marks may not be fair</w:t>
            </w:r>
          </w:p>
        </w:tc>
        <w:tc>
          <w:tcPr>
            <w:tcW w:type="dxa" w:w="850"/>
          </w:tcPr>
          <w:p>
            <w:pPr>
              <w:spacing w:after="20"/>
            </w:pPr>
            <w:r>
              <w:t xml:space="preserve">Medium</w:t>
            </w:r>
          </w:p>
        </w:tc>
        <w:tc>
          <w:tcPr>
            <w:tcW w:type="dxa" w:w="850"/>
          </w:tcPr>
          <w:p>
            <w:pPr>
              <w:spacing w:after="20"/>
            </w:pPr>
            <w:r>
              <w:t xml:space="preserve">Medium</w:t>
            </w:r>
          </w:p>
        </w:tc>
        <w:tc>
          <w:tcPr>
            <w:tcW w:type="dxa" w:w="2438"/>
          </w:tcPr>
          <w:p>
            <w:pPr>
              <w:spacing w:after="20"/>
            </w:pPr>
            <w:r>
              <w:t xml:space="preserve">Keep first/second owners on every task, document the planned SP distribution, and retain GitLab evidence. First-owner SP is specialist-heavy (max 66, peter 42, henry 39, finn 26), while named second-owner coverage is 33/27/48/57 SP.</w:t>
            </w:r>
          </w:p>
        </w:tc>
        <w:tc>
          <w:tcPr>
            <w:tcW w:type="dxa" w:w="794"/>
          </w:tcPr>
          <w:p>
            <w:pPr>
              <w:spacing w:after="20"/>
            </w:pPr>
            <w:r>
              <w:t xml:space="preserve">henry</w:t>
            </w:r>
          </w:p>
        </w:tc>
      </w:tr>
      <w:tr>
        <w:trPr>
          <w:cantSplit w:val="true"/>
        </w:trPr>
        <w:tc>
          <w:tcPr>
            <w:tcW w:type="dxa" w:w="680"/>
          </w:tcPr>
          <w:p>
            <w:pPr>
              <w:spacing w:after="20"/>
            </w:pPr>
            <w:r>
              <w:t xml:space="preserve">R-07</w:t>
            </w:r>
          </w:p>
        </w:tc>
        <w:tc>
          <w:tcPr>
            <w:tcW w:type="dxa" w:w="1077"/>
          </w:tcPr>
          <w:p>
            <w:pPr>
              <w:spacing w:after="20"/>
            </w:pPr>
            <w:r>
              <w:t xml:space="preserve">Scope</w:t>
            </w:r>
          </w:p>
        </w:tc>
        <w:tc>
          <w:tcPr>
            <w:tcW w:type="dxa" w:w="2948"/>
          </w:tcPr>
          <w:p>
            <w:pPr>
              <w:spacing w:after="20"/>
            </w:pPr>
            <w:r>
              <w:t xml:space="preserve">Some requirements are not clear (for example, the hospital has not agreed how to decide if a question is urgent)</w:t>
            </w:r>
          </w:p>
        </w:tc>
        <w:tc>
          <w:tcPr>
            <w:tcW w:type="dxa" w:w="850"/>
          </w:tcPr>
          <w:p>
            <w:pPr>
              <w:spacing w:after="20"/>
            </w:pPr>
            <w:r>
              <w:t xml:space="preserve">Medium</w:t>
            </w:r>
          </w:p>
        </w:tc>
        <w:tc>
          <w:tcPr>
            <w:tcW w:type="dxa" w:w="850"/>
          </w:tcPr>
          <w:p>
            <w:pPr>
              <w:spacing w:after="20"/>
            </w:pPr>
            <w:r>
              <w:t xml:space="preserve">Medium</w:t>
            </w:r>
          </w:p>
        </w:tc>
        <w:tc>
          <w:tcPr>
            <w:tcW w:type="dxa" w:w="2438"/>
          </w:tcPr>
          <w:p>
            <w:pPr>
              <w:spacing w:after="20"/>
            </w:pPr>
            <w:r>
              <w:t xml:space="preserve">Ask the tutors at standups and reviews; write down what we assume (see A-05); keep a list of open questions</w:t>
            </w:r>
          </w:p>
        </w:tc>
        <w:tc>
          <w:tcPr>
            <w:tcW w:type="dxa" w:w="794"/>
          </w:tcPr>
          <w:p>
            <w:pPr>
              <w:spacing w:after="20"/>
            </w:pPr>
            <w:r>
              <w:t xml:space="preserve">henry</w:t>
            </w:r>
          </w:p>
        </w:tc>
      </w:tr>
      <w:tr>
        <w:trPr>
          <w:cantSplit w:val="true"/>
        </w:trPr>
        <w:tc>
          <w:tcPr>
            <w:tcW w:type="dxa" w:w="680"/>
          </w:tcPr>
          <w:p>
            <w:pPr>
              <w:spacing w:after="20"/>
            </w:pPr>
            <w:r>
              <w:t xml:space="preserve">R-08</w:t>
            </w:r>
          </w:p>
        </w:tc>
        <w:tc>
          <w:tcPr>
            <w:tcW w:type="dxa" w:w="1077"/>
          </w:tcPr>
          <w:p>
            <w:pPr>
              <w:spacing w:after="20"/>
            </w:pPr>
            <w:r>
              <w:t xml:space="preserve">Rules</w:t>
            </w:r>
          </w:p>
        </w:tc>
        <w:tc>
          <w:tcPr>
            <w:tcW w:type="dxa" w:w="2948"/>
          </w:tcPr>
          <w:p>
            <w:pPr>
              <w:spacing w:after="20"/>
            </w:pPr>
            <w:r>
              <w:t xml:space="preserve">We must keep private patient data safe and keep audit records</w:t>
            </w:r>
          </w:p>
        </w:tc>
        <w:tc>
          <w:tcPr>
            <w:tcW w:type="dxa" w:w="850"/>
          </w:tcPr>
          <w:p>
            <w:pPr>
              <w:spacing w:after="20"/>
            </w:pPr>
            <w:r>
              <w:t xml:space="preserve">Medium</w:t>
            </w:r>
          </w:p>
        </w:tc>
        <w:tc>
          <w:tcPr>
            <w:tcW w:type="dxa" w:w="850"/>
          </w:tcPr>
          <w:p>
            <w:pPr>
              <w:spacing w:after="20"/>
            </w:pPr>
            <w:r>
              <w:t xml:space="preserve">High</w:t>
            </w:r>
          </w:p>
        </w:tc>
        <w:tc>
          <w:tcPr>
            <w:tcW w:type="dxa" w:w="2438"/>
          </w:tcPr>
          <w:p>
            <w:pPr>
              <w:spacing w:after="20"/>
            </w:pPr>
            <w:r>
              <w:t xml:space="preserve">Set access rules, audit records and only keep the data we need; run the non-functional tests (PB-30); keep money data small</w:t>
            </w:r>
          </w:p>
        </w:tc>
        <w:tc>
          <w:tcPr>
            <w:tcW w:type="dxa" w:w="794"/>
          </w:tcPr>
          <w:p>
            <w:pPr>
              <w:spacing w:after="20"/>
            </w:pPr>
            <w:r>
              <w:t xml:space="preserve">peter/finn</w:t>
            </w:r>
          </w:p>
        </w:tc>
      </w:tr>
    </w:tbl>
    <w:p>
      <w:pPr>
        <w:spacing w:after="40"/>
      </w:pPr>
    </w:p>
    <w:p>
      <w:r>
        <w:rPr>
          <w:b w:val="0"/>
          <w:i w:val="0"/>
        </w:rPr>
        <w:t>Three risks materialised, and they were the three we had recorded at sprint planning, which is either good risk management or a sign that we recorded the wrong risks. The first was the state of the Sprint 1 and 2 fragments. We knew they had been written at different times, but not that two of them used Zeebe and the third Camunda 7 attributes, or that element identifiers had been reused with different meanings across files. The response was to rebuild rather than patch, and the consequence was that the merge ate the first half of Sprint 2 instead of two days of it.</w:t>
      </w:r>
    </w:p>
    <w:p>
      <w:r>
        <w:rPr>
          <w:b w:val="0"/>
          <w:i w:val="0"/>
        </w:rPr>
        <w:t>The second was form binding. Our assumption was that a form is part of the model, because a user task names one and the Modeler shows it. It is not: the form is a separate artefact that has to be deployed, and the attribute that names it had been misspelt in a way the engine silently ignored, which is why a teammate deploying their own copy of the forms replaced every drop-down with an old text box without anything failing. The response was to deploy model and forms in one deployment and to check the binding in a test rather than by eye. The consequence was a day lost to FORM_NOT_FOUND on the first user task of every instance.</w:t>
      </w:r>
    </w:p>
    <w:p>
      <w:r>
        <w:rPr>
          <w:b w:val="0"/>
          <w:i w:val="0"/>
        </w:rPr>
        <w:t>The third was having a working cluster at the review. The contingency was to rehearse the run the day before and to keep the log, so that if the cluster refused to start we could present the recorded run rather than the room. We used the contingency twice, and the reason the acceptance evidence in this portfolio is a recorded run rather than a live one is that the environment is reproducible only while the cluster is up.</w:t>
      </w:r>
    </w:p>
    <w:p>
      <w:r>
        <w:rPr>
          <w:b w:val="0"/>
          <w:i w:val="0"/>
        </w:rPr>
        <w:t>One risk we chose not to take: the i* modelling sat outside the critical path by design, because it depends on nothing the operational model needs. That decision is why it could be done at the end without moving the release date.</w:t>
      </w:r>
    </w:p>
    <w:p>
      <w:pPr>
        <w:pStyle w:val="Heading2"/>
      </w:pPr>
      <w:r>
        <w:t>4.5  Test plan</w:t>
      </w:r>
    </w:p>
    <w:p>
      <w:pPr>
        <w:pStyle w:val="Heading3"/>
      </w:pPr>
      <w:r>
        <w:t>Objectives and scope</w:t>
      </w:r>
    </w:p>
    <w:p>
      <w:r>
        <w:rPr>
          <w:b w:val="0"/>
          <w:i w:val="0"/>
        </w:rPr>
        <w:t>The test plan has one question behind it: does the initial release behave as the case study requires on the paths the client will see at the demonstration, and does it fail in a way a person can act on when it does not? Testing therefore covers four levels — unit, contract, integration and system acceptance — and explicitly excludes performance, load, security and penetration testing, for which no target was agreed.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474"/>
        <w:gridCol w:w="3628"/>
        <w:gridCol w:w="3402"/>
        <w:gridCol w:w="1134"/>
      </w:tblGrid>
      <w:tr>
        <w:trPr>
          <w:tblHeader w:val="true"/>
        </w:trPr>
        <w:tc>
          <w:tcPr>
            <w:tcW w:type="dxa" w:w="1474"/>
            <w:shd w:val="clear" w:color="auto" w:fill="1F3864"/>
          </w:tcPr>
          <w:p>
            <w:pPr>
              <w:spacing w:after="20"/>
            </w:pPr>
            <w:r/>
            <w:r>
              <w:rPr>
                <w:b/>
                <w:color w:val="FFFFFF"/>
                <w:sz w:val="17"/>
              </w:rPr>
              <w:t>Level</w:t>
            </w:r>
          </w:p>
        </w:tc>
        <w:tc>
          <w:tcPr>
            <w:tcW w:type="dxa" w:w="3628"/>
            <w:shd w:val="clear" w:color="auto" w:fill="1F3864"/>
          </w:tcPr>
          <w:p>
            <w:pPr>
              <w:spacing w:after="20"/>
            </w:pPr>
            <w:r/>
            <w:r>
              <w:rPr>
                <w:b/>
                <w:color w:val="FFFFFF"/>
                <w:sz w:val="17"/>
              </w:rPr>
              <w:t>What it tests</w:t>
            </w:r>
          </w:p>
        </w:tc>
        <w:tc>
          <w:tcPr>
            <w:tcW w:type="dxa" w:w="3402"/>
            <w:shd w:val="clear" w:color="auto" w:fill="1F3864"/>
          </w:tcPr>
          <w:p>
            <w:pPr>
              <w:spacing w:after="20"/>
            </w:pPr>
            <w:r/>
            <w:r>
              <w:rPr>
                <w:b/>
                <w:color w:val="FFFFFF"/>
                <w:sz w:val="17"/>
              </w:rPr>
              <w:t>Harness</w:t>
            </w:r>
          </w:p>
        </w:tc>
        <w:tc>
          <w:tcPr>
            <w:tcW w:type="dxa" w:w="1134"/>
            <w:shd w:val="clear" w:color="auto" w:fill="1F3864"/>
          </w:tcPr>
          <w:p>
            <w:pPr>
              <w:spacing w:after="20"/>
            </w:pPr>
            <w:r/>
            <w:r>
              <w:rPr>
                <w:b/>
                <w:color w:val="FFFFFF"/>
                <w:sz w:val="17"/>
              </w:rPr>
              <w:t>Cases</w:t>
            </w:r>
          </w:p>
        </w:tc>
      </w:tr>
      <w:tr>
        <w:trPr>
          <w:cantSplit w:val="true"/>
        </w:trPr>
        <w:tc>
          <w:tcPr>
            <w:tcW w:type="dxa" w:w="1474"/>
          </w:tcPr>
          <w:p>
            <w:pPr>
              <w:spacing w:after="20"/>
            </w:pPr>
            <w:r/>
            <w:r>
              <w:rPr>
                <w:sz w:val="17"/>
              </w:rPr>
              <w:t>Unit</w:t>
            </w:r>
          </w:p>
        </w:tc>
        <w:tc>
          <w:tcPr>
            <w:tcW w:type="dxa" w:w="3628"/>
          </w:tcPr>
          <w:p>
            <w:pPr>
              <w:spacing w:after="20"/>
            </w:pPr>
            <w:r/>
            <w:r>
              <w:rPr>
                <w:sz w:val="17"/>
              </w:rPr>
              <w:t>worker logic: variables written, provider outcomes, invalid input, the store</w:t>
            </w:r>
          </w:p>
        </w:tc>
        <w:tc>
          <w:tcPr>
            <w:tcW w:type="dxa" w:w="3402"/>
          </w:tcPr>
          <w:p>
            <w:pPr>
              <w:spacing w:after="20"/>
            </w:pPr>
            <w:r/>
            <w:r>
              <w:rPr>
                <w:sz w:val="17"/>
              </w:rPr>
              <w:t>JUnit, `mvn test`, no engine and no network</w:t>
            </w:r>
          </w:p>
        </w:tc>
        <w:tc>
          <w:tcPr>
            <w:tcW w:type="dxa" w:w="1134"/>
          </w:tcPr>
          <w:p>
            <w:pPr>
              <w:spacing w:after="20"/>
              <w:jc w:val="right"/>
            </w:pPr>
            <w:r/>
            <w:r>
              <w:rPr>
                <w:sz w:val="17"/>
              </w:rPr>
              <w:t>41</w:t>
            </w:r>
          </w:p>
        </w:tc>
      </w:tr>
      <w:tr>
        <w:trPr>
          <w:cantSplit w:val="true"/>
        </w:trPr>
        <w:tc>
          <w:tcPr>
            <w:tcW w:type="dxa" w:w="1474"/>
            <w:shd w:val="clear" w:color="auto" w:fill="EEF2F8"/>
          </w:tcPr>
          <w:p>
            <w:pPr>
              <w:spacing w:after="20"/>
            </w:pPr>
            <w:r/>
            <w:r>
              <w:rPr>
                <w:sz w:val="17"/>
              </w:rPr>
              <w:t>Contract</w:t>
            </w:r>
          </w:p>
        </w:tc>
        <w:tc>
          <w:tcPr>
            <w:tcW w:type="dxa" w:w="3628"/>
            <w:shd w:val="clear" w:color="auto" w:fill="EEF2F8"/>
          </w:tcPr>
          <w:p>
            <w:pPr>
              <w:spacing w:after="20"/>
            </w:pPr>
            <w:r/>
            <w:r>
              <w:rPr>
                <w:sz w:val="17"/>
              </w:rPr>
              <w:t>that the variable a worker writes is the variable a gateway reads</w:t>
            </w:r>
          </w:p>
        </w:tc>
        <w:tc>
          <w:tcPr>
            <w:tcW w:type="dxa" w:w="3402"/>
            <w:shd w:val="clear" w:color="auto" w:fill="EEF2F8"/>
          </w:tcPr>
          <w:p>
            <w:pPr>
              <w:spacing w:after="20"/>
            </w:pPr>
            <w:r/>
            <w:r>
              <w:rPr>
                <w:sz w:val="17"/>
              </w:rPr>
              <w:t>WorkerContractTest, validate-contract.py</w:t>
            </w:r>
          </w:p>
        </w:tc>
        <w:tc>
          <w:tcPr>
            <w:tcW w:type="dxa" w:w="1134"/>
            <w:shd w:val="clear" w:color="auto" w:fill="EEF2F8"/>
          </w:tcPr>
          <w:p>
            <w:pPr>
              <w:spacing w:after="20"/>
              <w:jc w:val="right"/>
            </w:pPr>
            <w:r/>
            <w:r>
              <w:rPr>
                <w:sz w:val="17"/>
              </w:rPr>
              <w:t>16 + 1 script</w:t>
            </w:r>
          </w:p>
        </w:tc>
      </w:tr>
      <w:tr>
        <w:trPr>
          <w:cantSplit w:val="true"/>
        </w:trPr>
        <w:tc>
          <w:tcPr>
            <w:tcW w:type="dxa" w:w="1474"/>
          </w:tcPr>
          <w:p>
            <w:pPr>
              <w:spacing w:after="20"/>
            </w:pPr>
            <w:r/>
            <w:r>
              <w:rPr>
                <w:sz w:val="17"/>
              </w:rPr>
              <w:t>Integration</w:t>
            </w:r>
          </w:p>
        </w:tc>
        <w:tc>
          <w:tcPr>
            <w:tcW w:type="dxa" w:w="3628"/>
          </w:tcPr>
          <w:p>
            <w:pPr>
              <w:spacing w:after="20"/>
            </w:pPr>
            <w:r/>
            <w:r>
              <w:rPr>
                <w:sz w:val="17"/>
              </w:rPr>
              <w:t>the whole pathway driven by a real worker fleet; only human roles are played by the harness</w:t>
            </w:r>
          </w:p>
        </w:tc>
        <w:tc>
          <w:tcPr>
            <w:tcW w:type="dxa" w:w="3402"/>
          </w:tcPr>
          <w:p>
            <w:pPr>
              <w:spacing w:after="20"/>
            </w:pPr>
            <w:r/>
            <w:r>
              <w:rPr>
                <w:sz w:val="17"/>
              </w:rPr>
              <w:t>run-worker-demo.mjs / run-worker-scenarios.ps1</w:t>
            </w:r>
          </w:p>
        </w:tc>
        <w:tc>
          <w:tcPr>
            <w:tcW w:type="dxa" w:w="1134"/>
          </w:tcPr>
          <w:p>
            <w:pPr>
              <w:spacing w:after="20"/>
              <w:jc w:val="right"/>
            </w:pPr>
            <w:r/>
            <w:r>
              <w:rPr>
                <w:sz w:val="17"/>
              </w:rPr>
              <w:t>6</w:t>
            </w:r>
          </w:p>
        </w:tc>
      </w:tr>
      <w:tr>
        <w:trPr>
          <w:cantSplit w:val="true"/>
        </w:trPr>
        <w:tc>
          <w:tcPr>
            <w:tcW w:type="dxa" w:w="1474"/>
            <w:shd w:val="clear" w:color="auto" w:fill="EEF2F8"/>
          </w:tcPr>
          <w:p>
            <w:pPr>
              <w:spacing w:after="20"/>
            </w:pPr>
            <w:r/>
            <w:r>
              <w:rPr>
                <w:sz w:val="17"/>
              </w:rPr>
              <w:t>System acceptance</w:t>
            </w:r>
          </w:p>
        </w:tc>
        <w:tc>
          <w:tcPr>
            <w:tcW w:type="dxa" w:w="3628"/>
            <w:shd w:val="clear" w:color="auto" w:fill="EEF2F8"/>
          </w:tcPr>
          <w:p>
            <w:pPr>
              <w:spacing w:after="20"/>
            </w:pPr>
            <w:r/>
            <w:r>
              <w:rPr>
                <w:sz w:val="17"/>
              </w:rPr>
              <w:t>the deployed process against expected states, elements and variables</w:t>
            </w:r>
          </w:p>
        </w:tc>
        <w:tc>
          <w:tcPr>
            <w:tcW w:type="dxa" w:w="3402"/>
            <w:shd w:val="clear" w:color="auto" w:fill="EEF2F8"/>
          </w:tcPr>
          <w:p>
            <w:pPr>
              <w:spacing w:after="20"/>
            </w:pPr>
            <w:r/>
            <w:r>
              <w:rPr>
                <w:sz w:val="17"/>
              </w:rPr>
              <w:t>run-acceptance.mjs over the Orchestration Cluster API</w:t>
            </w:r>
          </w:p>
        </w:tc>
        <w:tc>
          <w:tcPr>
            <w:tcW w:type="dxa" w:w="1134"/>
            <w:shd w:val="clear" w:color="auto" w:fill="EEF2F8"/>
          </w:tcPr>
          <w:p>
            <w:pPr>
              <w:spacing w:after="20"/>
              <w:jc w:val="right"/>
            </w:pPr>
            <w:r/>
            <w:r>
              <w:rPr>
                <w:sz w:val="17"/>
              </w:rPr>
              <w:t>18</w:t>
            </w:r>
          </w:p>
        </w:tc>
      </w:tr>
      <w:tr>
        <w:trPr>
          <w:cantSplit w:val="true"/>
        </w:trPr>
        <w:tc>
          <w:tcPr>
            <w:tcW w:type="dxa" w:w="1474"/>
          </w:tcPr>
          <w:p>
            <w:pPr>
              <w:spacing w:after="20"/>
            </w:pPr>
            <w:r/>
            <w:r>
              <w:rPr>
                <w:sz w:val="17"/>
              </w:rPr>
              <w:t>Form</w:t>
            </w:r>
          </w:p>
        </w:tc>
        <w:tc>
          <w:tcPr>
            <w:tcW w:type="dxa" w:w="3628"/>
          </w:tcPr>
          <w:p>
            <w:pPr>
              <w:spacing w:after="20"/>
            </w:pPr>
            <w:r/>
            <w:r>
              <w:rPr>
                <w:sz w:val="17"/>
              </w:rPr>
              <w:t>parsing, bindings, control appropriateness, rendering</w:t>
            </w:r>
          </w:p>
        </w:tc>
        <w:tc>
          <w:tcPr>
            <w:tcW w:type="dxa" w:w="3402"/>
          </w:tcPr>
          <w:p>
            <w:pPr>
              <w:spacing w:after="20"/>
            </w:pPr>
            <w:r/>
            <w:r>
              <w:rPr>
                <w:sz w:val="17"/>
              </w:rPr>
              <w:t>validate-forms.py, validate-bindings.mjs, validate-form-controls.py, render-forms.mjs</w:t>
            </w:r>
          </w:p>
        </w:tc>
        <w:tc>
          <w:tcPr>
            <w:tcW w:type="dxa" w:w="1134"/>
          </w:tcPr>
          <w:p>
            <w:pPr>
              <w:spacing w:after="20"/>
              <w:jc w:val="right"/>
            </w:pPr>
            <w:r/>
            <w:r>
              <w:rPr>
                <w:sz w:val="17"/>
              </w:rPr>
              <w:t>4 scripts</w:t>
            </w:r>
          </w:p>
        </w:tc>
      </w:tr>
    </w:tbl>
    <w:p>
      <w:pPr>
        <w:spacing w:after="40"/>
      </w:pPr>
    </w:p>
    <w:p>
      <w:pPr>
        <w:keepNext/>
        <w:spacing w:before="40" w:after="40"/>
      </w:pPr>
      <w:r>
        <w:rPr>
          <w:b/>
          <w:color w:val="595959"/>
          <w:sz w:val="17"/>
        </w:rPr>
        <w:t>Table 19. Test levels. The full test plan, including preconditions, test data and pass conditions, is 05_Test_Evidence/Acceptance_Test_Plan.md.</w:t>
      </w:r>
    </w:p>
    <w:p>
      <w:pPr>
        <w:pStyle w:val="Heading3"/>
      </w:pPr>
      <w:r>
        <w:t>Environment and test data</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494"/>
        <w:gridCol w:w="7144"/>
      </w:tblGrid>
      <w:tr>
        <w:trPr>
          <w:tblHeader w:val="true"/>
        </w:trPr>
        <w:tc>
          <w:tcPr>
            <w:tcW w:type="dxa" w:w="2494"/>
            <w:shd w:val="clear" w:color="auto" w:fill="1F3864"/>
          </w:tcPr>
          <w:p>
            <w:pPr>
              <w:spacing w:after="20"/>
            </w:pPr>
            <w:r/>
            <w:r>
              <w:rPr>
                <w:b/>
                <w:color w:val="FFFFFF"/>
                <w:sz w:val="18"/>
              </w:rPr>
              <w:t>Item</w:t>
            </w:r>
          </w:p>
        </w:tc>
        <w:tc>
          <w:tcPr>
            <w:tcW w:type="dxa" w:w="7143"/>
            <w:shd w:val="clear" w:color="auto" w:fill="1F3864"/>
          </w:tcPr>
          <w:p>
            <w:pPr>
              <w:spacing w:after="20"/>
            </w:pPr>
            <w:r/>
            <w:r>
              <w:rPr>
                <w:b/>
                <w:color w:val="FFFFFF"/>
                <w:sz w:val="18"/>
              </w:rPr>
              <w:t>Detail</w:t>
            </w:r>
          </w:p>
        </w:tc>
      </w:tr>
      <w:tr>
        <w:trPr>
          <w:cantSplit w:val="true"/>
        </w:trPr>
        <w:tc>
          <w:tcPr>
            <w:tcW w:type="dxa" w:w="2494"/>
          </w:tcPr>
          <w:p>
            <w:pPr>
              <w:spacing w:after="20"/>
            </w:pPr>
            <w:r/>
            <w:r>
              <w:rPr>
                <w:sz w:val="18"/>
              </w:rPr>
              <w:t>Runtime</w:t>
            </w:r>
          </w:p>
        </w:tc>
        <w:tc>
          <w:tcPr>
            <w:tcW w:type="dxa" w:w="7143"/>
          </w:tcPr>
          <w:p>
            <w:pPr>
              <w:spacing w:after="20"/>
            </w:pPr>
            <w:r/>
            <w:r>
              <w:rPr>
                <w:sz w:val="18"/>
              </w:rPr>
              <w:t>Camunda 8 Run (c8run) 8.10.0-alpha5, Windows x86_64</w:t>
            </w:r>
          </w:p>
        </w:tc>
      </w:tr>
      <w:tr>
        <w:trPr>
          <w:cantSplit w:val="true"/>
        </w:trPr>
        <w:tc>
          <w:tcPr>
            <w:tcW w:type="dxa" w:w="2494"/>
            <w:shd w:val="clear" w:color="auto" w:fill="EEF2F8"/>
          </w:tcPr>
          <w:p>
            <w:pPr>
              <w:spacing w:after="20"/>
            </w:pPr>
            <w:r/>
            <w:r>
              <w:rPr>
                <w:sz w:val="18"/>
              </w:rPr>
              <w:t>Secondary storage</w:t>
            </w:r>
          </w:p>
        </w:tc>
        <w:tc>
          <w:tcPr>
            <w:tcW w:type="dxa" w:w="7143"/>
            <w:shd w:val="clear" w:color="auto" w:fill="EEF2F8"/>
          </w:tcPr>
          <w:p>
            <w:pPr>
              <w:spacing w:after="20"/>
            </w:pPr>
            <w:r/>
            <w:r>
              <w:rPr>
                <w:sz w:val="18"/>
              </w:rPr>
              <w:t>RDBMS</w:t>
            </w:r>
          </w:p>
        </w:tc>
      </w:tr>
      <w:tr>
        <w:trPr>
          <w:cantSplit w:val="true"/>
        </w:trPr>
        <w:tc>
          <w:tcPr>
            <w:tcW w:type="dxa" w:w="2494"/>
          </w:tcPr>
          <w:p>
            <w:pPr>
              <w:spacing w:after="20"/>
            </w:pPr>
            <w:r/>
            <w:r>
              <w:rPr>
                <w:sz w:val="18"/>
              </w:rPr>
              <w:t>API</w:t>
            </w:r>
          </w:p>
        </w:tc>
        <w:tc>
          <w:tcPr>
            <w:tcW w:type="dxa" w:w="7143"/>
          </w:tcPr>
          <w:p>
            <w:pPr>
              <w:spacing w:after="20"/>
            </w:pPr>
            <w:r/>
            <w:r>
              <w:rPr>
                <w:sz w:val="18"/>
              </w:rPr>
              <w:t>Orchestration Cluster API v2, http://127.0.0.1:8080/v2/</w:t>
            </w:r>
          </w:p>
        </w:tc>
      </w:tr>
      <w:tr>
        <w:trPr>
          <w:cantSplit w:val="true"/>
        </w:trPr>
        <w:tc>
          <w:tcPr>
            <w:tcW w:type="dxa" w:w="2494"/>
            <w:shd w:val="clear" w:color="auto" w:fill="EEF2F8"/>
          </w:tcPr>
          <w:p>
            <w:pPr>
              <w:spacing w:after="20"/>
            </w:pPr>
            <w:r/>
            <w:r>
              <w:rPr>
                <w:sz w:val="18"/>
              </w:rPr>
              <w:t>Modeler</w:t>
            </w:r>
          </w:p>
        </w:tc>
        <w:tc>
          <w:tcPr>
            <w:tcW w:type="dxa" w:w="7143"/>
            <w:shd w:val="clear" w:color="auto" w:fill="EEF2F8"/>
          </w:tcPr>
          <w:p>
            <w:pPr>
              <w:spacing w:after="20"/>
            </w:pPr>
            <w:r/>
            <w:r>
              <w:rPr>
                <w:sz w:val="18"/>
              </w:rPr>
              <w:t>Camunda Modeler 5.51.0</w:t>
            </w:r>
          </w:p>
        </w:tc>
      </w:tr>
      <w:tr>
        <w:trPr>
          <w:cantSplit w:val="true"/>
        </w:trPr>
        <w:tc>
          <w:tcPr>
            <w:tcW w:type="dxa" w:w="2494"/>
          </w:tcPr>
          <w:p>
            <w:pPr>
              <w:spacing w:after="20"/>
            </w:pPr>
            <w:r/>
            <w:r>
              <w:rPr>
                <w:sz w:val="18"/>
              </w:rPr>
              <w:t>Workers</w:t>
            </w:r>
          </w:p>
        </w:tc>
        <w:tc>
          <w:tcPr>
            <w:tcW w:type="dxa" w:w="7143"/>
          </w:tcPr>
          <w:p>
            <w:pPr>
              <w:spacing w:after="20"/>
            </w:pPr>
            <w:r/>
            <w:r>
              <w:rPr>
                <w:sz w:val="18"/>
              </w:rPr>
              <w:t>the 13-job-type fleet polling 127.0.0.1:26500</w:t>
            </w:r>
          </w:p>
        </w:tc>
      </w:tr>
      <w:tr>
        <w:trPr>
          <w:cantSplit w:val="true"/>
        </w:trPr>
        <w:tc>
          <w:tcPr>
            <w:tcW w:type="dxa" w:w="2494"/>
            <w:shd w:val="clear" w:color="auto" w:fill="EEF2F8"/>
          </w:tcPr>
          <w:p>
            <w:pPr>
              <w:spacing w:after="20"/>
            </w:pPr>
            <w:r/>
            <w:r>
              <w:rPr>
                <w:sz w:val="18"/>
              </w:rPr>
              <w:t>Test data</w:t>
            </w:r>
          </w:p>
        </w:tc>
        <w:tc>
          <w:tcPr>
            <w:tcW w:type="dxa" w:w="7143"/>
            <w:shd w:val="clear" w:color="auto" w:fill="EEF2F8"/>
          </w:tcPr>
          <w:p>
            <w:pPr>
              <w:spacing w:after="20"/>
            </w:pPr>
            <w:r/>
            <w:r>
              <w:rPr>
                <w:sz w:val="18"/>
              </w:rPr>
              <w:t>synthetic patients only, identifiers of the form P-TC-nn; no real or identifiable patient data at any point</w:t>
            </w:r>
          </w:p>
        </w:tc>
      </w:tr>
      <w:tr>
        <w:trPr>
          <w:cantSplit w:val="true"/>
        </w:trPr>
        <w:tc>
          <w:tcPr>
            <w:tcW w:type="dxa" w:w="2494"/>
          </w:tcPr>
          <w:p>
            <w:pPr>
              <w:spacing w:after="20"/>
            </w:pPr>
            <w:r/>
            <w:r>
              <w:rPr>
                <w:sz w:val="18"/>
              </w:rPr>
              <w:t>Isolation</w:t>
            </w:r>
          </w:p>
        </w:tc>
        <w:tc>
          <w:tcPr>
            <w:tcW w:type="dxa" w:w="7143"/>
          </w:tcPr>
          <w:p>
            <w:pPr>
              <w:spacing w:after="20"/>
            </w:pPr>
            <w:r/>
            <w:r>
              <w:rPr>
                <w:sz w:val="18"/>
              </w:rPr>
              <w:t>each case starts its own instance from the start message Patient referral; cases do not share state</w:t>
            </w:r>
          </w:p>
        </w:tc>
      </w:tr>
    </w:tbl>
    <w:p>
      <w:pPr>
        <w:spacing w:after="40"/>
      </w:pPr>
    </w:p>
    <w:p>
      <w:pPr>
        <w:pStyle w:val="Heading3"/>
      </w:pPr>
      <w:r>
        <w:t>Entry and exit criteria</w:t>
      </w:r>
    </w:p>
    <w:p>
      <w:pPr>
        <w:pStyle w:val="ListBullet"/>
        <w:spacing w:after="40"/>
      </w:pPr>
      <w:r>
        <w:t>Entry: the four models lint clean and deploy; the fleet is up and reports full job-type coverage; the forms are deployed with the models.</w:t>
      </w:r>
    </w:p>
    <w:p>
      <w:pPr>
        <w:pStyle w:val="ListBullet"/>
        <w:spacing w:after="40"/>
      </w:pPr>
      <w:r>
        <w:t>Exit (per case): every expected element reached, no element expected to be skipped was reached, every occurrence count met, the final state matched, no incident raised, and every expected variable held the expected value.</w:t>
      </w:r>
    </w:p>
    <w:p>
      <w:pPr>
        <w:pStyle w:val="ListBullet"/>
        <w:spacing w:after="40"/>
      </w:pPr>
      <w:r>
        <w:t>Exit (release): all 18 cases pass; 0 incidents; every failure investigated and either fixed at source or recorded as a limitation.</w:t>
      </w:r>
    </w:p>
    <w:p>
      <w:pPr>
        <w:pStyle w:val="Heading3"/>
      </w:pPr>
      <w:r>
        <w:t>The 18 system acceptance cases</w:t>
      </w:r>
    </w:p>
    <w:p>
      <w:r>
        <w:rPr>
          <w:b w:val="0"/>
          <w:i w:val="0"/>
        </w:rPr>
        <w:t>One row per case, with the data that selects the path and the process instance the engine issued on the recorded run. The instance key is the evidence: the trace can be reopened in Operate.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737"/>
        <w:gridCol w:w="2608"/>
        <w:gridCol w:w="4195"/>
        <w:gridCol w:w="793"/>
        <w:gridCol w:w="1304"/>
      </w:tblGrid>
      <w:tr>
        <w:trPr>
          <w:tblHeader w:val="true"/>
        </w:trPr>
        <w:tc>
          <w:tcPr>
            <w:tcW w:type="dxa" w:w="737"/>
            <w:shd w:val="clear" w:color="auto" w:fill="1F3864"/>
          </w:tcPr>
          <w:p>
            <w:pPr>
              <w:spacing w:after="20"/>
            </w:pPr>
            <w:r/>
            <w:r>
              <w:rPr>
                <w:b/>
                <w:color w:val="FFFFFF"/>
                <w:sz w:val="15"/>
              </w:rPr>
              <w:t>Case</w:t>
            </w:r>
          </w:p>
        </w:tc>
        <w:tc>
          <w:tcPr>
            <w:tcW w:type="dxa" w:w="2608"/>
            <w:shd w:val="clear" w:color="auto" w:fill="1F3864"/>
          </w:tcPr>
          <w:p>
            <w:pPr>
              <w:spacing w:after="20"/>
            </w:pPr>
            <w:r/>
            <w:r>
              <w:rPr>
                <w:b/>
                <w:color w:val="FFFFFF"/>
                <w:sz w:val="15"/>
              </w:rPr>
              <w:t>Objective</w:t>
            </w:r>
          </w:p>
        </w:tc>
        <w:tc>
          <w:tcPr>
            <w:tcW w:type="dxa" w:w="4195"/>
            <w:shd w:val="clear" w:color="auto" w:fill="1F3864"/>
          </w:tcPr>
          <w:p>
            <w:pPr>
              <w:spacing w:after="20"/>
            </w:pPr>
            <w:r/>
            <w:r>
              <w:rPr>
                <w:b/>
                <w:color w:val="FFFFFF"/>
                <w:sz w:val="15"/>
              </w:rPr>
              <w:t>Expected (elements reached / not reached / end)</w:t>
            </w:r>
          </w:p>
        </w:tc>
        <w:tc>
          <w:tcPr>
            <w:tcW w:type="dxa" w:w="794"/>
            <w:shd w:val="clear" w:color="auto" w:fill="1F3864"/>
          </w:tcPr>
          <w:p>
            <w:pPr>
              <w:spacing w:after="20"/>
            </w:pPr>
            <w:r/>
            <w:r>
              <w:rPr>
                <w:b/>
                <w:color w:val="FFFFFF"/>
                <w:sz w:val="15"/>
              </w:rPr>
              <w:t>Result</w:t>
            </w:r>
          </w:p>
        </w:tc>
        <w:tc>
          <w:tcPr>
            <w:tcW w:type="dxa" w:w="1304"/>
            <w:shd w:val="clear" w:color="auto" w:fill="1F3864"/>
          </w:tcPr>
          <w:p>
            <w:pPr>
              <w:spacing w:after="20"/>
            </w:pPr>
            <w:r/>
            <w:r>
              <w:rPr>
                <w:b/>
                <w:color w:val="FFFFFF"/>
                <w:sz w:val="15"/>
              </w:rPr>
              <w:t>Instance key</w:t>
            </w:r>
          </w:p>
        </w:tc>
      </w:tr>
      <w:tr>
        <w:trPr>
          <w:cantSplit w:val="true"/>
        </w:trPr>
        <w:tc>
          <w:tcPr>
            <w:tcW w:type="dxa" w:w="737"/>
          </w:tcPr>
          <w:p>
            <w:pPr>
              <w:spacing w:after="20"/>
            </w:pPr>
            <w:r/>
            <w:r>
              <w:rPr>
                <w:sz w:val="15"/>
              </w:rPr>
              <w:t>TC-01</w:t>
            </w:r>
          </w:p>
        </w:tc>
        <w:tc>
          <w:tcPr>
            <w:tcW w:type="dxa" w:w="2608"/>
          </w:tcPr>
          <w:p>
            <w:pPr>
              <w:spacing w:after="20"/>
            </w:pPr>
            <w:r/>
            <w:r>
              <w:rPr>
                <w:sz w:val="15"/>
              </w:rPr>
              <w:t>Complete referral documentation is accepted for clinical review</w:t>
            </w:r>
          </w:p>
        </w:tc>
        <w:tc>
          <w:tcPr>
            <w:tcW w:type="dxa" w:w="4195"/>
          </w:tcPr>
          <w:p>
            <w:pPr>
              <w:spacing w:after="20"/>
            </w:pPr>
            <w:r/>
            <w:r>
              <w:rPr>
                <w:sz w:val="15"/>
              </w:rPr>
              <w:t>T_ClinicalReviewReferral, T_RecordReferralDecision</w:t>
            </w:r>
          </w:p>
        </w:tc>
        <w:tc>
          <w:tcPr>
            <w:tcW w:type="dxa" w:w="794"/>
          </w:tcPr>
          <w:p>
            <w:pPr>
              <w:spacing w:after="20"/>
            </w:pPr>
            <w:r/>
            <w:r>
              <w:rPr>
                <w:sz w:val="15"/>
              </w:rPr>
              <w:t>PASS</w:t>
            </w:r>
          </w:p>
        </w:tc>
        <w:tc>
          <w:tcPr>
            <w:tcW w:type="dxa" w:w="1304"/>
          </w:tcPr>
          <w:p>
            <w:pPr>
              <w:spacing w:after="20"/>
              <w:jc w:val="right"/>
            </w:pPr>
            <w:r/>
            <w:r>
              <w:rPr>
                <w:sz w:val="15"/>
              </w:rPr>
              <w:t>2251799813703877</w:t>
            </w:r>
          </w:p>
        </w:tc>
      </w:tr>
      <w:tr>
        <w:trPr>
          <w:cantSplit w:val="true"/>
        </w:trPr>
        <w:tc>
          <w:tcPr>
            <w:tcW w:type="dxa" w:w="737"/>
            <w:shd w:val="clear" w:color="auto" w:fill="EEF2F8"/>
          </w:tcPr>
          <w:p>
            <w:pPr>
              <w:spacing w:after="20"/>
            </w:pPr>
            <w:r/>
            <w:r>
              <w:rPr>
                <w:sz w:val="15"/>
              </w:rPr>
              <w:t>TC-02</w:t>
            </w:r>
          </w:p>
        </w:tc>
        <w:tc>
          <w:tcPr>
            <w:tcW w:type="dxa" w:w="2608"/>
            <w:shd w:val="clear" w:color="auto" w:fill="EEF2F8"/>
          </w:tcPr>
          <w:p>
            <w:pPr>
              <w:spacing w:after="20"/>
            </w:pPr>
            <w:r/>
            <w:r>
              <w:rPr>
                <w:sz w:val="15"/>
              </w:rPr>
              <w:t>Missing documentation triggers a request and a return path</w:t>
            </w:r>
          </w:p>
        </w:tc>
        <w:tc>
          <w:tcPr>
            <w:tcW w:type="dxa" w:w="4195"/>
            <w:shd w:val="clear" w:color="auto" w:fill="EEF2F8"/>
          </w:tcPr>
          <w:p>
            <w:pPr>
              <w:spacing w:after="20"/>
            </w:pPr>
            <w:r/>
            <w:r>
              <w:rPr>
                <w:sz w:val="15"/>
              </w:rPr>
              <w:t>T_RequestMissingDocuments, T_ClinicalReviewReferral</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2251799813703946</w:t>
            </w:r>
          </w:p>
        </w:tc>
      </w:tr>
      <w:tr>
        <w:trPr>
          <w:cantSplit w:val="true"/>
        </w:trPr>
        <w:tc>
          <w:tcPr>
            <w:tcW w:type="dxa" w:w="737"/>
          </w:tcPr>
          <w:p>
            <w:pPr>
              <w:spacing w:after="20"/>
            </w:pPr>
            <w:r/>
            <w:r>
              <w:rPr>
                <w:sz w:val="15"/>
              </w:rPr>
              <w:t>TC-03</w:t>
            </w:r>
          </w:p>
        </w:tc>
        <w:tc>
          <w:tcPr>
            <w:tcW w:type="dxa" w:w="2608"/>
          </w:tcPr>
          <w:p>
            <w:pPr>
              <w:spacing w:after="20"/>
            </w:pPr>
            <w:r/>
            <w:r>
              <w:rPr>
                <w:sz w:val="15"/>
              </w:rPr>
              <w:t>Rejected referral closes with a notification</w:t>
            </w:r>
          </w:p>
        </w:tc>
        <w:tc>
          <w:tcPr>
            <w:tcW w:type="dxa" w:w="4195"/>
          </w:tcPr>
          <w:p>
            <w:pPr>
              <w:spacing w:after="20"/>
            </w:pPr>
            <w:r/>
            <w:r>
              <w:rPr>
                <w:sz w:val="15"/>
              </w:rPr>
              <w:t>T_NotifyReferralOutcome | not T_ForwardAcceptedReferral | end COMPLETED</w:t>
            </w:r>
          </w:p>
        </w:tc>
        <w:tc>
          <w:tcPr>
            <w:tcW w:type="dxa" w:w="794"/>
          </w:tcPr>
          <w:p>
            <w:pPr>
              <w:spacing w:after="20"/>
            </w:pPr>
            <w:r/>
            <w:r>
              <w:rPr>
                <w:sz w:val="15"/>
              </w:rPr>
              <w:t>PASS</w:t>
            </w:r>
          </w:p>
        </w:tc>
        <w:tc>
          <w:tcPr>
            <w:tcW w:type="dxa" w:w="1304"/>
          </w:tcPr>
          <w:p>
            <w:pPr>
              <w:spacing w:after="20"/>
              <w:jc w:val="right"/>
            </w:pPr>
            <w:r/>
            <w:r>
              <w:rPr>
                <w:sz w:val="15"/>
              </w:rPr>
              <w:t>2251799813704124</w:t>
            </w:r>
          </w:p>
        </w:tc>
      </w:tr>
      <w:tr>
        <w:trPr>
          <w:cantSplit w:val="true"/>
        </w:trPr>
        <w:tc>
          <w:tcPr>
            <w:tcW w:type="dxa" w:w="737"/>
            <w:shd w:val="clear" w:color="auto" w:fill="EEF2F8"/>
          </w:tcPr>
          <w:p>
            <w:pPr>
              <w:spacing w:after="20"/>
            </w:pPr>
            <w:r/>
            <w:r>
              <w:rPr>
                <w:sz w:val="15"/>
              </w:rPr>
              <w:t>TC-04</w:t>
            </w:r>
          </w:p>
        </w:tc>
        <w:tc>
          <w:tcPr>
            <w:tcW w:type="dxa" w:w="2608"/>
            <w:shd w:val="clear" w:color="auto" w:fill="EEF2F8"/>
          </w:tcPr>
          <w:p>
            <w:pPr>
              <w:spacing w:after="20"/>
            </w:pPr>
            <w:r/>
            <w:r>
              <w:rPr>
                <w:sz w:val="15"/>
              </w:rPr>
              <w:t>Redirected referral is sent to another specialist service</w:t>
            </w:r>
          </w:p>
        </w:tc>
        <w:tc>
          <w:tcPr>
            <w:tcW w:type="dxa" w:w="4195"/>
            <w:shd w:val="clear" w:color="auto" w:fill="EEF2F8"/>
          </w:tcPr>
          <w:p>
            <w:pPr>
              <w:spacing w:after="20"/>
            </w:pPr>
            <w:r/>
            <w:r>
              <w:rPr>
                <w:sz w:val="15"/>
              </w:rPr>
              <w:t>T_RedirectReferral | end COMPLETED</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2251799813704195</w:t>
            </w:r>
          </w:p>
        </w:tc>
      </w:tr>
      <w:tr>
        <w:trPr>
          <w:cantSplit w:val="true"/>
        </w:trPr>
        <w:tc>
          <w:tcPr>
            <w:tcW w:type="dxa" w:w="737"/>
          </w:tcPr>
          <w:p>
            <w:pPr>
              <w:spacing w:after="20"/>
            </w:pPr>
            <w:r/>
            <w:r>
              <w:rPr>
                <w:sz w:val="15"/>
              </w:rPr>
              <w:t>TC-05</w:t>
            </w:r>
          </w:p>
        </w:tc>
        <w:tc>
          <w:tcPr>
            <w:tcW w:type="dxa" w:w="2608"/>
          </w:tcPr>
          <w:p>
            <w:pPr>
              <w:spacing w:after="20"/>
            </w:pPr>
            <w:r/>
            <w:r>
              <w:rPr>
                <w:sz w:val="15"/>
              </w:rPr>
              <w:t>No suitable appointment slot is escalated to the pathway coordinator</w:t>
            </w:r>
          </w:p>
        </w:tc>
        <w:tc>
          <w:tcPr>
            <w:tcW w:type="dxa" w:w="4195"/>
          </w:tcPr>
          <w:p>
            <w:pPr>
              <w:spacing w:after="20"/>
            </w:pPr>
            <w:r/>
            <w:r>
              <w:rPr>
                <w:sz w:val="15"/>
              </w:rPr>
              <w:t>T_ResolveCapacity, T_SelectAndBookSlot</w:t>
            </w:r>
          </w:p>
        </w:tc>
        <w:tc>
          <w:tcPr>
            <w:tcW w:type="dxa" w:w="794"/>
          </w:tcPr>
          <w:p>
            <w:pPr>
              <w:spacing w:after="20"/>
            </w:pPr>
            <w:r/>
            <w:r>
              <w:rPr>
                <w:sz w:val="15"/>
              </w:rPr>
              <w:t>PASS</w:t>
            </w:r>
          </w:p>
        </w:tc>
        <w:tc>
          <w:tcPr>
            <w:tcW w:type="dxa" w:w="1304"/>
          </w:tcPr>
          <w:p>
            <w:pPr>
              <w:spacing w:after="20"/>
              <w:jc w:val="right"/>
            </w:pPr>
            <w:r/>
            <w:r>
              <w:rPr>
                <w:sz w:val="15"/>
              </w:rPr>
              <w:t>2251799813704263</w:t>
            </w:r>
          </w:p>
        </w:tc>
      </w:tr>
      <w:tr>
        <w:trPr>
          <w:cantSplit w:val="true"/>
        </w:trPr>
        <w:tc>
          <w:tcPr>
            <w:tcW w:type="dxa" w:w="737"/>
            <w:shd w:val="clear" w:color="auto" w:fill="EEF2F8"/>
          </w:tcPr>
          <w:p>
            <w:pPr>
              <w:spacing w:after="20"/>
            </w:pPr>
            <w:r/>
            <w:r>
              <w:rPr>
                <w:sz w:val="15"/>
              </w:rPr>
              <w:t>TC-06</w:t>
            </w:r>
          </w:p>
        </w:tc>
        <w:tc>
          <w:tcPr>
            <w:tcW w:type="dxa" w:w="2608"/>
            <w:shd w:val="clear" w:color="auto" w:fill="EEF2F8"/>
          </w:tcPr>
          <w:p>
            <w:pPr>
              <w:spacing w:after="20"/>
            </w:pPr>
            <w:r/>
            <w:r>
              <w:rPr>
                <w:sz w:val="15"/>
              </w:rPr>
              <w:t>Appointment within 14 days requires a telephone call</w:t>
            </w:r>
          </w:p>
        </w:tc>
        <w:tc>
          <w:tcPr>
            <w:tcW w:type="dxa" w:w="4195"/>
            <w:shd w:val="clear" w:color="auto" w:fill="EEF2F8"/>
          </w:tcPr>
          <w:p>
            <w:pPr>
              <w:spacing w:after="20"/>
            </w:pPr>
            <w:r/>
            <w:r>
              <w:rPr>
                <w:sz w:val="15"/>
              </w:rPr>
              <w:t>T_TelephonePatient, T_RecordContactAttempt</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2251799813704437</w:t>
            </w:r>
          </w:p>
        </w:tc>
      </w:tr>
      <w:tr>
        <w:trPr>
          <w:cantSplit w:val="true"/>
        </w:trPr>
        <w:tc>
          <w:tcPr>
            <w:tcW w:type="dxa" w:w="737"/>
          </w:tcPr>
          <w:p>
            <w:pPr>
              <w:spacing w:after="20"/>
            </w:pPr>
            <w:r/>
            <w:r>
              <w:rPr>
                <w:sz w:val="15"/>
              </w:rPr>
              <w:t>TC-07</w:t>
            </w:r>
          </w:p>
        </w:tc>
        <w:tc>
          <w:tcPr>
            <w:tcW w:type="dxa" w:w="2608"/>
          </w:tcPr>
          <w:p>
            <w:pPr>
              <w:spacing w:after="20"/>
            </w:pPr>
            <w:r/>
            <w:r>
              <w:rPr>
                <w:sz w:val="15"/>
              </w:rPr>
              <w:t>Appointment more than 14 days away skips the telephone call</w:t>
            </w:r>
          </w:p>
        </w:tc>
        <w:tc>
          <w:tcPr>
            <w:tcW w:type="dxa" w:w="4195"/>
          </w:tcPr>
          <w:p>
            <w:pPr>
              <w:spacing w:after="20"/>
            </w:pPr>
            <w:r/>
            <w:r>
              <w:rPr>
                <w:sz w:val="15"/>
              </w:rPr>
              <w:t>T_NewPatientConsultation | not T_TelephonePatient</w:t>
            </w:r>
          </w:p>
        </w:tc>
        <w:tc>
          <w:tcPr>
            <w:tcW w:type="dxa" w:w="794"/>
          </w:tcPr>
          <w:p>
            <w:pPr>
              <w:spacing w:after="20"/>
            </w:pPr>
            <w:r/>
            <w:r>
              <w:rPr>
                <w:sz w:val="15"/>
              </w:rPr>
              <w:t>PASS</w:t>
            </w:r>
          </w:p>
        </w:tc>
        <w:tc>
          <w:tcPr>
            <w:tcW w:type="dxa" w:w="1304"/>
          </w:tcPr>
          <w:p>
            <w:pPr>
              <w:spacing w:after="20"/>
              <w:jc w:val="right"/>
            </w:pPr>
            <w:r/>
            <w:r>
              <w:rPr>
                <w:sz w:val="15"/>
              </w:rPr>
              <w:t>2251799813704612</w:t>
            </w:r>
          </w:p>
        </w:tc>
      </w:tr>
      <w:tr>
        <w:trPr>
          <w:cantSplit w:val="true"/>
        </w:trPr>
        <w:tc>
          <w:tcPr>
            <w:tcW w:type="dxa" w:w="737"/>
            <w:shd w:val="clear" w:color="auto" w:fill="EEF2F8"/>
          </w:tcPr>
          <w:p>
            <w:pPr>
              <w:spacing w:after="20"/>
            </w:pPr>
            <w:r/>
            <w:r>
              <w:rPr>
                <w:sz w:val="15"/>
              </w:rPr>
              <w:t>TC-08</w:t>
            </w:r>
          </w:p>
        </w:tc>
        <w:tc>
          <w:tcPr>
            <w:tcW w:type="dxa" w:w="2608"/>
            <w:shd w:val="clear" w:color="auto" w:fill="EEF2F8"/>
          </w:tcPr>
          <w:p>
            <w:pPr>
              <w:spacing w:after="20"/>
            </w:pPr>
            <w:r/>
            <w:r>
              <w:rPr>
                <w:sz w:val="15"/>
              </w:rPr>
              <w:t>Unsuccessful contact is recorded and a further attempt is made</w:t>
            </w:r>
          </w:p>
        </w:tc>
        <w:tc>
          <w:tcPr>
            <w:tcW w:type="dxa" w:w="4195"/>
            <w:shd w:val="clear" w:color="auto" w:fill="EEF2F8"/>
          </w:tcPr>
          <w:p>
            <w:pPr>
              <w:spacing w:after="20"/>
            </w:pPr>
            <w:r/>
            <w:r>
              <w:rPr>
                <w:sz w:val="15"/>
              </w:rPr>
              <w:t>T_TelephonePatient</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2251799813704782</w:t>
            </w:r>
          </w:p>
        </w:tc>
      </w:tr>
      <w:tr>
        <w:trPr>
          <w:cantSplit w:val="true"/>
        </w:trPr>
        <w:tc>
          <w:tcPr>
            <w:tcW w:type="dxa" w:w="737"/>
          </w:tcPr>
          <w:p>
            <w:pPr>
              <w:spacing w:after="20"/>
            </w:pPr>
            <w:r/>
            <w:r>
              <w:rPr>
                <w:sz w:val="15"/>
              </w:rPr>
              <w:t>TC-09</w:t>
            </w:r>
          </w:p>
        </w:tc>
        <w:tc>
          <w:tcPr>
            <w:tcW w:type="dxa" w:w="2608"/>
          </w:tcPr>
          <w:p>
            <w:pPr>
              <w:spacing w:after="20"/>
            </w:pPr>
            <w:r/>
            <w:r>
              <w:rPr>
                <w:sz w:val="15"/>
              </w:rPr>
              <w:t>Patient refuses consent and the pathway closes</w:t>
            </w:r>
          </w:p>
        </w:tc>
        <w:tc>
          <w:tcPr>
            <w:tcW w:type="dxa" w:w="4195"/>
          </w:tcPr>
          <w:p>
            <w:pPr>
              <w:spacing w:after="20"/>
            </w:pPr>
            <w:r/>
            <w:r>
              <w:rPr>
                <w:sz w:val="15"/>
              </w:rPr>
              <w:t>T_AdviseNoTreatment | not T_CreateTreatmentBookingRequest | end COMPLETED</w:t>
            </w:r>
          </w:p>
        </w:tc>
        <w:tc>
          <w:tcPr>
            <w:tcW w:type="dxa" w:w="794"/>
          </w:tcPr>
          <w:p>
            <w:pPr>
              <w:spacing w:after="20"/>
            </w:pPr>
            <w:r/>
            <w:r>
              <w:rPr>
                <w:sz w:val="15"/>
              </w:rPr>
              <w:t>PASS</w:t>
            </w:r>
          </w:p>
        </w:tc>
        <w:tc>
          <w:tcPr>
            <w:tcW w:type="dxa" w:w="1304"/>
          </w:tcPr>
          <w:p>
            <w:pPr>
              <w:spacing w:after="20"/>
              <w:jc w:val="right"/>
            </w:pPr>
            <w:r/>
            <w:r>
              <w:rPr>
                <w:sz w:val="15"/>
              </w:rPr>
              <w:t>2251799813704974</w:t>
            </w:r>
          </w:p>
        </w:tc>
      </w:tr>
      <w:tr>
        <w:trPr>
          <w:cantSplit w:val="true"/>
        </w:trPr>
        <w:tc>
          <w:tcPr>
            <w:tcW w:type="dxa" w:w="737"/>
            <w:shd w:val="clear" w:color="auto" w:fill="EEF2F8"/>
          </w:tcPr>
          <w:p>
            <w:pPr>
              <w:spacing w:after="20"/>
            </w:pPr>
            <w:r/>
            <w:r>
              <w:rPr>
                <w:sz w:val="15"/>
              </w:rPr>
              <w:t>TC-10</w:t>
            </w:r>
          </w:p>
        </w:tc>
        <w:tc>
          <w:tcPr>
            <w:tcW w:type="dxa" w:w="2608"/>
            <w:shd w:val="clear" w:color="auto" w:fill="EEF2F8"/>
          </w:tcPr>
          <w:p>
            <w:pPr>
              <w:spacing w:after="20"/>
            </w:pPr>
            <w:r/>
            <w:r>
              <w:rPr>
                <w:sz w:val="15"/>
              </w:rPr>
              <w:t>Unauthorised treatment booking request is returned to the clinical team</w:t>
            </w:r>
          </w:p>
        </w:tc>
        <w:tc>
          <w:tcPr>
            <w:tcW w:type="dxa" w:w="4195"/>
            <w:shd w:val="clear" w:color="auto" w:fill="EEF2F8"/>
          </w:tcPr>
          <w:p>
            <w:pPr>
              <w:spacing w:after="20"/>
            </w:pPr>
            <w:r/>
            <w:r>
              <w:rPr>
                <w:sz w:val="15"/>
              </w:rPr>
              <w:t>T_ReturnUnauthorisedRequest</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2251799813705089</w:t>
            </w:r>
          </w:p>
        </w:tc>
      </w:tr>
      <w:tr>
        <w:trPr>
          <w:cantSplit w:val="true"/>
        </w:trPr>
        <w:tc>
          <w:tcPr>
            <w:tcW w:type="dxa" w:w="737"/>
          </w:tcPr>
          <w:p>
            <w:pPr>
              <w:spacing w:after="20"/>
            </w:pPr>
            <w:r/>
            <w:r>
              <w:rPr>
                <w:sz w:val="15"/>
              </w:rPr>
              <w:t>TC-11</w:t>
            </w:r>
          </w:p>
        </w:tc>
        <w:tc>
          <w:tcPr>
            <w:tcW w:type="dxa" w:w="2608"/>
          </w:tcPr>
          <w:p>
            <w:pPr>
              <w:spacing w:after="20"/>
            </w:pPr>
            <w:r/>
            <w:r>
              <w:rPr>
                <w:sz w:val="15"/>
              </w:rPr>
              <w:t>Unavailable external capacity leaves the booking pending and retries</w:t>
            </w:r>
          </w:p>
        </w:tc>
        <w:tc>
          <w:tcPr>
            <w:tcW w:type="dxa" w:w="4195"/>
          </w:tcPr>
          <w:p>
            <w:pPr>
              <w:spacing w:after="20"/>
            </w:pPr>
            <w:r/>
            <w:r>
              <w:rPr>
                <w:sz w:val="15"/>
              </w:rPr>
              <w:t>T_KeepPending</w:t>
            </w:r>
          </w:p>
        </w:tc>
        <w:tc>
          <w:tcPr>
            <w:tcW w:type="dxa" w:w="794"/>
          </w:tcPr>
          <w:p>
            <w:pPr>
              <w:spacing w:after="20"/>
            </w:pPr>
            <w:r/>
            <w:r>
              <w:rPr>
                <w:sz w:val="15"/>
              </w:rPr>
              <w:t>PASS</w:t>
            </w:r>
          </w:p>
        </w:tc>
        <w:tc>
          <w:tcPr>
            <w:tcW w:type="dxa" w:w="1304"/>
          </w:tcPr>
          <w:p>
            <w:pPr>
              <w:spacing w:after="20"/>
              <w:jc w:val="right"/>
            </w:pPr>
            <w:r/>
            <w:r>
              <w:rPr>
                <w:sz w:val="15"/>
              </w:rPr>
              <w:t>2251799813705271</w:t>
            </w:r>
          </w:p>
        </w:tc>
      </w:tr>
      <w:tr>
        <w:trPr>
          <w:cantSplit w:val="true"/>
        </w:trPr>
        <w:tc>
          <w:tcPr>
            <w:tcW w:type="dxa" w:w="737"/>
            <w:shd w:val="clear" w:color="auto" w:fill="EEF2F8"/>
          </w:tcPr>
          <w:p>
            <w:pPr>
              <w:spacing w:after="20"/>
            </w:pPr>
            <w:r/>
            <w:r>
              <w:rPr>
                <w:sz w:val="15"/>
              </w:rPr>
              <w:t>TC-12</w:t>
            </w:r>
          </w:p>
        </w:tc>
        <w:tc>
          <w:tcPr>
            <w:tcW w:type="dxa" w:w="2608"/>
            <w:shd w:val="clear" w:color="auto" w:fill="EEF2F8"/>
          </w:tcPr>
          <w:p>
            <w:pPr>
              <w:spacing w:after="20"/>
            </w:pPr>
            <w:r/>
            <w:r>
              <w:rPr>
                <w:sz w:val="15"/>
              </w:rPr>
              <w:t>Unapproved funding raises a funding approval request</w:t>
            </w:r>
          </w:p>
        </w:tc>
        <w:tc>
          <w:tcPr>
            <w:tcW w:type="dxa" w:w="4195"/>
            <w:shd w:val="clear" w:color="auto" w:fill="EEF2F8"/>
          </w:tcPr>
          <w:p>
            <w:pPr>
              <w:spacing w:after="20"/>
            </w:pPr>
            <w:r/>
            <w:r>
              <w:rPr>
                <w:sz w:val="15"/>
              </w:rPr>
              <w:t>T_RequestFundingApproval, T_RecordFundingApproval</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2251799813705449</w:t>
            </w:r>
          </w:p>
        </w:tc>
      </w:tr>
      <w:tr>
        <w:trPr>
          <w:cantSplit w:val="true"/>
        </w:trPr>
        <w:tc>
          <w:tcPr>
            <w:tcW w:type="dxa" w:w="737"/>
          </w:tcPr>
          <w:p>
            <w:pPr>
              <w:spacing w:after="20"/>
            </w:pPr>
            <w:r/>
            <w:r>
              <w:rPr>
                <w:sz w:val="15"/>
              </w:rPr>
              <w:t>TC-13</w:t>
            </w:r>
          </w:p>
        </w:tc>
        <w:tc>
          <w:tcPr>
            <w:tcW w:type="dxa" w:w="2608"/>
          </w:tcPr>
          <w:p>
            <w:pPr>
              <w:spacing w:after="20"/>
            </w:pPr>
            <w:r/>
            <w:r>
              <w:rPr>
                <w:sz w:val="15"/>
              </w:rPr>
              <w:t>Happy path: referral accepted and treatment schedule confirmed</w:t>
            </w:r>
          </w:p>
        </w:tc>
        <w:tc>
          <w:tcPr>
            <w:tcW w:type="dxa" w:w="4195"/>
          </w:tcPr>
          <w:p>
            <w:pPr>
              <w:spacing w:after="20"/>
            </w:pPr>
            <w:r/>
            <w:r>
              <w:rPr>
                <w:sz w:val="15"/>
              </w:rPr>
              <w:t>T_ConfirmTreatmentSchedule | end COMPLETED</w:t>
            </w:r>
          </w:p>
        </w:tc>
        <w:tc>
          <w:tcPr>
            <w:tcW w:type="dxa" w:w="794"/>
          </w:tcPr>
          <w:p>
            <w:pPr>
              <w:spacing w:after="20"/>
            </w:pPr>
            <w:r/>
            <w:r>
              <w:rPr>
                <w:sz w:val="15"/>
              </w:rPr>
              <w:t>PASS</w:t>
            </w:r>
          </w:p>
        </w:tc>
        <w:tc>
          <w:tcPr>
            <w:tcW w:type="dxa" w:w="1304"/>
          </w:tcPr>
          <w:p>
            <w:pPr>
              <w:spacing w:after="20"/>
              <w:jc w:val="right"/>
            </w:pPr>
            <w:r/>
            <w:r>
              <w:rPr>
                <w:sz w:val="15"/>
              </w:rPr>
              <w:t>2251799813705624</w:t>
            </w:r>
          </w:p>
        </w:tc>
      </w:tr>
      <w:tr>
        <w:trPr>
          <w:cantSplit w:val="true"/>
        </w:trPr>
        <w:tc>
          <w:tcPr>
            <w:tcW w:type="dxa" w:w="737"/>
            <w:shd w:val="clear" w:color="auto" w:fill="EEF2F8"/>
          </w:tcPr>
          <w:p>
            <w:pPr>
              <w:spacing w:after="20"/>
            </w:pPr>
            <w:r/>
            <w:r>
              <w:rPr>
                <w:sz w:val="15"/>
              </w:rPr>
              <w:t>TC-14</w:t>
            </w:r>
          </w:p>
        </w:tc>
        <w:tc>
          <w:tcPr>
            <w:tcW w:type="dxa" w:w="2608"/>
            <w:shd w:val="clear" w:color="auto" w:fill="EEF2F8"/>
          </w:tcPr>
          <w:p>
            <w:pPr>
              <w:spacing w:after="20"/>
            </w:pPr>
            <w:r/>
            <w:r>
              <w:rPr>
                <w:sz w:val="15"/>
              </w:rPr>
              <w:t>Advance payment confirmed and recorded</w:t>
            </w:r>
          </w:p>
        </w:tc>
        <w:tc>
          <w:tcPr>
            <w:tcW w:type="dxa" w:w="4195"/>
            <w:shd w:val="clear" w:color="auto" w:fill="EEF2F8"/>
          </w:tcPr>
          <w:p>
            <w:pPr>
              <w:spacing w:after="20"/>
            </w:pPr>
            <w:r/>
            <w:r>
              <w:rPr>
                <w:sz w:val="15"/>
              </w:rPr>
              <w:t>T_SendSecurePaymentRequest, T_RecordPayment | end COMPLETED</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2251799813705784</w:t>
            </w:r>
          </w:p>
        </w:tc>
      </w:tr>
      <w:tr>
        <w:trPr>
          <w:cantSplit w:val="true"/>
        </w:trPr>
        <w:tc>
          <w:tcPr>
            <w:tcW w:type="dxa" w:w="737"/>
          </w:tcPr>
          <w:p>
            <w:pPr>
              <w:spacing w:after="20"/>
            </w:pPr>
            <w:r/>
            <w:r>
              <w:rPr>
                <w:sz w:val="15"/>
              </w:rPr>
              <w:t>TC-15</w:t>
            </w:r>
          </w:p>
        </w:tc>
        <w:tc>
          <w:tcPr>
            <w:tcW w:type="dxa" w:w="2608"/>
          </w:tcPr>
          <w:p>
            <w:pPr>
              <w:spacing w:after="20"/>
            </w:pPr>
            <w:r/>
            <w:r>
              <w:rPr>
                <w:sz w:val="15"/>
              </w:rPr>
              <w:t>Declined payment is handled without creating a duplicate booking</w:t>
            </w:r>
          </w:p>
        </w:tc>
        <w:tc>
          <w:tcPr>
            <w:tcW w:type="dxa" w:w="4195"/>
          </w:tcPr>
          <w:p>
            <w:pPr>
              <w:spacing w:after="20"/>
            </w:pPr>
            <w:r/>
            <w:r>
              <w:rPr>
                <w:sz w:val="15"/>
              </w:rPr>
              <w:t>T_HandlePaymentFailure, T_RecordPayment</w:t>
            </w:r>
          </w:p>
        </w:tc>
        <w:tc>
          <w:tcPr>
            <w:tcW w:type="dxa" w:w="794"/>
          </w:tcPr>
          <w:p>
            <w:pPr>
              <w:spacing w:after="20"/>
            </w:pPr>
            <w:r/>
            <w:r>
              <w:rPr>
                <w:sz w:val="15"/>
              </w:rPr>
              <w:t>PASS</w:t>
            </w:r>
          </w:p>
        </w:tc>
        <w:tc>
          <w:tcPr>
            <w:tcW w:type="dxa" w:w="1304"/>
          </w:tcPr>
          <w:p>
            <w:pPr>
              <w:spacing w:after="20"/>
              <w:jc w:val="right"/>
            </w:pPr>
            <w:r/>
            <w:r>
              <w:rPr>
                <w:sz w:val="15"/>
              </w:rPr>
              <w:t>2251799813705967</w:t>
            </w:r>
          </w:p>
        </w:tc>
      </w:tr>
      <w:tr>
        <w:trPr>
          <w:cantSplit w:val="true"/>
        </w:trPr>
        <w:tc>
          <w:tcPr>
            <w:tcW w:type="dxa" w:w="737"/>
            <w:shd w:val="clear" w:color="auto" w:fill="EEF2F8"/>
          </w:tcPr>
          <w:p>
            <w:pPr>
              <w:spacing w:after="20"/>
            </w:pPr>
            <w:r/>
            <w:r>
              <w:rPr>
                <w:sz w:val="15"/>
              </w:rPr>
              <w:t>TC-16</w:t>
            </w:r>
          </w:p>
        </w:tc>
        <w:tc>
          <w:tcPr>
            <w:tcW w:type="dxa" w:w="2608"/>
            <w:shd w:val="clear" w:color="auto" w:fill="EEF2F8"/>
          </w:tcPr>
          <w:p>
            <w:pPr>
              <w:spacing w:after="20"/>
            </w:pPr>
            <w:r/>
            <w:r>
              <w:rPr>
                <w:sz w:val="15"/>
              </w:rPr>
              <w:t>Payment without a returned confirmation is investigated, not re-requested</w:t>
            </w:r>
          </w:p>
        </w:tc>
        <w:tc>
          <w:tcPr>
            <w:tcW w:type="dxa" w:w="4195"/>
            <w:shd w:val="clear" w:color="auto" w:fill="EEF2F8"/>
          </w:tcPr>
          <w:p>
            <w:pPr>
              <w:spacing w:after="20"/>
            </w:pPr>
            <w:r/>
            <w:r>
              <w:rPr>
                <w:sz w:val="15"/>
              </w:rPr>
              <w:t>T_MarkForInvestigation, T_ResolveTransaction | end COMPLETED</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2251799813706153</w:t>
            </w:r>
          </w:p>
        </w:tc>
      </w:tr>
      <w:tr>
        <w:trPr>
          <w:cantSplit w:val="true"/>
        </w:trPr>
        <w:tc>
          <w:tcPr>
            <w:tcW w:type="dxa" w:w="737"/>
          </w:tcPr>
          <w:p>
            <w:pPr>
              <w:spacing w:after="20"/>
            </w:pPr>
            <w:r/>
            <w:r>
              <w:rPr>
                <w:sz w:val="15"/>
              </w:rPr>
              <w:t>TC-17</w:t>
            </w:r>
          </w:p>
        </w:tc>
        <w:tc>
          <w:tcPr>
            <w:tcW w:type="dxa" w:w="2608"/>
          </w:tcPr>
          <w:p>
            <w:pPr>
              <w:spacing w:after="20"/>
            </w:pPr>
            <w:r/>
            <w:r>
              <w:rPr>
                <w:sz w:val="15"/>
              </w:rPr>
              <w:t>Urgent treatment proceeds without confirmed payment and is referred to Finance</w:t>
            </w:r>
          </w:p>
        </w:tc>
        <w:tc>
          <w:tcPr>
            <w:tcW w:type="dxa" w:w="4195"/>
          </w:tcPr>
          <w:p>
            <w:pPr>
              <w:spacing w:after="20"/>
            </w:pPr>
            <w:r/>
            <w:r>
              <w:rPr>
                <w:sz w:val="15"/>
              </w:rPr>
              <w:t>T_AuthoriseUrgentTreatment, T_ReferUnconfirmedPayment | end COMPLETED</w:t>
            </w:r>
          </w:p>
        </w:tc>
        <w:tc>
          <w:tcPr>
            <w:tcW w:type="dxa" w:w="794"/>
          </w:tcPr>
          <w:p>
            <w:pPr>
              <w:spacing w:after="20"/>
            </w:pPr>
            <w:r/>
            <w:r>
              <w:rPr>
                <w:sz w:val="15"/>
              </w:rPr>
              <w:t>PASS</w:t>
            </w:r>
          </w:p>
        </w:tc>
        <w:tc>
          <w:tcPr>
            <w:tcW w:type="dxa" w:w="1304"/>
          </w:tcPr>
          <w:p>
            <w:pPr>
              <w:spacing w:after="20"/>
              <w:jc w:val="right"/>
            </w:pPr>
            <w:r/>
            <w:r>
              <w:rPr>
                <w:sz w:val="15"/>
              </w:rPr>
              <w:t>2251799813706334</w:t>
            </w:r>
          </w:p>
        </w:tc>
      </w:tr>
      <w:tr>
        <w:trPr>
          <w:cantSplit w:val="true"/>
        </w:trPr>
        <w:tc>
          <w:tcPr>
            <w:tcW w:type="dxa" w:w="737"/>
            <w:shd w:val="clear" w:color="auto" w:fill="EEF2F8"/>
          </w:tcPr>
          <w:p>
            <w:pPr>
              <w:spacing w:after="20"/>
            </w:pPr>
            <w:r/>
            <w:r>
              <w:rPr>
                <w:sz w:val="15"/>
              </w:rPr>
              <w:t>TC-18</w:t>
            </w:r>
          </w:p>
        </w:tc>
        <w:tc>
          <w:tcPr>
            <w:tcW w:type="dxa" w:w="2608"/>
            <w:shd w:val="clear" w:color="auto" w:fill="EEF2F8"/>
          </w:tcPr>
          <w:p>
            <w:pPr>
              <w:spacing w:after="20"/>
            </w:pPr>
            <w:r/>
            <w:r>
              <w:rPr>
                <w:sz w:val="15"/>
              </w:rPr>
              <w:t>No advance payment required: no payment task is created</w:t>
            </w:r>
          </w:p>
        </w:tc>
        <w:tc>
          <w:tcPr>
            <w:tcW w:type="dxa" w:w="4195"/>
            <w:shd w:val="clear" w:color="auto" w:fill="EEF2F8"/>
          </w:tcPr>
          <w:p>
            <w:pPr>
              <w:spacing w:after="20"/>
            </w:pPr>
            <w:r/>
            <w:r>
              <w:rPr>
                <w:sz w:val="15"/>
              </w:rPr>
              <w:t>T_ConfirmTreatmentSchedule | not T_SendSecurePaymentRequest | end COMPLETED</w:t>
            </w:r>
          </w:p>
        </w:tc>
        <w:tc>
          <w:tcPr>
            <w:tcW w:type="dxa" w:w="794"/>
            <w:shd w:val="clear" w:color="auto" w:fill="EEF2F8"/>
          </w:tcPr>
          <w:p>
            <w:pPr>
              <w:spacing w:after="20"/>
            </w:pPr>
            <w:r/>
            <w:r>
              <w:rPr>
                <w:sz w:val="15"/>
              </w:rPr>
              <w:t>PASS</w:t>
            </w:r>
          </w:p>
        </w:tc>
        <w:tc>
          <w:tcPr>
            <w:tcW w:type="dxa" w:w="1304"/>
            <w:shd w:val="clear" w:color="auto" w:fill="EEF2F8"/>
          </w:tcPr>
          <w:p>
            <w:pPr>
              <w:spacing w:after="20"/>
              <w:jc w:val="right"/>
            </w:pPr>
            <w:r/>
            <w:r>
              <w:rPr>
                <w:sz w:val="15"/>
              </w:rPr>
              <w:t>2251799813706533</w:t>
            </w:r>
          </w:p>
        </w:tc>
      </w:tr>
    </w:tbl>
    <w:p>
      <w:pPr>
        <w:spacing w:after="40"/>
      </w:pPr>
    </w:p>
    <w:p>
      <w:pPr>
        <w:keepNext/>
        <w:spacing w:before="40" w:after="40"/>
      </w:pPr>
      <w:r>
        <w:rPr>
          <w:b/>
          <w:color w:val="595959"/>
          <w:sz w:val="17"/>
        </w:rPr>
        <w:t>Table 20. Execution record. Run 2026-09-26T16:17:23Z: 18 executed, 18 passed, 0 failed, 0 incidents. Full per-step traces in 05_Test_Evidence/acceptance-run.json.</w:t>
      </w:r>
    </w:p>
    <w:p>
      <w:pPr>
        <w:pStyle w:val="Heading3"/>
      </w:pPr>
      <w:r>
        <w:t>Coverage of the operational model</w:t>
      </w:r>
    </w:p>
    <w:p>
      <w:r>
        <w:rPr>
          <w:b w:val="0"/>
          <w:i w:val="0"/>
        </w:rPr>
        <w:t>Across the 18 cases, 23 distinct model elements are asserted as reached, including every task that owns a gateway variable and every end event the operational model declares except the enquiry and reporting pools. Coverage is expressed as elements asserted and observed, not as a percentage of nodes: a node count would reward visiting a task without checking anything about it.</w:t>
      </w:r>
    </w:p>
    <w:p>
      <w:pPr>
        <w:pStyle w:val="Heading3"/>
      </w:pPr>
      <w:r>
        <w:t>What was not executed, and the deviation record</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608"/>
        <w:gridCol w:w="3742"/>
        <w:gridCol w:w="3288"/>
      </w:tblGrid>
      <w:tr>
        <w:trPr>
          <w:tblHeader w:val="true"/>
        </w:trPr>
        <w:tc>
          <w:tcPr>
            <w:tcW w:type="dxa" w:w="2608"/>
            <w:shd w:val="clear" w:color="auto" w:fill="1F3864"/>
          </w:tcPr>
          <w:p>
            <w:pPr>
              <w:spacing w:after="20"/>
            </w:pPr>
            <w:r/>
            <w:r>
              <w:rPr>
                <w:b/>
                <w:color w:val="FFFFFF"/>
                <w:sz w:val="17"/>
              </w:rPr>
              <w:t>Not executed</w:t>
            </w:r>
          </w:p>
        </w:tc>
        <w:tc>
          <w:tcPr>
            <w:tcW w:type="dxa" w:w="3742"/>
            <w:shd w:val="clear" w:color="auto" w:fill="1F3864"/>
          </w:tcPr>
          <w:p>
            <w:pPr>
              <w:spacing w:after="20"/>
            </w:pPr>
            <w:r/>
            <w:r>
              <w:rPr>
                <w:b/>
                <w:color w:val="FFFFFF"/>
                <w:sz w:val="17"/>
              </w:rPr>
              <w:t>Reason</w:t>
            </w:r>
          </w:p>
        </w:tc>
        <w:tc>
          <w:tcPr>
            <w:tcW w:type="dxa" w:w="3288"/>
            <w:shd w:val="clear" w:color="auto" w:fill="1F3864"/>
          </w:tcPr>
          <w:p>
            <w:pPr>
              <w:spacing w:after="20"/>
            </w:pPr>
            <w:r/>
            <w:r>
              <w:rPr>
                <w:b/>
                <w:color w:val="FFFFFF"/>
                <w:sz w:val="17"/>
              </w:rPr>
              <w:t>Where it is stated</w:t>
            </w:r>
          </w:p>
        </w:tc>
      </w:tr>
      <w:tr>
        <w:trPr>
          <w:cantSplit w:val="true"/>
        </w:trPr>
        <w:tc>
          <w:tcPr>
            <w:tcW w:type="dxa" w:w="2608"/>
          </w:tcPr>
          <w:p>
            <w:pPr>
              <w:spacing w:after="20"/>
            </w:pPr>
            <w:r/>
            <w:r>
              <w:rPr>
                <w:sz w:val="17"/>
              </w:rPr>
              <w:t>PR_ManagementReporting end to end</w:t>
            </w:r>
          </w:p>
        </w:tc>
        <w:tc>
          <w:tcPr>
            <w:tcW w:type="dxa" w:w="3742"/>
          </w:tcPr>
          <w:p>
            <w:pPr>
              <w:spacing w:after="20"/>
            </w:pPr>
            <w:r/>
            <w:r>
              <w:rPr>
                <w:sz w:val="17"/>
              </w:rPr>
              <w:t>its only start event is a monthly timer, so the process cannot be created on demand</w:t>
            </w:r>
          </w:p>
        </w:tc>
        <w:tc>
          <w:tcPr>
            <w:tcW w:type="dxa" w:w="3288"/>
          </w:tcPr>
          <w:p>
            <w:pPr>
              <w:spacing w:after="20"/>
            </w:pPr>
            <w:r/>
            <w:r>
              <w:rPr>
                <w:sz w:val="17"/>
              </w:rPr>
              <w:t>section 2.7; scenario "reporting" marked skip</w:t>
            </w:r>
          </w:p>
        </w:tc>
      </w:tr>
      <w:tr>
        <w:trPr>
          <w:cantSplit w:val="true"/>
        </w:trPr>
        <w:tc>
          <w:tcPr>
            <w:tcW w:type="dxa" w:w="2608"/>
            <w:shd w:val="clear" w:color="auto" w:fill="EEF2F8"/>
          </w:tcPr>
          <w:p>
            <w:pPr>
              <w:spacing w:after="20"/>
            </w:pPr>
            <w:r/>
            <w:r>
              <w:rPr>
                <w:sz w:val="17"/>
              </w:rPr>
              <w:t>PR_EnquiryHandling under the acceptance harness</w:t>
            </w:r>
          </w:p>
        </w:tc>
        <w:tc>
          <w:tcPr>
            <w:tcW w:type="dxa" w:w="3742"/>
            <w:shd w:val="clear" w:color="auto" w:fill="EEF2F8"/>
          </w:tcPr>
          <w:p>
            <w:pPr>
              <w:spacing w:after="20"/>
            </w:pPr>
            <w:r/>
            <w:r>
              <w:rPr>
                <w:sz w:val="17"/>
              </w:rPr>
              <w:t>it is outside the referral-to-treatment scope of the 18 cases</w:t>
            </w:r>
          </w:p>
        </w:tc>
        <w:tc>
          <w:tcPr>
            <w:tcW w:type="dxa" w:w="3288"/>
            <w:shd w:val="clear" w:color="auto" w:fill="EEF2F8"/>
          </w:tcPr>
          <w:p>
            <w:pPr>
              <w:spacing w:after="20"/>
            </w:pPr>
            <w:r/>
            <w:r>
              <w:rPr>
                <w:sz w:val="17"/>
              </w:rPr>
              <w:t>driven instead by the worker scenario "enquiry" (instance 2251799813731069)</w:t>
            </w:r>
          </w:p>
        </w:tc>
      </w:tr>
      <w:tr>
        <w:trPr>
          <w:cantSplit w:val="true"/>
        </w:trPr>
        <w:tc>
          <w:tcPr>
            <w:tcW w:type="dxa" w:w="2608"/>
          </w:tcPr>
          <w:p>
            <w:pPr>
              <w:spacing w:after="20"/>
            </w:pPr>
            <w:r/>
            <w:r>
              <w:rPr>
                <w:sz w:val="17"/>
              </w:rPr>
              <w:t>Performance, load, security, penetration, accessibility</w:t>
            </w:r>
          </w:p>
        </w:tc>
        <w:tc>
          <w:tcPr>
            <w:tcW w:type="dxa" w:w="3742"/>
          </w:tcPr>
          <w:p>
            <w:pPr>
              <w:spacing w:after="20"/>
            </w:pPr>
            <w:r/>
            <w:r>
              <w:rPr>
                <w:sz w:val="17"/>
              </w:rPr>
              <w:t>no target agreed and no tooling in scope</w:t>
            </w:r>
          </w:p>
        </w:tc>
        <w:tc>
          <w:tcPr>
            <w:tcW w:type="dxa" w:w="3288"/>
          </w:tcPr>
          <w:p>
            <w:pPr>
              <w:spacing w:after="20"/>
            </w:pPr>
            <w:r/>
            <w:r>
              <w:rPr>
                <w:sz w:val="17"/>
              </w:rPr>
              <w:t>section 3.6 and the limitations in each section</w:t>
            </w:r>
          </w:p>
        </w:tc>
      </w:tr>
      <w:tr>
        <w:trPr>
          <w:cantSplit w:val="true"/>
        </w:trPr>
        <w:tc>
          <w:tcPr>
            <w:tcW w:type="dxa" w:w="2608"/>
            <w:shd w:val="clear" w:color="auto" w:fill="EEF2F8"/>
          </w:tcPr>
          <w:p>
            <w:pPr>
              <w:spacing w:after="20"/>
            </w:pPr>
            <w:r/>
            <w:r>
              <w:rPr>
                <w:sz w:val="17"/>
              </w:rPr>
              <w:t>Real external providers</w:t>
            </w:r>
          </w:p>
        </w:tc>
        <w:tc>
          <w:tcPr>
            <w:tcW w:type="dxa" w:w="3742"/>
            <w:shd w:val="clear" w:color="auto" w:fill="EEF2F8"/>
          </w:tcPr>
          <w:p>
            <w:pPr>
              <w:spacing w:after="20"/>
            </w:pPr>
            <w:r/>
            <w:r>
              <w:rPr>
                <w:sz w:val="17"/>
              </w:rPr>
              <w:t>all providers are simulated by the fleet</w:t>
            </w:r>
          </w:p>
        </w:tc>
        <w:tc>
          <w:tcPr>
            <w:tcW w:type="dxa" w:w="3288"/>
            <w:shd w:val="clear" w:color="auto" w:fill="EEF2F8"/>
          </w:tcPr>
          <w:p>
            <w:pPr>
              <w:spacing w:after="20"/>
            </w:pPr>
            <w:r/>
            <w:r>
              <w:rPr>
                <w:sz w:val="17"/>
              </w:rPr>
              <w:t>section 2.6</w:t>
            </w:r>
          </w:p>
        </w:tc>
      </w:tr>
    </w:tbl>
    <w:p>
      <w:pPr>
        <w:spacing w:after="40"/>
      </w:pPr>
    </w:p>
    <w:p>
      <w:pPr>
        <w:keepNext/>
        <w:spacing w:before="40" w:after="40"/>
      </w:pPr>
      <w:r>
        <w:rPr>
          <w:b/>
          <w:color w:val="595959"/>
          <w:sz w:val="17"/>
        </w:rPr>
        <w:t>Table 21. Deviations from the test plan, stated rather than omitted.</w:t>
      </w:r>
    </w:p>
    <w:p>
      <w:r>
        <w:rPr>
          <w:b w:val="0"/>
          <w:i w:val="0"/>
        </w:rPr>
        <w:t>The four levels are in this order because each is cheaper to run than the one below it and catches a different class of defect. The unit tests need no engine and no network, so they run on every change and catch a worker that writes the wrong variable name, which no model review can see. The contract level checks the seam between the two: the variable a worker writes is the variable a gateway reads. The integration level is where the harness plays only the human roles, so a scenario cannot pass unless the fleet is running; that is the only level that proves the workers and the model agree at runtime. System acceptance sits on top and checks states, elements and variables against the case study.</w:t>
      </w:r>
    </w:p>
    <w:p>
      <w:r>
        <w:rPr>
          <w:b w:val="0"/>
          <w:i w:val="0"/>
        </w:rPr>
        <w:t>Two choices are worth defending. The harness polls rather than subscribing to events, because the RDBMS-backed secondary storage is eventually consistent and a task completed through the API is not always visible to a search issued immediately afterwards. Polling is slower and uglier, and it does not produce false failures. Second, every case asserts variables as well as elements. Reaching a task proves the flow arrived; it does not prove the gateway read the value that was set. A FEEL null on a gateway takes a branch nobody chose, and an element-only assertion would call that a pass.</w:t>
      </w:r>
    </w:p>
    <w:p>
      <w:r>
        <w:rPr>
          <w:b w:val="0"/>
          <w:i w:val="0"/>
        </w:rPr>
        <w:t>What the plan missed is the part we would write differently. The twenty original criteria were written as activities, not outcomes. "Payment failure is handled" cannot fail, because nothing in it says what would be observed if it were not handled. That is why the defects that surfaced on deployment were invisible to the plan: three XSD sequence violations and a form-binding defect are configuration and deployment faults, and the criteria did not ask whether the file could be deployed at all. The nine-step verify-all script exists because of that gap, and its first two steps are exactly what the original criteria omitted.</w:t>
      </w:r>
    </w:p>
    <w:p>
      <w:r>
        <w:rPr>
          <w:b w:val="0"/>
          <w:i w:val="0"/>
        </w:rPr>
        <w:t>The plan also has a stated boundary. Nothing here tests performance, concurrency or recovery, because no target was agreed for any of them, and no provider was called, because every external service in this release is simulated. Those are limits of the plan rather than findings, and they are recorded in Table 21 rather than left for the reader to discover.</w:t>
      </w:r>
    </w:p>
    <w:p>
      <w:pPr>
        <w:pStyle w:val="Heading2"/>
      </w:pPr>
      <w:r>
        <w:t>4.6  Configuration management</w:t>
      </w:r>
    </w:p>
    <w:p>
      <w:r>
        <w:rPr>
          <w:b w:val="0"/>
          <w:i w:val="0"/>
        </w:rPr>
        <w:t>Configuration management is the practice the rubric asks about in every criterion, so it is recorded once here and referenced from the others.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494"/>
        <w:gridCol w:w="4309"/>
        <w:gridCol w:w="2835"/>
      </w:tblGrid>
      <w:tr>
        <w:trPr>
          <w:tblHeader w:val="true"/>
        </w:trPr>
        <w:tc>
          <w:tcPr>
            <w:tcW w:type="dxa" w:w="2494"/>
            <w:shd w:val="clear" w:color="auto" w:fill="1F3864"/>
          </w:tcPr>
          <w:p>
            <w:pPr>
              <w:spacing w:after="20"/>
            </w:pPr>
            <w:r/>
            <w:r>
              <w:rPr>
                <w:b/>
                <w:color w:val="FFFFFF"/>
                <w:sz w:val="17"/>
              </w:rPr>
              <w:t>Practice</w:t>
            </w:r>
          </w:p>
        </w:tc>
        <w:tc>
          <w:tcPr>
            <w:tcW w:type="dxa" w:w="4309"/>
            <w:shd w:val="clear" w:color="auto" w:fill="1F3864"/>
          </w:tcPr>
          <w:p>
            <w:pPr>
              <w:spacing w:after="20"/>
            </w:pPr>
            <w:r/>
            <w:r>
              <w:rPr>
                <w:b/>
                <w:color w:val="FFFFFF"/>
                <w:sz w:val="17"/>
              </w:rPr>
              <w:t>How it is applied</w:t>
            </w:r>
          </w:p>
        </w:tc>
        <w:tc>
          <w:tcPr>
            <w:tcW w:type="dxa" w:w="2835"/>
            <w:shd w:val="clear" w:color="auto" w:fill="1F3864"/>
          </w:tcPr>
          <w:p>
            <w:pPr>
              <w:spacing w:after="20"/>
            </w:pPr>
            <w:r/>
            <w:r>
              <w:rPr>
                <w:b/>
                <w:color w:val="FFFFFF"/>
                <w:sz w:val="17"/>
              </w:rPr>
              <w:t>Evidence</w:t>
            </w:r>
          </w:p>
        </w:tc>
      </w:tr>
      <w:tr>
        <w:trPr>
          <w:cantSplit w:val="true"/>
        </w:trPr>
        <w:tc>
          <w:tcPr>
            <w:tcW w:type="dxa" w:w="2494"/>
          </w:tcPr>
          <w:p>
            <w:pPr>
              <w:spacing w:after="20"/>
            </w:pPr>
            <w:r/>
            <w:r>
              <w:rPr>
                <w:sz w:val="17"/>
              </w:rPr>
              <w:t>One shared repository</w:t>
            </w:r>
          </w:p>
        </w:tc>
        <w:tc>
          <w:tcPr>
            <w:tcW w:type="dxa" w:w="4309"/>
          </w:tcPr>
          <w:p>
            <w:pPr>
              <w:spacing w:after="20"/>
            </w:pPr>
            <w:r/>
            <w:r>
              <w:rPr>
                <w:sz w:val="17"/>
              </w:rPr>
              <w:t>all models, forms, worker source, tools and evidence are in the group repository; nothing lives only on a laptop</w:t>
            </w:r>
          </w:p>
        </w:tc>
        <w:tc>
          <w:tcPr>
            <w:tcW w:type="dxa" w:w="2835"/>
          </w:tcPr>
          <w:p>
            <w:pPr>
              <w:spacing w:after="20"/>
            </w:pPr>
            <w:r/>
            <w:r>
              <w:rPr>
                <w:sz w:val="17"/>
              </w:rPr>
              <w:t>repository URL; section 7</w:t>
            </w:r>
          </w:p>
        </w:tc>
      </w:tr>
      <w:tr>
        <w:trPr>
          <w:cantSplit w:val="true"/>
        </w:trPr>
        <w:tc>
          <w:tcPr>
            <w:tcW w:type="dxa" w:w="2494"/>
            <w:shd w:val="clear" w:color="auto" w:fill="EEF2F8"/>
          </w:tcPr>
          <w:p>
            <w:pPr>
              <w:spacing w:after="20"/>
            </w:pPr>
            <w:r/>
            <w:r>
              <w:rPr>
                <w:sz w:val="17"/>
              </w:rPr>
              <w:t>Version identified per submission and per review</w:t>
            </w:r>
          </w:p>
        </w:tc>
        <w:tc>
          <w:tcPr>
            <w:tcW w:type="dxa" w:w="4309"/>
            <w:shd w:val="clear" w:color="auto" w:fill="EEF2F8"/>
          </w:tcPr>
          <w:p>
            <w:pPr>
              <w:spacing w:after="20"/>
            </w:pPr>
            <w:r/>
            <w:r>
              <w:rPr>
                <w:sz w:val="17"/>
              </w:rPr>
              <w:t>an annotated tag marks the state reviewed at each sprint review</w:t>
            </w:r>
          </w:p>
        </w:tc>
        <w:tc>
          <w:tcPr>
            <w:tcW w:type="dxa" w:w="2835"/>
            <w:shd w:val="clear" w:color="auto" w:fill="EEF2F8"/>
          </w:tcPr>
          <w:p>
            <w:pPr>
              <w:spacing w:after="20"/>
            </w:pPr>
            <w:r/>
            <w:r>
              <w:rPr>
                <w:sz w:val="17"/>
              </w:rPr>
              <w:t>the three tags are named in section 4.6(a)</w:t>
            </w:r>
          </w:p>
        </w:tc>
      </w:tr>
      <w:tr>
        <w:trPr>
          <w:cantSplit w:val="true"/>
        </w:trPr>
        <w:tc>
          <w:tcPr>
            <w:tcW w:type="dxa" w:w="2494"/>
          </w:tcPr>
          <w:p>
            <w:pPr>
              <w:spacing w:after="20"/>
            </w:pPr>
            <w:r/>
            <w:r>
              <w:rPr>
                <w:sz w:val="17"/>
              </w:rPr>
              <w:t>Change record</w:t>
            </w:r>
          </w:p>
        </w:tc>
        <w:tc>
          <w:tcPr>
            <w:tcW w:type="dxa" w:w="4309"/>
          </w:tcPr>
          <w:p>
            <w:pPr>
              <w:spacing w:after="20"/>
            </w:pPr>
            <w:r/>
            <w:r>
              <w:rPr>
                <w:sz w:val="17"/>
              </w:rPr>
              <w:t>every model, form and worker defect is logged with the correction and the evidence that closed it</w:t>
            </w:r>
          </w:p>
        </w:tc>
        <w:tc>
          <w:tcPr>
            <w:tcW w:type="dxa" w:w="2835"/>
          </w:tcPr>
          <w:p>
            <w:pPr>
              <w:spacing w:after="20"/>
            </w:pPr>
            <w:r/>
            <w:r>
              <w:rPr>
                <w:sz w:val="17"/>
              </w:rPr>
              <w:t>08_Repository_Documents/defect-log.md</w:t>
            </w:r>
          </w:p>
        </w:tc>
      </w:tr>
      <w:tr>
        <w:trPr>
          <w:cantSplit w:val="true"/>
        </w:trPr>
        <w:tc>
          <w:tcPr>
            <w:tcW w:type="dxa" w:w="2494"/>
            <w:shd w:val="clear" w:color="auto" w:fill="EEF2F8"/>
          </w:tcPr>
          <w:p>
            <w:pPr>
              <w:spacing w:after="20"/>
            </w:pPr>
            <w:r/>
            <w:r>
              <w:rPr>
                <w:sz w:val="17"/>
              </w:rPr>
              <w:t>Reversible changes</w:t>
            </w:r>
          </w:p>
        </w:tc>
        <w:tc>
          <w:tcPr>
            <w:tcW w:type="dxa" w:w="4309"/>
            <w:shd w:val="clear" w:color="auto" w:fill="EEF2F8"/>
          </w:tcPr>
          <w:p>
            <w:pPr>
              <w:spacing w:after="20"/>
            </w:pPr>
            <w:r/>
            <w:r>
              <w:rPr>
                <w:sz w:val="17"/>
              </w:rPr>
              <w:t>model and form defects were fixed at source and re-verified, so the log points at a reproducible measurement rather than a claim</w:t>
            </w:r>
          </w:p>
        </w:tc>
        <w:tc>
          <w:tcPr>
            <w:tcW w:type="dxa" w:w="2835"/>
            <w:shd w:val="clear" w:color="auto" w:fill="EEF2F8"/>
          </w:tcPr>
          <w:p>
            <w:pPr>
              <w:spacing w:after="20"/>
            </w:pPr>
            <w:r/>
            <w:r>
              <w:rPr>
                <w:sz w:val="17"/>
              </w:rPr>
              <w:t>DEF-01…DEF-21, DEP-01…DEP-04</w:t>
            </w:r>
          </w:p>
        </w:tc>
      </w:tr>
      <w:tr>
        <w:trPr>
          <w:cantSplit w:val="true"/>
        </w:trPr>
        <w:tc>
          <w:tcPr>
            <w:tcW w:type="dxa" w:w="2494"/>
          </w:tcPr>
          <w:p>
            <w:pPr>
              <w:spacing w:after="20"/>
            </w:pPr>
            <w:r/>
            <w:r>
              <w:rPr>
                <w:sz w:val="17"/>
              </w:rPr>
              <w:t>Deployment is scripted, not manual</w:t>
            </w:r>
          </w:p>
        </w:tc>
        <w:tc>
          <w:tcPr>
            <w:tcW w:type="dxa" w:w="4309"/>
          </w:tcPr>
          <w:p>
            <w:pPr>
              <w:spacing w:after="20"/>
            </w:pPr>
            <w:r/>
            <w:r>
              <w:rPr>
                <w:sz w:val="17"/>
              </w:rPr>
              <w:t>one deployment carries a model and the forms it references, so the two cannot drift apart</w:t>
            </w:r>
          </w:p>
        </w:tc>
        <w:tc>
          <w:tcPr>
            <w:tcW w:type="dxa" w:w="2835"/>
          </w:tcPr>
          <w:p>
            <w:pPr>
              <w:spacing w:after="20"/>
            </w:pPr>
            <w:r/>
            <w:r>
              <w:rPr>
                <w:sz w:val="17"/>
              </w:rPr>
              <w:t>09_Tests_and_Tools/deploy-all.mjs</w:t>
            </w:r>
          </w:p>
        </w:tc>
      </w:tr>
      <w:tr>
        <w:trPr>
          <w:cantSplit w:val="true"/>
        </w:trPr>
        <w:tc>
          <w:tcPr>
            <w:tcW w:type="dxa" w:w="2494"/>
            <w:shd w:val="clear" w:color="auto" w:fill="EEF2F8"/>
          </w:tcPr>
          <w:p>
            <w:pPr>
              <w:spacing w:after="20"/>
            </w:pPr>
            <w:r/>
            <w:r>
              <w:rPr>
                <w:sz w:val="17"/>
              </w:rPr>
              <w:t>One command re-runs every check</w:t>
            </w:r>
          </w:p>
        </w:tc>
        <w:tc>
          <w:tcPr>
            <w:tcW w:type="dxa" w:w="4309"/>
            <w:shd w:val="clear" w:color="auto" w:fill="EEF2F8"/>
          </w:tcPr>
          <w:p>
            <w:pPr>
              <w:spacing w:after="20"/>
            </w:pPr>
            <w:r/>
            <w:r>
              <w:rPr>
                <w:sz w:val="17"/>
              </w:rPr>
              <w:t>nine verification steps with a single summary</w:t>
            </w:r>
          </w:p>
        </w:tc>
        <w:tc>
          <w:tcPr>
            <w:tcW w:type="dxa" w:w="2835"/>
            <w:shd w:val="clear" w:color="auto" w:fill="EEF2F8"/>
          </w:tcPr>
          <w:p>
            <w:pPr>
              <w:spacing w:after="20"/>
            </w:pPr>
            <w:r/>
            <w:r>
              <w:rPr>
                <w:sz w:val="17"/>
              </w:rPr>
              <w:t>09_Tests_and_Tools/verify-all.ps1</w:t>
            </w:r>
          </w:p>
        </w:tc>
      </w:tr>
    </w:tbl>
    <w:p>
      <w:pPr>
        <w:spacing w:after="40"/>
      </w:pPr>
    </w:p>
    <w:p>
      <w:pPr>
        <w:keepNext/>
        <w:spacing w:before="40" w:after="40"/>
      </w:pPr>
      <w:r>
        <w:rPr>
          <w:b/>
          <w:color w:val="595959"/>
          <w:sz w:val="17"/>
        </w:rPr>
        <w:t>Table 22. Configuration management practices in force.</w:t>
      </w:r>
    </w:p>
    <w:p>
      <w:pPr>
        <w:pStyle w:val="Heading3"/>
      </w:pPr>
      <w:r>
        <w:t>4.6(a)  Version identifiers</w:t>
      </w:r>
    </w:p>
    <w:p>
      <w:r>
        <w:rPr>
          <w:b w:val="0"/>
          <w:i w:val="0"/>
        </w:rPr>
        <w:t>Three annotated tags identify the versions this portfolio refers to. Each is a signed point in the history that a reader can check with git show; none of them is a description of a tag that does not exist.</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1360"/>
        <w:gridCol w:w="1134"/>
        <w:gridCol w:w="2948"/>
        <w:gridCol w:w="4195"/>
      </w:tblGrid>
      <w:tr>
        <w:trPr>
          <w:tblHeader w:val="true"/>
        </w:trPr>
        <w:tc>
          <w:tcPr>
            <w:tcW w:type="dxa" w:w="1361"/>
            <w:shd w:val="clear" w:color="auto" w:fill="1F3864"/>
          </w:tcPr>
          <w:p>
            <w:pPr>
              <w:spacing w:after="20"/>
            </w:pPr>
            <w:r/>
            <w:r>
              <w:rPr>
                <w:b/>
                <w:color w:val="FFFFFF"/>
                <w:sz w:val="17"/>
              </w:rPr>
              <w:t>Tag</w:t>
            </w:r>
          </w:p>
        </w:tc>
        <w:tc>
          <w:tcPr>
            <w:tcW w:type="dxa" w:w="1134"/>
            <w:shd w:val="clear" w:color="auto" w:fill="1F3864"/>
          </w:tcPr>
          <w:p>
            <w:pPr>
              <w:spacing w:after="20"/>
            </w:pPr>
            <w:r/>
            <w:r>
              <w:rPr>
                <w:b/>
                <w:color w:val="FFFFFF"/>
                <w:sz w:val="17"/>
              </w:rPr>
              <w:t>Commit</w:t>
            </w:r>
          </w:p>
        </w:tc>
        <w:tc>
          <w:tcPr>
            <w:tcW w:type="dxa" w:w="2948"/>
            <w:shd w:val="clear" w:color="auto" w:fill="1F3864"/>
          </w:tcPr>
          <w:p>
            <w:pPr>
              <w:spacing w:after="20"/>
            </w:pPr>
            <w:r/>
            <w:r>
              <w:rPr>
                <w:b/>
                <w:color w:val="FFFFFF"/>
                <w:sz w:val="17"/>
              </w:rPr>
              <w:t>What it marks</w:t>
            </w:r>
          </w:p>
        </w:tc>
        <w:tc>
          <w:tcPr>
            <w:tcW w:type="dxa" w:w="4195"/>
            <w:shd w:val="clear" w:color="auto" w:fill="1F3864"/>
          </w:tcPr>
          <w:p>
            <w:pPr>
              <w:spacing w:after="20"/>
            </w:pPr>
            <w:r/>
            <w:r>
              <w:rPr>
                <w:b/>
                <w:color w:val="FFFFFF"/>
                <w:sz w:val="17"/>
              </w:rPr>
              <w:t>Why it exists</w:t>
            </w:r>
          </w:p>
        </w:tc>
      </w:tr>
      <w:tr>
        <w:trPr>
          <w:cantSplit w:val="true"/>
        </w:trPr>
        <w:tc>
          <w:tcPr>
            <w:tcW w:type="dxa" w:w="1361"/>
          </w:tcPr>
          <w:p>
            <w:pPr>
              <w:spacing w:after="20"/>
            </w:pPr>
            <w:r/>
            <w:r>
              <w:rPr>
                <w:sz w:val="17"/>
              </w:rPr>
              <w:t>sr1</w:t>
            </w:r>
          </w:p>
        </w:tc>
        <w:tc>
          <w:tcPr>
            <w:tcW w:type="dxa" w:w="1134"/>
          </w:tcPr>
          <w:p>
            <w:pPr>
              <w:spacing w:after="20"/>
            </w:pPr>
            <w:r/>
            <w:r>
              <w:rPr>
                <w:sz w:val="17"/>
              </w:rPr>
              <w:t>95bf652</w:t>
            </w:r>
          </w:p>
        </w:tc>
        <w:tc>
          <w:tcPr>
            <w:tcW w:type="dxa" w:w="2948"/>
          </w:tcPr>
          <w:p>
            <w:pPr>
              <w:spacing w:after="20"/>
            </w:pPr>
            <w:r/>
            <w:r>
              <w:rPr>
                <w:sz w:val="17"/>
              </w:rPr>
              <w:t>the first executable BPMN increment, 17 September 2026</w:t>
            </w:r>
          </w:p>
        </w:tc>
        <w:tc>
          <w:tcPr>
            <w:tcW w:type="dxa" w:w="4195"/>
          </w:tcPr>
          <w:p>
            <w:pPr>
              <w:spacing w:after="20"/>
            </w:pPr>
            <w:r/>
            <w:r>
              <w:rPr>
                <w:sz w:val="17"/>
              </w:rPr>
              <w:t>the snapshot preserved for SR1: seven files — the repository skeleton, hospital-referral-final.bpmn and the modelling justification</w:t>
            </w:r>
          </w:p>
        </w:tc>
      </w:tr>
      <w:tr>
        <w:trPr>
          <w:cantSplit w:val="true"/>
        </w:trPr>
        <w:tc>
          <w:tcPr>
            <w:tcW w:type="dxa" w:w="1361"/>
            <w:shd w:val="clear" w:color="auto" w:fill="EEF2F8"/>
          </w:tcPr>
          <w:p>
            <w:pPr>
              <w:spacing w:after="20"/>
            </w:pPr>
            <w:r/>
            <w:r>
              <w:rPr>
                <w:sz w:val="17"/>
              </w:rPr>
              <w:t>sr2</w:t>
            </w:r>
          </w:p>
        </w:tc>
        <w:tc>
          <w:tcPr>
            <w:tcW w:type="dxa" w:w="1134"/>
            <w:shd w:val="clear" w:color="auto" w:fill="EEF2F8"/>
          </w:tcPr>
          <w:p>
            <w:pPr>
              <w:spacing w:after="20"/>
            </w:pPr>
            <w:r/>
            <w:r>
              <w:rPr>
                <w:sz w:val="17"/>
              </w:rPr>
              <w:t>772d928</w:t>
            </w:r>
          </w:p>
        </w:tc>
        <w:tc>
          <w:tcPr>
            <w:tcW w:type="dxa" w:w="2948"/>
            <w:shd w:val="clear" w:color="auto" w:fill="EEF2F8"/>
          </w:tcPr>
          <w:p>
            <w:pPr>
              <w:spacing w:after="20"/>
            </w:pPr>
            <w:r/>
            <w:r>
              <w:rPr>
                <w:sz w:val="17"/>
              </w:rPr>
              <w:t>the initial release, 29 September 2026</w:t>
            </w:r>
          </w:p>
        </w:tc>
        <w:tc>
          <w:tcPr>
            <w:tcW w:type="dxa" w:w="4195"/>
            <w:shd w:val="clear" w:color="auto" w:fill="EEF2F8"/>
          </w:tcPr>
          <w:p>
            <w:pPr>
              <w:spacing w:after="20"/>
            </w:pPr>
            <w:r/>
            <w:r>
              <w:rPr>
                <w:sz w:val="17"/>
              </w:rPr>
              <w:t>the snapshot preserved for SR2, and the state that carries the 26 September acceptance evidence: 318 files including 68 Camunda Forms</w:t>
            </w:r>
          </w:p>
        </w:tc>
      </w:tr>
      <w:tr>
        <w:trPr>
          <w:cantSplit w:val="true"/>
        </w:trPr>
        <w:tc>
          <w:tcPr>
            <w:tcW w:type="dxa" w:w="1361"/>
          </w:tcPr>
          <w:p>
            <w:pPr>
              <w:spacing w:after="20"/>
            </w:pPr>
            <w:r/>
            <w:r>
              <w:rPr>
                <w:sz w:val="17"/>
              </w:rPr>
              <w:t>p6-submission</w:t>
            </w:r>
          </w:p>
        </w:tc>
        <w:tc>
          <w:tcPr>
            <w:tcW w:type="dxa" w:w="1134"/>
          </w:tcPr>
          <w:p>
            <w:pPr>
              <w:spacing w:after="20"/>
            </w:pPr>
            <w:r/>
            <w:r>
              <w:rPr>
                <w:sz w:val="17"/>
              </w:rPr>
              <w:t>= `git show p6-submission`</w:t>
            </w:r>
          </w:p>
        </w:tc>
        <w:tc>
          <w:tcPr>
            <w:tcW w:type="dxa" w:w="2948"/>
          </w:tcPr>
          <w:p>
            <w:pPr>
              <w:spacing w:after="20"/>
            </w:pPr>
            <w:r/>
            <w:r>
              <w:rPr>
                <w:sz w:val="17"/>
              </w:rPr>
              <w:t>the version submitted for this assessment</w:t>
            </w:r>
          </w:p>
        </w:tc>
        <w:tc>
          <w:tcPr>
            <w:tcW w:type="dxa" w:w="4195"/>
          </w:tcPr>
          <w:p>
            <w:pPr>
              <w:spacing w:after="20"/>
            </w:pPr>
            <w:r/>
            <w:r>
              <w:rPr>
                <w:sz w:val="17"/>
              </w:rPr>
              <w:t>identifies the repository version behind the demonstration and this portfolio</w:t>
            </w:r>
          </w:p>
        </w:tc>
      </w:tr>
    </w:tbl>
    <w:p>
      <w:pPr>
        <w:spacing w:after="40"/>
      </w:pPr>
    </w:p>
    <w:p>
      <w:pPr>
        <w:keepNext/>
        <w:spacing w:before="40" w:after="40"/>
      </w:pPr>
      <w:r>
        <w:rPr>
          <w:b/>
          <w:color w:val="595959"/>
          <w:sz w:val="17"/>
        </w:rPr>
        <w:t>Table 23. Version identifiers. The two review snapshots are the "version or snapshot for each review" the specification requires; the submission tag is the "identify the submitted repository version" the demonstration deliverable requires.</w:t>
      </w:r>
    </w:p>
    <w:sectPr w:rsidR="00FC693F" w:rsidRPr="0006063C" w:rsidSect="00034616">
      <w:headerReference w:type="default" r:id="rId9"/>
      <w:footerReference w:type="default" r:id="rId10"/>
      <w:pgSz w:w="11906" w:h="16838"/>
      <w:pgMar w:top="1077" w:right="1134" w:bottom="107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Group 17  ·  page </w:t>
    </w:r>
    <w:r>
      <w:rPr>
        <w:color w:val="595959"/>
        <w:sz w:val="16"/>
      </w:rPr>
    </w:r>
    <w:fldSimple w:instr=" PAGE ">
      <w:r>
        <w:rPr>
          <w:sz w:val="16"/>
        </w:rPr>
        <w:t>1</w:t>
      </w:r>
    </w:fldSimple>
    <w:r>
      <w:rPr>
        <w:color w:val="595959"/>
        <w:sz w:val="16"/>
      </w:rPr>
      <w:t xml:space="preserve"> of </w:t>
    </w:r>
    <w:r>
      <w:rPr>
        <w:color w:val="595959"/>
        <w:sz w:val="16"/>
      </w:rPr>
    </w:r>
    <w:fldSimple w:instr=" NUMPAGES ">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color w:val="595959"/>
        <w:sz w:val="15"/>
      </w:rPr>
      <w:t>UFCEP6-0-3 Portfolio  |  Hospital Patient Referral, Treatment and Administration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Project and test plan</dc:title>
  <dc:subject>UFCEP6-0-3 Portfolio — 4 Project and test plan</dc:subject>
  <dc:creator>UFCEP6-0-3 group</dc:creator>
  <cp:keywords/>
  <dc:description>Initial release portfolio, UFCEP6-0-3 Advanced Information Systems Development</dc:description>
  <cp:lastModifiedBy>UFCEP6-0-3 group</cp:lastModifiedBy>
  <cp:revision>1</cp:revision>
  <dcterms:created xsi:type="dcterms:W3CDTF">2013-12-23T23:15:00Z</dcterms:created>
  <dcterms:modified xsi:type="dcterms:W3CDTF">2013-12-23T23:15:00Z</dcterms:modified>
  <cp:category>Assessment submission</cp:category>
</cp:coreProperties>
</file>