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Marked standups and sprint reviews</w:t>
      </w:r>
    </w:p>
    <w:p>
      <w:r>
        <w:rPr>
          <w:b w:val="0"/>
          <w:i w:val="0"/>
        </w:rPr>
        <w:t>Criterion: Marked standups (SU1 and SU2, 5% each, individual) and marked sprint reviews (SR1 and SR2, 10% each, group) — 30% together. Learning outcome LO3.</w:t>
      </w:r>
    </w:p>
    <w:p>
      <w:r>
        <w:rPr>
          <w:b w:val="0"/>
          <w:i w:val="0"/>
        </w:rPr>
        <w:t>This section holds the records of the four marked activities. Each record states what was presented, the evidence used, what the group decided as a result, and what changed in the backlog. The records are written from the notes taken at the session, not reconstructed afterwards; where a figure in a record differs from the repository today, the difference is a post-review improvement and is recorded in the backlog.</w:t>
      </w:r>
    </w:p>
    <w:p>
      <w:pPr>
        <w:pStyle w:val="Heading2"/>
      </w:pPr>
      <w:r>
        <w:t>5.1  When the four activities happened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814"/>
        <w:gridCol w:w="1020"/>
        <w:gridCol w:w="3061"/>
        <w:gridCol w:w="3742"/>
      </w:tblGrid>
      <w:tr>
        <w:trPr>
          <w:tblHeader w:val="true"/>
        </w:trPr>
        <w:tc>
          <w:tcPr>
            <w:tcW w:type="dxa" w:w="1814"/>
            <w:shd w:val="clear" w:color="auto" w:fill="1F3864"/>
          </w:tcPr>
          <w:p>
            <w:pPr>
              <w:spacing w:after="20"/>
            </w:pPr>
            <w:r/>
            <w:r>
              <w:rPr>
                <w:b/>
                <w:color w:val="FFFFFF"/>
                <w:sz w:val="17"/>
              </w:rPr>
              <w:t>Activity</w:t>
            </w:r>
          </w:p>
        </w:tc>
        <w:tc>
          <w:tcPr>
            <w:tcW w:type="dxa" w:w="1020"/>
            <w:shd w:val="clear" w:color="auto" w:fill="1F3864"/>
          </w:tcPr>
          <w:p>
            <w:pPr>
              <w:spacing w:after="20"/>
            </w:pPr>
            <w:r/>
            <w:r>
              <w:rPr>
                <w:b/>
                <w:color w:val="FFFFFF"/>
                <w:sz w:val="17"/>
              </w:rPr>
              <w:t>Sprint</w:t>
            </w:r>
          </w:p>
        </w:tc>
        <w:tc>
          <w:tcPr>
            <w:tcW w:type="dxa" w:w="3061"/>
            <w:shd w:val="clear" w:color="auto" w:fill="1F3864"/>
          </w:tcPr>
          <w:p>
            <w:pPr>
              <w:spacing w:after="20"/>
            </w:pPr>
            <w:r/>
            <w:r>
              <w:rPr>
                <w:b/>
                <w:color w:val="FFFFFF"/>
                <w:sz w:val="17"/>
              </w:rPr>
              <w:t>Timing as published</w:t>
            </w:r>
          </w:p>
        </w:tc>
        <w:tc>
          <w:tcPr>
            <w:tcW w:type="dxa" w:w="3742"/>
            <w:shd w:val="clear" w:color="auto" w:fill="1F3864"/>
          </w:tcPr>
          <w:p>
            <w:pPr>
              <w:spacing w:after="20"/>
            </w:pPr>
            <w:r/>
            <w:r>
              <w:rPr>
                <w:b/>
                <w:color w:val="FFFFFF"/>
                <w:sz w:val="17"/>
              </w:rPr>
              <w:t>Assessed focus</w:t>
            </w:r>
          </w:p>
        </w:tc>
      </w:tr>
      <w:tr>
        <w:trPr>
          <w:cantSplit w:val="true"/>
        </w:trPr>
        <w:tc>
          <w:tcPr>
            <w:tcW w:type="dxa" w:w="1814"/>
          </w:tcPr>
          <w:p>
            <w:pPr>
              <w:spacing w:after="20"/>
            </w:pPr>
            <w:r/>
            <w:r>
              <w:rPr>
                <w:sz w:val="17"/>
              </w:rPr>
              <w:t>Standup 1 (SU1)</w:t>
            </w:r>
          </w:p>
        </w:tc>
        <w:tc>
          <w:tcPr>
            <w:tcW w:type="dxa" w:w="1020"/>
          </w:tcPr>
          <w:p>
            <w:pPr>
              <w:spacing w:after="20"/>
            </w:pPr>
            <w:r/>
            <w:r>
              <w:rPr>
                <w:sz w:val="17"/>
              </w:rPr>
              <w:t>Sprint 1</w:t>
            </w:r>
          </w:p>
        </w:tc>
        <w:tc>
          <w:tcPr>
            <w:tcW w:type="dxa" w:w="3061"/>
          </w:tcPr>
          <w:p>
            <w:pPr>
              <w:spacing w:after="20"/>
            </w:pPr>
            <w:r/>
            <w:r>
              <w:rPr>
                <w:sz w:val="17"/>
              </w:rPr>
              <w:t>during Sprint 1, date announced by the tutors</w:t>
            </w:r>
          </w:p>
        </w:tc>
        <w:tc>
          <w:tcPr>
            <w:tcW w:type="dxa" w:w="3742"/>
          </w:tcPr>
          <w:p>
            <w:pPr>
              <w:spacing w:after="20"/>
            </w:pPr>
            <w:r/>
            <w:r>
              <w:rPr>
                <w:sz w:val="17"/>
              </w:rPr>
              <w:t>individual evidence of progress; next actions, blockers, ownership</w:t>
            </w:r>
          </w:p>
        </w:tc>
      </w:tr>
      <w:tr>
        <w:trPr>
          <w:cantSplit w:val="true"/>
        </w:trPr>
        <w:tc>
          <w:tcPr>
            <w:tcW w:type="dxa" w:w="1814"/>
            <w:shd w:val="clear" w:color="auto" w:fill="EEF2F8"/>
          </w:tcPr>
          <w:p>
            <w:pPr>
              <w:spacing w:after="20"/>
            </w:pPr>
            <w:r/>
            <w:r>
              <w:rPr>
                <w:sz w:val="17"/>
              </w:rPr>
              <w:t>Sprint review 1 (SR1)</w:t>
            </w:r>
          </w:p>
        </w:tc>
        <w:tc>
          <w:tcPr>
            <w:tcW w:type="dxa" w:w="1020"/>
            <w:shd w:val="clear" w:color="auto" w:fill="EEF2F8"/>
          </w:tcPr>
          <w:p>
            <w:pPr>
              <w:spacing w:after="20"/>
            </w:pPr>
            <w:r/>
            <w:r>
              <w:rPr>
                <w:sz w:val="17"/>
              </w:rPr>
              <w:t>Sprint 1</w:t>
            </w:r>
          </w:p>
        </w:tc>
        <w:tc>
          <w:tcPr>
            <w:tcW w:type="dxa" w:w="3061"/>
            <w:shd w:val="clear" w:color="auto" w:fill="EEF2F8"/>
          </w:tcPr>
          <w:p>
            <w:pPr>
              <w:spacing w:after="20"/>
            </w:pPr>
            <w:r/>
            <w:r>
              <w:rPr>
                <w:sz w:val="17"/>
              </w:rPr>
              <w:t>end of Sprint 1, before 28 September 2026</w:t>
            </w:r>
          </w:p>
        </w:tc>
        <w:tc>
          <w:tcPr>
            <w:tcW w:type="dxa" w:w="3742"/>
            <w:shd w:val="clear" w:color="auto" w:fill="EEF2F8"/>
          </w:tcPr>
          <w:p>
            <w:pPr>
              <w:spacing w:after="20"/>
            </w:pPr>
            <w:r/>
            <w:r>
              <w:rPr>
                <w:sz w:val="17"/>
              </w:rPr>
              <w:t>initial executable BPMN increment, configuration management, clear project plan</w:t>
            </w:r>
          </w:p>
        </w:tc>
      </w:tr>
      <w:tr>
        <w:trPr>
          <w:cantSplit w:val="true"/>
        </w:trPr>
        <w:tc>
          <w:tcPr>
            <w:tcW w:type="dxa" w:w="1814"/>
          </w:tcPr>
          <w:p>
            <w:pPr>
              <w:spacing w:after="20"/>
            </w:pPr>
            <w:r/>
            <w:r>
              <w:rPr>
                <w:sz w:val="17"/>
              </w:rPr>
              <w:t>Standup 2 (SU2)</w:t>
            </w:r>
          </w:p>
        </w:tc>
        <w:tc>
          <w:tcPr>
            <w:tcW w:type="dxa" w:w="1020"/>
          </w:tcPr>
          <w:p>
            <w:pPr>
              <w:spacing w:after="20"/>
            </w:pPr>
            <w:r/>
            <w:r>
              <w:rPr>
                <w:sz w:val="17"/>
              </w:rPr>
              <w:t>Sprint 2</w:t>
            </w:r>
          </w:p>
        </w:tc>
        <w:tc>
          <w:tcPr>
            <w:tcW w:type="dxa" w:w="3061"/>
          </w:tcPr>
          <w:p>
            <w:pPr>
              <w:spacing w:after="20"/>
            </w:pPr>
            <w:r/>
            <w:r>
              <w:rPr>
                <w:sz w:val="17"/>
              </w:rPr>
              <w:t>during Sprint 2, date announced by the tutors</w:t>
            </w:r>
          </w:p>
        </w:tc>
        <w:tc>
          <w:tcPr>
            <w:tcW w:type="dxa" w:w="3742"/>
          </w:tcPr>
          <w:p>
            <w:pPr>
              <w:spacing w:after="20"/>
            </w:pPr>
            <w:r/>
            <w:r>
              <w:rPr>
                <w:sz w:val="17"/>
              </w:rPr>
              <w:t>progress, follow-up actions, handover; initial workers and forms</w:t>
            </w:r>
          </w:p>
        </w:tc>
      </w:tr>
      <w:tr>
        <w:trPr>
          <w:cantSplit w:val="true"/>
        </w:trPr>
        <w:tc>
          <w:tcPr>
            <w:tcW w:type="dxa" w:w="1814"/>
            <w:shd w:val="clear" w:color="auto" w:fill="EEF2F8"/>
          </w:tcPr>
          <w:p>
            <w:pPr>
              <w:spacing w:after="20"/>
            </w:pPr>
            <w:r/>
            <w:r>
              <w:rPr>
                <w:sz w:val="17"/>
              </w:rPr>
              <w:t>Sprint review 2 (SR2)</w:t>
            </w:r>
          </w:p>
        </w:tc>
        <w:tc>
          <w:tcPr>
            <w:tcW w:type="dxa" w:w="1020"/>
            <w:shd w:val="clear" w:color="auto" w:fill="EEF2F8"/>
          </w:tcPr>
          <w:p>
            <w:pPr>
              <w:spacing w:after="20"/>
            </w:pPr>
            <w:r/>
            <w:r>
              <w:rPr>
                <w:sz w:val="17"/>
              </w:rPr>
              <w:t>Sprint 2</w:t>
            </w:r>
          </w:p>
        </w:tc>
        <w:tc>
          <w:tcPr>
            <w:tcW w:type="dxa" w:w="3061"/>
            <w:shd w:val="clear" w:color="auto" w:fill="EEF2F8"/>
          </w:tcPr>
          <w:p>
            <w:pPr>
              <w:spacing w:after="20"/>
            </w:pPr>
            <w:r/>
            <w:r>
              <w:rPr>
                <w:sz w:val="17"/>
              </w:rPr>
              <w:t>end of Sprint 2, by 28 September 2026</w:t>
            </w:r>
          </w:p>
        </w:tc>
        <w:tc>
          <w:tcPr>
            <w:tcW w:type="dxa" w:w="3742"/>
            <w:shd w:val="clear" w:color="auto" w:fill="EEF2F8"/>
          </w:tcPr>
          <w:p>
            <w:pPr>
              <w:spacing w:after="20"/>
            </w:pPr>
            <w:r/>
            <w:r>
              <w:rPr>
                <w:sz w:val="17"/>
              </w:rPr>
              <w:t>integrated workflow increment: operational model, workers and forms together</w:t>
            </w:r>
          </w:p>
        </w:tc>
      </w:tr>
    </w:tbl>
    <w:p>
      <w:pPr>
        <w:spacing w:after="40"/>
      </w:pPr>
    </w:p>
    <w:p>
      <w:pPr>
        <w:keepNext/>
        <w:spacing w:before="40" w:after="40"/>
      </w:pPr>
      <w:r>
        <w:rPr>
          <w:b/>
          <w:color w:val="595959"/>
          <w:sz w:val="17"/>
        </w:rPr>
        <w:t>Table 24. The four marked activities. A shared meeting may evidence both units; each unit marks its own criteria.</w:t>
      </w:r>
    </w:p>
    <w:p>
      <w:pPr>
        <w:pStyle w:val="Heading2"/>
      </w:pPr>
      <w:r>
        <w:t>5.2  Definition of done</w:t>
      </w:r>
    </w:p>
    <w:p>
      <w:r>
        <w:rPr>
          <w:b w:val="0"/>
          <w:i w:val="0"/>
        </w:rPr>
        <w:t>The group used one definition of done for every activity, agreed in Sprint 1 and applied unchanged since. An item is Done when all of the following hold:</w:t>
      </w:r>
    </w:p>
    <w:p>
      <w:pPr>
        <w:pStyle w:val="ListNumber"/>
        <w:spacing w:after="40"/>
      </w:pPr>
      <w:r>
        <w:t>it meets the acceptance conditions agreed at sprint planning;</w:t>
      </w:r>
    </w:p>
    <w:p>
      <w:pPr>
        <w:pStyle w:val="ListNumber"/>
        <w:spacing w:after="40"/>
      </w:pPr>
      <w:r>
        <w:t>a second team member has reviewed it;</w:t>
      </w:r>
    </w:p>
    <w:p>
      <w:pPr>
        <w:pStyle w:val="ListNumber"/>
        <w:spacing w:after="40"/>
      </w:pPr>
      <w:r>
        <w:t>it is in the shared repository, not only on the owner's machine;</w:t>
      </w:r>
    </w:p>
    <w:p>
      <w:pPr>
        <w:pStyle w:val="ListNumber"/>
        <w:spacing w:after="40"/>
      </w:pPr>
      <w:r>
        <w:t>it is linked to the evidence that demonstrates it;</w:t>
      </w:r>
    </w:p>
    <w:p>
      <w:pPr>
        <w:pStyle w:val="ListNumber"/>
        <w:spacing w:after="40"/>
      </w:pPr>
      <w:r>
        <w:t>the models parse with zero moddle warnings and lint with zero Camunda 8 reports;</w:t>
      </w:r>
    </w:p>
    <w:p>
      <w:pPr>
        <w:pStyle w:val="ListNumber"/>
        <w:spacing w:after="40"/>
      </w:pPr>
      <w:r>
        <w:t>exports and forms are regenerated from the same revision as the model they belong to;</w:t>
      </w:r>
    </w:p>
    <w:p>
      <w:pPr>
        <w:pStyle w:val="ListNumber"/>
        <w:spacing w:after="40"/>
      </w:pPr>
      <w:r>
        <w:t>the task record shows status, current progress, the next action and any handover.</w:t>
      </w:r>
    </w:p>
    <w:p>
      <w:pPr>
        <w:pStyle w:val="Heading2"/>
      </w:pPr>
      <w:r>
        <w:t>5.3  Standup 1 (SU1) — individual update</w:t>
      </w:r>
    </w:p>
    <w:p>
      <w:r>
        <w:rPr>
          <w:b w:val="0"/>
          <w:i w:val="0"/>
        </w:rPr>
        <w:t>Each member gives a concise update: what was completed, what is next, and what is blocking — with the artefact in hand. Attendance alone earns nothing, so each row names the artefact or task record the update was evidenced from.</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3515"/>
        <w:gridCol w:w="2438"/>
        <w:gridCol w:w="2664"/>
      </w:tblGrid>
      <w:tr>
        <w:trPr>
          <w:tblHeader w:val="true"/>
        </w:trPr>
        <w:tc>
          <w:tcPr>
            <w:tcW w:type="dxa" w:w="1020"/>
            <w:shd w:val="clear" w:color="auto" w:fill="1F3864"/>
          </w:tcPr>
          <w:p>
            <w:pPr>
              <w:spacing w:after="20"/>
            </w:pPr>
            <w:r/>
            <w:r>
              <w:rPr>
                <w:b/>
                <w:color w:val="FFFFFF"/>
                <w:sz w:val="17"/>
              </w:rPr>
              <w:t>Member</w:t>
            </w:r>
          </w:p>
        </w:tc>
        <w:tc>
          <w:tcPr>
            <w:tcW w:type="dxa" w:w="3515"/>
            <w:shd w:val="clear" w:color="auto" w:fill="1F3864"/>
          </w:tcPr>
          <w:p>
            <w:pPr>
              <w:spacing w:after="20"/>
            </w:pPr>
            <w:r/>
            <w:r>
              <w:rPr>
                <w:b/>
                <w:color w:val="FFFFFF"/>
                <w:sz w:val="17"/>
              </w:rPr>
              <w:t>Completed since the last standup (with evidence)</w:t>
            </w:r>
          </w:p>
        </w:tc>
        <w:tc>
          <w:tcPr>
            <w:tcW w:type="dxa" w:w="2438"/>
            <w:shd w:val="clear" w:color="auto" w:fill="1F3864"/>
          </w:tcPr>
          <w:p>
            <w:pPr>
              <w:spacing w:after="20"/>
            </w:pPr>
            <w:r/>
            <w:r>
              <w:rPr>
                <w:b/>
                <w:color w:val="FFFFFF"/>
                <w:sz w:val="17"/>
              </w:rPr>
              <w:t>Next actions</w:t>
            </w:r>
          </w:p>
        </w:tc>
        <w:tc>
          <w:tcPr>
            <w:tcW w:type="dxa" w:w="2665"/>
            <w:shd w:val="clear" w:color="auto" w:fill="1F3864"/>
          </w:tcPr>
          <w:p>
            <w:pPr>
              <w:spacing w:after="20"/>
            </w:pPr>
            <w:r/>
            <w:r>
              <w:rPr>
                <w:b/>
                <w:color w:val="FFFFFF"/>
                <w:sz w:val="17"/>
              </w:rPr>
              <w:t>Blockers, dependencies, handover</w:t>
            </w:r>
          </w:p>
        </w:tc>
      </w:tr>
      <w:tr>
        <w:trPr>
          <w:cantSplit w:val="true"/>
        </w:trPr>
        <w:tc>
          <w:tcPr>
            <w:tcW w:type="dxa" w:w="1020"/>
          </w:tcPr>
          <w:p>
            <w:pPr>
              <w:spacing w:after="20"/>
            </w:pPr>
            <w:r/>
            <w:r>
              <w:rPr>
                <w:sz w:val="17"/>
              </w:rPr>
              <w:t>max</w:t>
            </w:r>
          </w:p>
        </w:tc>
        <w:tc>
          <w:tcPr>
            <w:tcW w:type="dxa" w:w="3515"/>
          </w:tcPr>
          <w:p>
            <w:pPr>
              <w:spacing w:after="20"/>
            </w:pPr>
            <w:r/>
            <w:r>
              <w:rPr>
                <w:sz w:val="17"/>
              </w:rPr>
              <w:t>First executable BPMN file, hospital-referral-final.bpmn, opened and linted in the Modeler (commit 1ca635c)</w:t>
            </w:r>
          </w:p>
        </w:tc>
        <w:tc>
          <w:tcPr>
            <w:tcW w:type="dxa" w:w="2438"/>
          </w:tcPr>
          <w:p>
            <w:pPr>
              <w:spacing w:after="20"/>
            </w:pPr>
            <w:r/>
            <w:r>
              <w:rPr>
                <w:sz w:val="17"/>
              </w:rPr>
              <w:t>Start S1, the level 1 landscape, and the strategic-to-operational mapping</w:t>
            </w:r>
          </w:p>
        </w:tc>
        <w:tc>
          <w:tcPr>
            <w:tcW w:type="dxa" w:w="2665"/>
          </w:tcPr>
          <w:p>
            <w:pPr>
              <w:spacing w:after="20"/>
            </w:pPr>
            <w:r/>
            <w:r>
              <w:rPr>
                <w:sz w:val="17"/>
              </w:rPr>
              <w:t>Nothing blocking. The case study does not say how urgency is decided, so the gateway will evaluate a variable we set by hand</w:t>
            </w:r>
          </w:p>
        </w:tc>
      </w:tr>
      <w:tr>
        <w:trPr>
          <w:cantSplit w:val="true"/>
        </w:trPr>
        <w:tc>
          <w:tcPr>
            <w:tcW w:type="dxa" w:w="1020"/>
            <w:shd w:val="clear" w:color="auto" w:fill="EEF2F8"/>
          </w:tcPr>
          <w:p>
            <w:pPr>
              <w:spacing w:after="20"/>
            </w:pPr>
            <w:r/>
            <w:r>
              <w:rPr>
                <w:sz w:val="17"/>
              </w:rPr>
              <w:t>finn</w:t>
            </w:r>
          </w:p>
        </w:tc>
        <w:tc>
          <w:tcPr>
            <w:tcW w:type="dxa" w:w="3515"/>
            <w:shd w:val="clear" w:color="auto" w:fill="EEF2F8"/>
          </w:tcPr>
          <w:p>
            <w:pPr>
              <w:spacing w:after="20"/>
            </w:pPr>
            <w:r/>
            <w:r>
              <w:rPr>
                <w:sz w:val="17"/>
              </w:rPr>
              <w:t>Job-type inventory read off the model: the automated steps that will need a subscription</w:t>
            </w:r>
          </w:p>
        </w:tc>
        <w:tc>
          <w:tcPr>
            <w:tcW w:type="dxa" w:w="2438"/>
            <w:shd w:val="clear" w:color="auto" w:fill="EEF2F8"/>
          </w:tcPr>
          <w:p>
            <w:pPr>
              <w:spacing w:after="20"/>
            </w:pPr>
            <w:r/>
            <w:r>
              <w:rPr>
                <w:sz w:val="17"/>
              </w:rPr>
              <w:t>Write the first two workers, the slot query and the treatment capacity request</w:t>
            </w:r>
          </w:p>
        </w:tc>
        <w:tc>
          <w:tcPr>
            <w:tcW w:type="dxa" w:w="2665"/>
            <w:shd w:val="clear" w:color="auto" w:fill="EEF2F8"/>
          </w:tcPr>
          <w:p>
            <w:pPr>
              <w:spacing w:after="20"/>
            </w:pPr>
            <w:r/>
            <w:r>
              <w:rPr>
                <w:sz w:val="17"/>
              </w:rPr>
              <w:t>The model still names service tasks by hand, so a rename would orphan a worker. Waiting on the task names being frozen</w:t>
            </w:r>
          </w:p>
        </w:tc>
      </w:tr>
      <w:tr>
        <w:trPr>
          <w:cantSplit w:val="true"/>
        </w:trPr>
        <w:tc>
          <w:tcPr>
            <w:tcW w:type="dxa" w:w="1020"/>
          </w:tcPr>
          <w:p>
            <w:pPr>
              <w:spacing w:after="20"/>
            </w:pPr>
            <w:r/>
            <w:r>
              <w:rPr>
                <w:sz w:val="17"/>
              </w:rPr>
              <w:t>henry</w:t>
            </w:r>
          </w:p>
        </w:tc>
        <w:tc>
          <w:tcPr>
            <w:tcW w:type="dxa" w:w="3515"/>
          </w:tcPr>
          <w:p>
            <w:pPr>
              <w:spacing w:after="20"/>
            </w:pPr>
            <w:r/>
            <w:r>
              <w:rPr>
                <w:sz w:val="17"/>
              </w:rPr>
              <w:t>Repository skeleton (ae99745) and the modelling justification (95bf652)</w:t>
            </w:r>
          </w:p>
        </w:tc>
        <w:tc>
          <w:tcPr>
            <w:tcW w:type="dxa" w:w="2438"/>
          </w:tcPr>
          <w:p>
            <w:pPr>
              <w:spacing w:after="20"/>
            </w:pPr>
            <w:r/>
            <w:r>
              <w:rPr>
                <w:sz w:val="17"/>
              </w:rPr>
              <w:t>Close the requirement list and start the traceability table</w:t>
            </w:r>
          </w:p>
        </w:tc>
        <w:tc>
          <w:tcPr>
            <w:tcW w:type="dxa" w:w="2665"/>
          </w:tcPr>
          <w:p>
            <w:pPr>
              <w:spacing w:after="20"/>
            </w:pPr>
            <w:r/>
            <w:r>
              <w:rPr>
                <w:sz w:val="17"/>
              </w:rPr>
              <w:t>The requirement list cannot close until the model boundary is agreed. max holds the model file and can take the traceability over</w:t>
            </w:r>
          </w:p>
        </w:tc>
      </w:tr>
      <w:tr>
        <w:trPr>
          <w:cantSplit w:val="true"/>
        </w:trPr>
        <w:tc>
          <w:tcPr>
            <w:tcW w:type="dxa" w:w="1020"/>
            <w:shd w:val="clear" w:color="auto" w:fill="EEF2F8"/>
          </w:tcPr>
          <w:p>
            <w:pPr>
              <w:spacing w:after="20"/>
            </w:pPr>
            <w:r/>
            <w:r>
              <w:rPr>
                <w:sz w:val="17"/>
              </w:rPr>
              <w:t>peter</w:t>
            </w:r>
          </w:p>
        </w:tc>
        <w:tc>
          <w:tcPr>
            <w:tcW w:type="dxa" w:w="3515"/>
            <w:shd w:val="clear" w:color="auto" w:fill="EEF2F8"/>
          </w:tcPr>
          <w:p>
            <w:pPr>
              <w:spacing w:after="20"/>
            </w:pPr>
            <w:r/>
            <w:r>
              <w:rPr>
                <w:sz w:val="17"/>
              </w:rPr>
              <w:t>Form inventory: which user tasks need a form and which controls each one needs</w:t>
            </w:r>
          </w:p>
        </w:tc>
        <w:tc>
          <w:tcPr>
            <w:tcW w:type="dxa" w:w="2438"/>
            <w:shd w:val="clear" w:color="auto" w:fill="EEF2F8"/>
          </w:tcPr>
          <w:p>
            <w:pPr>
              <w:spacing w:after="20"/>
            </w:pPr>
            <w:r/>
            <w:r>
              <w:rPr>
                <w:sz w:val="17"/>
              </w:rPr>
              <w:t>Build the first forms for the referral intake</w:t>
            </w:r>
          </w:p>
        </w:tc>
        <w:tc>
          <w:tcPr>
            <w:tcW w:type="dxa" w:w="2665"/>
            <w:shd w:val="clear" w:color="auto" w:fill="EEF2F8"/>
          </w:tcPr>
          <w:p>
            <w:pPr>
              <w:spacing w:after="20"/>
            </w:pPr>
            <w:r/>
            <w:r>
              <w:rPr>
                <w:sz w:val="17"/>
              </w:rPr>
              <w:t>No user task carries a form reference yet, so nothing can be bound until the model is updated. henry is second owner on the inventory</w:t>
            </w:r>
          </w:p>
        </w:tc>
      </w:tr>
    </w:tbl>
    <w:p>
      <w:pPr>
        <w:spacing w:after="40"/>
      </w:pPr>
    </w:p>
    <w:p>
      <w:r>
        <w:rPr>
          <w:b w:val="0"/>
          <w:i w:val="0"/>
        </w:rPr>
        <w:t>Nothing at the standup was blocking outright, so the two blockers that mattered were both dependencies rather than problems: the urgency rule and the missing form references. Neither could be settled inside the sprint. Urgency stayed with max to raise with the module team, the form references stayed with peter until the task list was frozen, and henry took the traceability work off max the same afternoon. That handover is the one recorded in the backlog, and it is the reason the traceability table was finished in Sprint 2 rather than in Sprint 1.</w:t>
      </w:r>
    </w:p>
    <w:p>
      <w:pPr>
        <w:pStyle w:val="Heading2"/>
      </w:pPr>
      <w:r>
        <w:t>5.4  Standup 2 (SU2) — individual update</w:t>
      </w:r>
    </w:p>
    <w:p>
      <w:r>
        <w:rPr>
          <w:b w:val="0"/>
          <w:i w:val="0"/>
        </w:rPr>
        <w:t>Standup 2 is assessed on follow-through as well as progress: the actions agreed at SU1 are expected to have moved, and any handover to the second owner is expected to be visible in the task records.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3515"/>
        <w:gridCol w:w="2438"/>
        <w:gridCol w:w="2664"/>
      </w:tblGrid>
      <w:tr>
        <w:trPr>
          <w:tblHeader w:val="true"/>
        </w:trPr>
        <w:tc>
          <w:tcPr>
            <w:tcW w:type="dxa" w:w="1020"/>
            <w:shd w:val="clear" w:color="auto" w:fill="1F3864"/>
          </w:tcPr>
          <w:p>
            <w:pPr>
              <w:spacing w:after="20"/>
            </w:pPr>
            <w:r/>
            <w:r>
              <w:rPr>
                <w:b/>
                <w:color w:val="FFFFFF"/>
                <w:sz w:val="17"/>
              </w:rPr>
              <w:t>Member</w:t>
            </w:r>
          </w:p>
        </w:tc>
        <w:tc>
          <w:tcPr>
            <w:tcW w:type="dxa" w:w="3515"/>
            <w:shd w:val="clear" w:color="auto" w:fill="1F3864"/>
          </w:tcPr>
          <w:p>
            <w:pPr>
              <w:spacing w:after="20"/>
            </w:pPr>
            <w:r/>
            <w:r>
              <w:rPr>
                <w:b/>
                <w:color w:val="FFFFFF"/>
                <w:sz w:val="17"/>
              </w:rPr>
              <w:t>Completed since SU1 (with evidence)</w:t>
            </w:r>
          </w:p>
        </w:tc>
        <w:tc>
          <w:tcPr>
            <w:tcW w:type="dxa" w:w="2438"/>
            <w:shd w:val="clear" w:color="auto" w:fill="1F3864"/>
          </w:tcPr>
          <w:p>
            <w:pPr>
              <w:spacing w:after="20"/>
            </w:pPr>
            <w:r/>
            <w:r>
              <w:rPr>
                <w:b/>
                <w:color w:val="FFFFFF"/>
                <w:sz w:val="17"/>
              </w:rPr>
              <w:t>Next actions</w:t>
            </w:r>
          </w:p>
        </w:tc>
        <w:tc>
          <w:tcPr>
            <w:tcW w:type="dxa" w:w="2665"/>
            <w:shd w:val="clear" w:color="auto" w:fill="1F3864"/>
          </w:tcPr>
          <w:p>
            <w:pPr>
              <w:spacing w:after="20"/>
            </w:pPr>
            <w:r/>
            <w:r>
              <w:rPr>
                <w:b/>
                <w:color w:val="FFFFFF"/>
                <w:sz w:val="17"/>
              </w:rPr>
              <w:t>Blockers, dependencies, handover</w:t>
            </w:r>
          </w:p>
        </w:tc>
      </w:tr>
      <w:tr>
        <w:trPr>
          <w:cantSplit w:val="true"/>
        </w:trPr>
        <w:tc>
          <w:tcPr>
            <w:tcW w:type="dxa" w:w="1020"/>
          </w:tcPr>
          <w:p>
            <w:pPr>
              <w:spacing w:after="20"/>
            </w:pPr>
            <w:r/>
            <w:r>
              <w:rPr>
                <w:sz w:val="17"/>
              </w:rPr>
              <w:t>max</w:t>
            </w:r>
          </w:p>
        </w:tc>
        <w:tc>
          <w:tcPr>
            <w:tcW w:type="dxa" w:w="3515"/>
          </w:tcPr>
          <w:p>
            <w:pPr>
              <w:spacing w:after="20"/>
            </w:pPr>
            <w:r/>
            <w:r>
              <w:rPr>
                <w:sz w:val="17"/>
              </w:rPr>
              <w:t>O1 merged into one file; participant names corrected and duplicate identifiers removed; the referring organisation pool now sends the referral and waits for the outcome on the same correlation key</w:t>
            </w:r>
          </w:p>
        </w:tc>
        <w:tc>
          <w:tcPr>
            <w:tcW w:type="dxa" w:w="2438"/>
          </w:tcPr>
          <w:p>
            <w:pPr>
              <w:spacing w:after="20"/>
            </w:pPr>
            <w:r/>
            <w:r>
              <w:rPr>
                <w:sz w:val="17"/>
              </w:rPr>
              <w:t>Deploy all four models and hand the exports to henry</w:t>
            </w:r>
          </w:p>
        </w:tc>
        <w:tc>
          <w:tcPr>
            <w:tcW w:type="dxa" w:w="2665"/>
          </w:tcPr>
          <w:p>
            <w:pPr>
              <w:spacing w:after="20"/>
            </w:pPr>
            <w:r/>
            <w:r>
              <w:rPr>
                <w:sz w:val="17"/>
              </w:rPr>
              <w:t>Three files were rejected on deployment over element order (DEP-01 to DEP-03). Fixed at source, but it cost a day</w:t>
            </w:r>
          </w:p>
        </w:tc>
      </w:tr>
      <w:tr>
        <w:trPr>
          <w:cantSplit w:val="true"/>
        </w:trPr>
        <w:tc>
          <w:tcPr>
            <w:tcW w:type="dxa" w:w="1020"/>
            <w:shd w:val="clear" w:color="auto" w:fill="EEF2F8"/>
          </w:tcPr>
          <w:p>
            <w:pPr>
              <w:spacing w:after="20"/>
            </w:pPr>
            <w:r/>
            <w:r>
              <w:rPr>
                <w:sz w:val="17"/>
              </w:rPr>
              <w:t>finn</w:t>
            </w:r>
          </w:p>
        </w:tc>
        <w:tc>
          <w:tcPr>
            <w:tcW w:type="dxa" w:w="3515"/>
            <w:shd w:val="clear" w:color="auto" w:fill="EEF2F8"/>
          </w:tcPr>
          <w:p>
            <w:pPr>
              <w:spacing w:after="20"/>
            </w:pPr>
            <w:r/>
            <w:r>
              <w:rPr>
                <w:sz w:val="17"/>
              </w:rPr>
              <w:t>Worker fleet up on the gateway: the slot, capacity and payment workers write the three variables the gateways read</w:t>
            </w:r>
          </w:p>
        </w:tc>
        <w:tc>
          <w:tcPr>
            <w:tcW w:type="dxa" w:w="2438"/>
            <w:shd w:val="clear" w:color="auto" w:fill="EEF2F8"/>
          </w:tcPr>
          <w:p>
            <w:pPr>
              <w:spacing w:after="20"/>
            </w:pPr>
            <w:r/>
            <w:r>
              <w:rPr>
                <w:sz w:val="17"/>
              </w:rPr>
              <w:t>Add the refund and correspondence workers, then the scenario runs</w:t>
            </w:r>
          </w:p>
        </w:tc>
        <w:tc>
          <w:tcPr>
            <w:tcW w:type="dxa" w:w="2665"/>
            <w:shd w:val="clear" w:color="auto" w:fill="EEF2F8"/>
          </w:tcPr>
          <w:p>
            <w:pPr>
              <w:spacing w:after="20"/>
            </w:pPr>
            <w:r/>
            <w:r>
              <w:rPr>
                <w:sz w:val="17"/>
              </w:rPr>
              <w:t>The payment provider is simulated, so a decline can only be shown by injection. peter is second owner on the scenarios</w:t>
            </w:r>
          </w:p>
        </w:tc>
      </w:tr>
      <w:tr>
        <w:trPr>
          <w:cantSplit w:val="true"/>
        </w:trPr>
        <w:tc>
          <w:tcPr>
            <w:tcW w:type="dxa" w:w="1020"/>
          </w:tcPr>
          <w:p>
            <w:pPr>
              <w:spacing w:after="20"/>
            </w:pPr>
            <w:r/>
            <w:r>
              <w:rPr>
                <w:sz w:val="17"/>
              </w:rPr>
              <w:t>henry</w:t>
            </w:r>
          </w:p>
        </w:tc>
        <w:tc>
          <w:tcPr>
            <w:tcW w:type="dxa" w:w="3515"/>
          </w:tcPr>
          <w:p>
            <w:pPr>
              <w:spacing w:after="20"/>
            </w:pPr>
            <w:r/>
            <w:r>
              <w:rPr>
                <w:sz w:val="17"/>
              </w:rPr>
              <w:t>Requirement list closed at 44 identifiers with the source sentence for each; the acceptance test plan written</w:t>
            </w:r>
          </w:p>
        </w:tc>
        <w:tc>
          <w:tcPr>
            <w:tcW w:type="dxa" w:w="2438"/>
          </w:tcPr>
          <w:p>
            <w:pPr>
              <w:spacing w:after="20"/>
            </w:pPr>
            <w:r/>
            <w:r>
              <w:rPr>
                <w:sz w:val="17"/>
              </w:rPr>
              <w:t>Finish the traceability rows for the non-functional requirements</w:t>
            </w:r>
          </w:p>
        </w:tc>
        <w:tc>
          <w:tcPr>
            <w:tcW w:type="dxa" w:w="2665"/>
          </w:tcPr>
          <w:p>
            <w:pPr>
              <w:spacing w:after="20"/>
            </w:pPr>
            <w:r/>
            <w:r>
              <w:rPr>
                <w:sz w:val="17"/>
              </w:rPr>
              <w:t>Four rows stay open because they are platform properties rather than activities. They will be recorded as not supported rather than modelled</w:t>
            </w:r>
          </w:p>
        </w:tc>
      </w:tr>
      <w:tr>
        <w:trPr>
          <w:cantSplit w:val="true"/>
        </w:trPr>
        <w:tc>
          <w:tcPr>
            <w:tcW w:type="dxa" w:w="1020"/>
            <w:shd w:val="clear" w:color="auto" w:fill="EEF2F8"/>
          </w:tcPr>
          <w:p>
            <w:pPr>
              <w:spacing w:after="20"/>
            </w:pPr>
            <w:r/>
            <w:r>
              <w:rPr>
                <w:sz w:val="17"/>
              </w:rPr>
              <w:t>peter</w:t>
            </w:r>
          </w:p>
        </w:tc>
        <w:tc>
          <w:tcPr>
            <w:tcW w:type="dxa" w:w="3515"/>
            <w:shd w:val="clear" w:color="auto" w:fill="EEF2F8"/>
          </w:tcPr>
          <w:p>
            <w:pPr>
              <w:spacing w:after="20"/>
            </w:pPr>
            <w:r/>
            <w:r>
              <w:rPr>
                <w:sz w:val="17"/>
              </w:rPr>
              <w:t>68 forms generated and bound to every user task; the deployment now carries the forms with the model</w:t>
            </w:r>
          </w:p>
        </w:tc>
        <w:tc>
          <w:tcPr>
            <w:tcW w:type="dxa" w:w="2438"/>
            <w:shd w:val="clear" w:color="auto" w:fill="EEF2F8"/>
          </w:tcPr>
          <w:p>
            <w:pPr>
              <w:spacing w:after="20"/>
            </w:pPr>
            <w:r/>
            <w:r>
              <w:rPr>
                <w:sz w:val="17"/>
              </w:rPr>
              <w:t>Run the acceptance cases and keep the evidence</w:t>
            </w:r>
          </w:p>
        </w:tc>
        <w:tc>
          <w:tcPr>
            <w:tcW w:type="dxa" w:w="2665"/>
            <w:shd w:val="clear" w:color="auto" w:fill="EEF2F8"/>
          </w:tcPr>
          <w:p>
            <w:pPr>
              <w:spacing w:after="20"/>
            </w:pPr>
            <w:r/>
            <w:r>
              <w:rPr>
                <w:sz w:val="17"/>
              </w:rPr>
              <w:t>FORM_NOT_FOUND on the first user task of every instance until the forms were deployed with the model. finn is second owner on the test evidence</w:t>
            </w:r>
          </w:p>
        </w:tc>
      </w:tr>
    </w:tbl>
    <w:p>
      <w:pPr>
        <w:spacing w:after="40"/>
      </w:pPr>
    </w:p>
    <w:p>
      <w:r>
        <w:rPr>
          <w:b w:val="0"/>
          <w:i w:val="0"/>
        </w:rPr>
        <w:t>The actions from SU1 moved. The form references were added and the forms bound, so peter's blocker closed on the first day; the task names were frozen, which closed finn's; henry closed the requirement list and took the four non-functional rows forward as recorded limitations rather than as open work. The urgency question did not move at all, and we stopped pretending it would: it was re-scoped as a dependency on a decision the hospital has not made, and it is the one item carried into the next increment with no action against it.</w:t>
      </w:r>
    </w:p>
    <w:p>
      <w:pPr>
        <w:pStyle w:val="Heading2"/>
      </w:pPr>
      <w:r>
        <w:t>5.5  Sprint review 1 (SR1)</w:t>
      </w:r>
    </w:p>
    <w:p>
      <w:r>
        <w:rPr>
          <w:b w:val="0"/>
          <w:i w:val="0"/>
        </w:rPr>
        <w:t>SR1 assessed the first increment against the sprint goal. The review was expected to show an executable BPMN increment, evidence of configuration management and a plan the client could believe.</w:t>
      </w:r>
    </w:p>
    <w:p>
      <w:r>
        <w:rPr>
          <w:b w:val="0"/>
          <w:i w:val="0"/>
        </w:rPr>
        <w:t>We showed one file. `sr1` is seven files in total: the folder skeleton, hospital-referral-final.bpmn and the modelling justification that goes with it. The model opened and linted cleanly in the Modeler and deployed as a single definition, and that was the increment. There were no forms in the repository and no worker code, so nothing beyond the model itself could be demonstrated. The project plan existed as the product backlog plus the two sprint backlogs. Configuration management existed as commits and nothing else: no tags, which is the gap we have since closed by tagging `sr1` and `sr2` so that this review and the next one can be reopened exactly as they were.</w:t>
      </w:r>
    </w:p>
    <w:p>
      <w:r>
        <w:rPr>
          <w:b w:val="0"/>
          <w:i w:val="0"/>
        </w:rPr>
        <w:t>Three decisions taken on the day. The pathway would be split across three strategic views and one merged operational model, rather than one large diagram, because a single readable view of both the boundary and the detail does not exist. The original acceptance criteria would be kept next to any revision of them, so that a later improvement could not quietly hide an earlier failure. And the pool-naming defect would be treated as a rebuild of the model family rather than a patch, because the same names had been reused with different meanings and patching one of them would have left the others.</w:t>
      </w:r>
    </w:p>
    <w:p>
      <w:r>
        <w:rPr>
          <w:b/>
          <w:i w:val="0"/>
        </w:rPr>
        <w:t>Feedback at SR1 and the change it produced: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2835"/>
        <w:gridCol w:w="2494"/>
        <w:gridCol w:w="1474"/>
      </w:tblGrid>
      <w:tr>
        <w:trPr>
          <w:tblHeader w:val="true"/>
        </w:trPr>
        <w:tc>
          <w:tcPr>
            <w:tcW w:type="dxa" w:w="2835"/>
            <w:shd w:val="clear" w:color="auto" w:fill="1F3864"/>
          </w:tcPr>
          <w:p>
            <w:pPr>
              <w:spacing w:after="20"/>
            </w:pPr>
            <w:r/>
            <w:r>
              <w:rPr>
                <w:b/>
                <w:color w:val="FFFFFF"/>
                <w:sz w:val="17"/>
              </w:rPr>
              <w:t>Point raised</w:t>
            </w:r>
          </w:p>
        </w:tc>
        <w:tc>
          <w:tcPr>
            <w:tcW w:type="dxa" w:w="2835"/>
            <w:shd w:val="clear" w:color="auto" w:fill="1F3864"/>
          </w:tcPr>
          <w:p>
            <w:pPr>
              <w:spacing w:after="20"/>
            </w:pPr>
            <w:r/>
            <w:r>
              <w:rPr>
                <w:b/>
                <w:color w:val="FFFFFF"/>
                <w:sz w:val="17"/>
              </w:rPr>
              <w:t>Agreed response</w:t>
            </w:r>
          </w:p>
        </w:tc>
        <w:tc>
          <w:tcPr>
            <w:tcW w:type="dxa" w:w="2494"/>
            <w:shd w:val="clear" w:color="auto" w:fill="1F3864"/>
          </w:tcPr>
          <w:p>
            <w:pPr>
              <w:spacing w:after="20"/>
            </w:pPr>
            <w:r/>
            <w:r>
              <w:rPr>
                <w:b/>
                <w:color w:val="FFFFFF"/>
                <w:sz w:val="17"/>
              </w:rPr>
              <w:t>Backlog change</w:t>
            </w:r>
          </w:p>
        </w:tc>
        <w:tc>
          <w:tcPr>
            <w:tcW w:type="dxa" w:w="1474"/>
            <w:shd w:val="clear" w:color="auto" w:fill="1F3864"/>
          </w:tcPr>
          <w:p>
            <w:pPr>
              <w:spacing w:after="20"/>
            </w:pPr>
            <w:r/>
            <w:r>
              <w:rPr>
                <w:b/>
                <w:color w:val="FFFFFF"/>
                <w:sz w:val="17"/>
              </w:rPr>
              <w:t>Owner (1st / 2nd)</w:t>
            </w:r>
          </w:p>
        </w:tc>
      </w:tr>
      <w:tr>
        <w:trPr>
          <w:cantSplit w:val="true"/>
        </w:trPr>
        <w:tc>
          <w:tcPr>
            <w:tcW w:type="dxa" w:w="2835"/>
          </w:tcPr>
          <w:p>
            <w:pPr>
              <w:spacing w:after="20"/>
            </w:pPr>
            <w:r/>
            <w:r>
              <w:rPr>
                <w:sz w:val="17"/>
              </w:rPr>
              <w:t>The pool names do not match the processes inside them, and two pools share a name (DEF-03, DEF-04)</w:t>
            </w:r>
          </w:p>
        </w:tc>
        <w:tc>
          <w:tcPr>
            <w:tcW w:type="dxa" w:w="2835"/>
          </w:tcPr>
          <w:p>
            <w:pPr>
              <w:spacing w:after="20"/>
            </w:pPr>
            <w:r/>
            <w:r>
              <w:rPr>
                <w:sz w:val="17"/>
              </w:rPr>
              <w:t>One participant per organisation, each name matched to its own process</w:t>
            </w:r>
          </w:p>
        </w:tc>
        <w:tc>
          <w:tcPr>
            <w:tcW w:type="dxa" w:w="2494"/>
          </w:tcPr>
          <w:p>
            <w:pPr>
              <w:spacing w:after="20"/>
            </w:pPr>
            <w:r/>
            <w:r>
              <w:rPr>
                <w:sz w:val="17"/>
              </w:rPr>
              <w:t>The rebuild of the three fragments became a single Sprint 2 item with an estimate</w:t>
            </w:r>
          </w:p>
        </w:tc>
        <w:tc>
          <w:tcPr>
            <w:tcW w:type="dxa" w:w="1474"/>
          </w:tcPr>
          <w:p>
            <w:pPr>
              <w:spacing w:after="20"/>
            </w:pPr>
            <w:r/>
            <w:r>
              <w:rPr>
                <w:sz w:val="17"/>
              </w:rPr>
              <w:t>max / henry</w:t>
            </w:r>
          </w:p>
        </w:tc>
      </w:tr>
      <w:tr>
        <w:trPr>
          <w:cantSplit w:val="true"/>
        </w:trPr>
        <w:tc>
          <w:tcPr>
            <w:tcW w:type="dxa" w:w="2835"/>
            <w:shd w:val="clear" w:color="auto" w:fill="EEF2F8"/>
          </w:tcPr>
          <w:p>
            <w:pPr>
              <w:spacing w:after="20"/>
            </w:pPr>
            <w:r/>
            <w:r>
              <w:rPr>
                <w:sz w:val="17"/>
              </w:rPr>
              <w:t>The 14-day telephone rule is missing, and a 14-day timer the case study does not describe terminates the process (DEF-14, DEF-15)</w:t>
            </w:r>
          </w:p>
        </w:tc>
        <w:tc>
          <w:tcPr>
            <w:tcW w:type="dxa" w:w="2835"/>
            <w:shd w:val="clear" w:color="auto" w:fill="EEF2F8"/>
          </w:tcPr>
          <w:p>
            <w:pPr>
              <w:spacing w:after="20"/>
            </w:pPr>
            <w:r/>
            <w:r>
              <w:rPr>
                <w:sz w:val="17"/>
              </w:rPr>
              <w:t>Make the rule an explicit gateway, and record every attempt with its outcome</w:t>
            </w:r>
          </w:p>
        </w:tc>
        <w:tc>
          <w:tcPr>
            <w:tcW w:type="dxa" w:w="2494"/>
            <w:shd w:val="clear" w:color="auto" w:fill="EEF2F8"/>
          </w:tcPr>
          <w:p>
            <w:pPr>
              <w:spacing w:after="20"/>
            </w:pPr>
            <w:r/>
            <w:r>
              <w:rPr>
                <w:sz w:val="17"/>
              </w:rPr>
              <w:t>New item; delivered as T_TelephonePatient and T_RecordContactAttempt</w:t>
            </w:r>
          </w:p>
        </w:tc>
        <w:tc>
          <w:tcPr>
            <w:tcW w:type="dxa" w:w="1474"/>
            <w:shd w:val="clear" w:color="auto" w:fill="EEF2F8"/>
          </w:tcPr>
          <w:p>
            <w:pPr>
              <w:spacing w:after="20"/>
            </w:pPr>
            <w:r/>
            <w:r>
              <w:rPr>
                <w:sz w:val="17"/>
              </w:rPr>
              <w:t>peter / finn</w:t>
            </w:r>
          </w:p>
        </w:tc>
      </w:tr>
    </w:tbl>
    <w:p>
      <w:pPr>
        <w:spacing w:after="40"/>
      </w:pPr>
    </w:p>
    <w:p>
      <w:pPr>
        <w:pStyle w:val="Heading2"/>
      </w:pPr>
      <w:r>
        <w:t>5.6  Sprint review 2 (SR2)</w:t>
      </w:r>
    </w:p>
    <w:p>
      <w:r>
        <w:rPr>
          <w:b w:val="0"/>
          <w:i w:val="0"/>
        </w:rPr>
        <w:t>SR2 assessed the integrated increment: the operational model with its workers and forms running together. This is the review whose evidence this portfolio relies on most heavily, because the acceptance run and the worker scenarios were presented at it.</w:t>
      </w:r>
    </w:p>
    <w:p>
      <w:r>
        <w:rPr>
          <w:b w:val="0"/>
          <w:i w:val="0"/>
        </w:rPr>
        <w:t>By SR2 the increment was the whole release. `sr2` holds 318 files: four models, 68 Camunda Forms, thirty worker source files, and the acceptance evidence. We demonstrated the operational model from the start message through to a confirmed treatment schedule with the fleet running, then opened a second instance on the declined-payment path to show a failure branch rather than describing one. The run the evidence points at finished at 2026-09-26T16:17:23Z with eighteen cases passed and no incidents, and that is the run recorded in Table 20.</w:t>
      </w:r>
    </w:p>
    <w:p>
      <w:r>
        <w:rPr>
          <w:b w:val="0"/>
          <w:i w:val="0"/>
        </w:rPr>
        <w:t>The sprint goal was an integrated increment: model, workers and forms running together with acceptance evidence. Two of the three were complete on the day. The forms were bound and deployed, but the enquiry and reporting processes had been deployed and never driven, and reporting cannot be driven at all because its only start event is a monthly timer. We also had no role-based access control and no persisted store at that point. Those are the review's first two items below, and they were delivered after the release rather than inside it, so they belong to the next increment and not to this record.</w:t>
      </w:r>
    </w:p>
    <w:p>
      <w:r>
        <w:rPr>
          <w:b/>
          <w:i w:val="0"/>
        </w:rPr>
        <w:t>Feedback at SR2 and the change it produced: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2835"/>
        <w:gridCol w:w="2494"/>
        <w:gridCol w:w="1474"/>
      </w:tblGrid>
      <w:tr>
        <w:trPr>
          <w:tblHeader w:val="true"/>
        </w:trPr>
        <w:tc>
          <w:tcPr>
            <w:tcW w:type="dxa" w:w="2835"/>
            <w:shd w:val="clear" w:color="auto" w:fill="1F3864"/>
          </w:tcPr>
          <w:p>
            <w:pPr>
              <w:spacing w:after="20"/>
            </w:pPr>
            <w:r/>
            <w:r>
              <w:rPr>
                <w:b/>
                <w:color w:val="FFFFFF"/>
                <w:sz w:val="17"/>
              </w:rPr>
              <w:t>Point raised</w:t>
            </w:r>
          </w:p>
        </w:tc>
        <w:tc>
          <w:tcPr>
            <w:tcW w:type="dxa" w:w="2835"/>
            <w:shd w:val="clear" w:color="auto" w:fill="1F3864"/>
          </w:tcPr>
          <w:p>
            <w:pPr>
              <w:spacing w:after="20"/>
            </w:pPr>
            <w:r/>
            <w:r>
              <w:rPr>
                <w:b/>
                <w:color w:val="FFFFFF"/>
                <w:sz w:val="17"/>
              </w:rPr>
              <w:t>Agreed response</w:t>
            </w:r>
          </w:p>
        </w:tc>
        <w:tc>
          <w:tcPr>
            <w:tcW w:type="dxa" w:w="2494"/>
            <w:shd w:val="clear" w:color="auto" w:fill="1F3864"/>
          </w:tcPr>
          <w:p>
            <w:pPr>
              <w:spacing w:after="20"/>
            </w:pPr>
            <w:r/>
            <w:r>
              <w:rPr>
                <w:b/>
                <w:color w:val="FFFFFF"/>
                <w:sz w:val="17"/>
              </w:rPr>
              <w:t>Backlog change</w:t>
            </w:r>
          </w:p>
        </w:tc>
        <w:tc>
          <w:tcPr>
            <w:tcW w:type="dxa" w:w="1474"/>
            <w:shd w:val="clear" w:color="auto" w:fill="1F3864"/>
          </w:tcPr>
          <w:p>
            <w:pPr>
              <w:spacing w:after="20"/>
            </w:pPr>
            <w:r/>
            <w:r>
              <w:rPr>
                <w:b/>
                <w:color w:val="FFFFFF"/>
                <w:sz w:val="17"/>
              </w:rPr>
              <w:t>Owner (1st / 2nd)</w:t>
            </w:r>
          </w:p>
        </w:tc>
      </w:tr>
      <w:tr>
        <w:trPr>
          <w:cantSplit w:val="true"/>
        </w:trPr>
        <w:tc>
          <w:tcPr>
            <w:tcW w:type="dxa" w:w="2835"/>
          </w:tcPr>
          <w:p>
            <w:pPr>
              <w:spacing w:after="20"/>
            </w:pPr>
            <w:r/>
            <w:r>
              <w:rPr>
                <w:sz w:val="17"/>
              </w:rPr>
              <w:t>1. Implement database integration to support data persistence</w:t>
            </w:r>
          </w:p>
        </w:tc>
        <w:tc>
          <w:tcPr>
            <w:tcW w:type="dxa" w:w="2835"/>
          </w:tcPr>
          <w:p>
            <w:pPr>
              <w:spacing w:after="20"/>
            </w:pPr>
            <w:r/>
            <w:r>
              <w:rPr>
                <w:sz w:val="17"/>
              </w:rPr>
              <w:t>Put an embedded store behind the existing store classes so no worker has to be rewritten, and prove it by writing in one process and reading in another</w:t>
            </w:r>
          </w:p>
        </w:tc>
        <w:tc>
          <w:tcPr>
            <w:tcW w:type="dxa" w:w="2494"/>
          </w:tcPr>
          <w:p>
            <w:pPr>
              <w:spacing w:after="20"/>
            </w:pPr>
            <w:r/>
            <w:r>
              <w:rPr>
                <w:sz w:val="17"/>
              </w:rPr>
              <w:t>New item, first in the increment after the review</w:t>
            </w:r>
          </w:p>
        </w:tc>
        <w:tc>
          <w:tcPr>
            <w:tcW w:type="dxa" w:w="1474"/>
          </w:tcPr>
          <w:p>
            <w:pPr>
              <w:spacing w:after="20"/>
            </w:pPr>
            <w:r/>
            <w:r>
              <w:rPr>
                <w:sz w:val="17"/>
              </w:rPr>
              <w:t>finn / henry</w:t>
            </w:r>
          </w:p>
        </w:tc>
      </w:tr>
      <w:tr>
        <w:trPr>
          <w:cantSplit w:val="true"/>
        </w:trPr>
        <w:tc>
          <w:tcPr>
            <w:tcW w:type="dxa" w:w="2835"/>
            <w:shd w:val="clear" w:color="auto" w:fill="EEF2F8"/>
          </w:tcPr>
          <w:p>
            <w:pPr>
              <w:spacing w:after="20"/>
            </w:pPr>
            <w:r/>
            <w:r>
              <w:rPr>
                <w:sz w:val="17"/>
              </w:rPr>
              <w:t>2. Implement role-based access control</w:t>
            </w:r>
          </w:p>
        </w:tc>
        <w:tc>
          <w:tcPr>
            <w:tcW w:type="dxa" w:w="2835"/>
            <w:shd w:val="clear" w:color="auto" w:fill="EEF2F8"/>
          </w:tcPr>
          <w:p>
            <w:pPr>
              <w:spacing w:after="20"/>
            </w:pPr>
            <w:r/>
            <w:r>
              <w:rPr>
                <w:sz w:val="17"/>
              </w:rPr>
              <w:t>Enable authorization on the cluster, create the ten candidate groups and one user per group, then verify visibility rather than documenting the design</w:t>
            </w:r>
          </w:p>
        </w:tc>
        <w:tc>
          <w:tcPr>
            <w:tcW w:type="dxa" w:w="2494"/>
            <w:shd w:val="clear" w:color="auto" w:fill="EEF2F8"/>
          </w:tcPr>
          <w:p>
            <w:pPr>
              <w:spacing w:after="20"/>
            </w:pPr>
            <w:r/>
            <w:r>
              <w:rPr>
                <w:sz w:val="17"/>
              </w:rPr>
              <w:t>New item; needs a cluster restart to verify</w:t>
            </w:r>
          </w:p>
        </w:tc>
        <w:tc>
          <w:tcPr>
            <w:tcW w:type="dxa" w:w="1474"/>
            <w:shd w:val="clear" w:color="auto" w:fill="EEF2F8"/>
          </w:tcPr>
          <w:p>
            <w:pPr>
              <w:spacing w:after="20"/>
            </w:pPr>
            <w:r/>
            <w:r>
              <w:rPr>
                <w:sz w:val="17"/>
              </w:rPr>
              <w:t>peter / finn</w:t>
            </w:r>
          </w:p>
        </w:tc>
      </w:tr>
      <w:tr>
        <w:trPr>
          <w:cantSplit w:val="true"/>
        </w:trPr>
        <w:tc>
          <w:tcPr>
            <w:tcW w:type="dxa" w:w="2835"/>
          </w:tcPr>
          <w:p>
            <w:pPr>
              <w:spacing w:after="20"/>
            </w:pPr>
            <w:r/>
            <w:r>
              <w:rPr>
                <w:sz w:val="17"/>
              </w:rPr>
              <w:t>3. Resolve the issues in the BPMN model so that it accurately represents the business process</w:t>
            </w:r>
          </w:p>
        </w:tc>
        <w:tc>
          <w:tcPr>
            <w:tcW w:type="dxa" w:w="2835"/>
          </w:tcPr>
          <w:p>
            <w:pPr>
              <w:spacing w:after="20"/>
            </w:pPr>
            <w:r/>
            <w:r>
              <w:rPr>
                <w:sz w:val="17"/>
              </w:rPr>
              <w:t>Triage every defect in the fragments, fix at source, then re-validate all four models with the same toolchain</w:t>
            </w:r>
          </w:p>
        </w:tc>
        <w:tc>
          <w:tcPr>
            <w:tcW w:type="dxa" w:w="2494"/>
          </w:tcPr>
          <w:p>
            <w:pPr>
              <w:spacing w:after="20"/>
            </w:pPr>
            <w:r/>
            <w:r>
              <w:rPr>
                <w:sz w:val="17"/>
              </w:rPr>
              <w:t>The rebuild item is enlarged; each defect gets an ID</w:t>
            </w:r>
          </w:p>
        </w:tc>
        <w:tc>
          <w:tcPr>
            <w:tcW w:type="dxa" w:w="1474"/>
          </w:tcPr>
          <w:p>
            <w:pPr>
              <w:spacing w:after="20"/>
            </w:pPr>
            <w:r/>
            <w:r>
              <w:rPr>
                <w:sz w:val="17"/>
              </w:rPr>
              <w:t>max / henry</w:t>
            </w:r>
          </w:p>
        </w:tc>
      </w:tr>
      <w:tr>
        <w:trPr>
          <w:cantSplit w:val="true"/>
        </w:trPr>
        <w:tc>
          <w:tcPr>
            <w:tcW w:type="dxa" w:w="2835"/>
            <w:shd w:val="clear" w:color="auto" w:fill="EEF2F8"/>
          </w:tcPr>
          <w:p>
            <w:pPr>
              <w:spacing w:after="20"/>
            </w:pPr>
            <w:r/>
            <w:r>
              <w:rPr>
                <w:sz w:val="17"/>
              </w:rPr>
              <w:t>4. Implement appropriate form validation to prevent missing or invalid inputs</w:t>
            </w:r>
          </w:p>
        </w:tc>
        <w:tc>
          <w:tcPr>
            <w:tcW w:type="dxa" w:w="2835"/>
            <w:shd w:val="clear" w:color="auto" w:fill="EEF2F8"/>
          </w:tcPr>
          <w:p>
            <w:pPr>
              <w:spacing w:after="20"/>
            </w:pPr>
            <w:r/>
            <w:r>
              <w:rPr>
                <w:sz w:val="17"/>
              </w:rPr>
              <w:t>Required and format validation on every field a gateway reads, plus the fields the case study says must be recorded</w:t>
            </w:r>
          </w:p>
        </w:tc>
        <w:tc>
          <w:tcPr>
            <w:tcW w:type="dxa" w:w="2494"/>
            <w:shd w:val="clear" w:color="auto" w:fill="EEF2F8"/>
          </w:tcPr>
          <w:p>
            <w:pPr>
              <w:spacing w:after="20"/>
            </w:pPr>
            <w:r/>
            <w:r>
              <w:rPr>
                <w:sz w:val="17"/>
              </w:rPr>
              <w:t>New item</w:t>
            </w:r>
          </w:p>
        </w:tc>
        <w:tc>
          <w:tcPr>
            <w:tcW w:type="dxa" w:w="1474"/>
            <w:shd w:val="clear" w:color="auto" w:fill="EEF2F8"/>
          </w:tcPr>
          <w:p>
            <w:pPr>
              <w:spacing w:after="20"/>
            </w:pPr>
            <w:r/>
            <w:r>
              <w:rPr>
                <w:sz w:val="17"/>
              </w:rPr>
              <w:t>peter / henry</w:t>
            </w:r>
          </w:p>
        </w:tc>
      </w:tr>
      <w:tr>
        <w:trPr>
          <w:cantSplit w:val="true"/>
        </w:trPr>
        <w:tc>
          <w:tcPr>
            <w:tcW w:type="dxa" w:w="2835"/>
          </w:tcPr>
          <w:p>
            <w:pPr>
              <w:spacing w:after="20"/>
            </w:pPr>
            <w:r/>
            <w:r>
              <w:rPr>
                <w:sz w:val="17"/>
              </w:rPr>
              <w:t>5. Use appropriate input field types for the data being collected</w:t>
            </w:r>
          </w:p>
        </w:tc>
        <w:tc>
          <w:tcPr>
            <w:tcW w:type="dxa" w:w="2835"/>
          </w:tcPr>
          <w:p>
            <w:pPr>
              <w:spacing w:after="20"/>
            </w:pPr>
            <w:r/>
            <w:r>
              <w:rPr>
                <w:sz w:val="17"/>
              </w:rPr>
              <w:t>Audit every form against the gateway it feeds and replace free text with selects and numbers wherever the process compares a fixed value</w:t>
            </w:r>
          </w:p>
        </w:tc>
        <w:tc>
          <w:tcPr>
            <w:tcW w:type="dxa" w:w="2494"/>
          </w:tcPr>
          <w:p>
            <w:pPr>
              <w:spacing w:after="20"/>
            </w:pPr>
            <w:r/>
            <w:r>
              <w:rPr>
                <w:sz w:val="17"/>
              </w:rPr>
              <w:t>New item; the audit feeds the change log</w:t>
            </w:r>
          </w:p>
        </w:tc>
        <w:tc>
          <w:tcPr>
            <w:tcW w:type="dxa" w:w="1474"/>
          </w:tcPr>
          <w:p>
            <w:pPr>
              <w:spacing w:after="20"/>
            </w:pPr>
            <w:r/>
            <w:r>
              <w:rPr>
                <w:sz w:val="17"/>
              </w:rPr>
              <w:t>peter / finn</w:t>
            </w:r>
          </w:p>
        </w:tc>
      </w:tr>
    </w:tbl>
    <w:p>
      <w:pPr>
        <w:spacing w:after="40"/>
      </w:pPr>
    </w:p>
    <w:p>
      <w:pPr>
        <w:pStyle w:val="Heading2"/>
      </w:pPr>
      <w:r>
        <w:t>5.7  Retrospectives</w:t>
      </w:r>
    </w:p>
    <w:p>
      <w:r>
        <w:rPr>
          <w:b w:val="0"/>
          <w:i w:val="0"/>
        </w:rPr>
        <w:t>A short retrospective was held after each review. The record states what went well, what did not, and the one or two improvements carried into the next sprint.</w:t>
      </w:r>
    </w:p>
    <w:p>
      <w:pPr>
        <w:pStyle w:val="Heading3"/>
      </w:pPr>
      <w:r>
        <w:t>Sprint 1 retrospective</w:t>
      </w:r>
    </w:p>
    <w:p>
      <w:r>
        <w:rPr>
          <w:b w:val="0"/>
          <w:i w:val="0"/>
        </w:rPr>
        <w:t>Went well: the abstraction level was agreed in writing before anyone drew anything, so the three files that appeared had the same boundary even though they disagreed about almost everything else. The second-owner rule held, and the one handover it was built for (traceability from max to henry) happened without a gap.</w:t>
      </w:r>
    </w:p>
    <w:p>
      <w:r>
        <w:rPr>
          <w:b w:val="0"/>
          <w:i w:val="0"/>
        </w:rPr>
        <w:t>Did not go well: we planned 128 hours against 80 hours of capacity, which made the sprint look late from the first day even while it was going to plan. We also left the merge out of the backlog entirely, as if three files written separately would join themselves up.</w:t>
      </w:r>
    </w:p>
    <w:p>
      <w:r>
        <w:rPr>
          <w:b w:val="0"/>
          <w:i w:val="0"/>
        </w:rPr>
        <w:t>Carried into Sprint 2: the model family structure agreed before more BPMN is written, and the merge added as a backlog item with its own estimate and owner.</w:t>
      </w:r>
    </w:p>
    <w:p>
      <w:pPr>
        <w:pStyle w:val="Heading3"/>
      </w:pPr>
      <w:r>
        <w:t>Sprint 2 retrospective</w:t>
      </w:r>
    </w:p>
    <w:p>
      <w:r>
        <w:rPr>
          <w:b w:val="0"/>
          <w:i w:val="0"/>
        </w:rPr>
        <w:t>Went well: deploying to a real cluster was the single most useful thing we did. It found three element-order violations and the form-binding defect that the schema round-trip, the lint engine and the Modeler had all passed. Writing the acceptance harness before the exception paths were specified also paid off, because each new case after the third was cheap.</w:t>
      </w:r>
    </w:p>
    <w:p>
      <w:r>
        <w:rPr>
          <w:b w:val="0"/>
          <w:i w:val="0"/>
        </w:rPr>
        <w:t>Did not go well: integration again landed in the last two days, and the forms were finished last, so the first deployment of the release had nothing to bind to and every instance raised FORM_NOT_FOUND until it did. Documentation was treated as the work that happens after the work.</w:t>
      </w:r>
    </w:p>
    <w:p>
      <w:r>
        <w:rPr>
          <w:b w:val="0"/>
          <w:i w:val="0"/>
        </w:rPr>
        <w:t>Carried into the next increment: a deployment rehearsal at mid-sprint rather than at the end, the model frozen before the forms are generated, and documentation given its own backlog items so it cannot be the thing that absorbs the slip.</w:t>
      </w:r>
    </w:p>
    <w:p>
      <w:pPr>
        <w:pStyle w:val="Heading2"/>
      </w:pPr>
      <w:r>
        <w:t>5.8  Feedback action record</w:t>
      </w:r>
    </w:p>
    <w:p>
      <w:r>
        <w:rPr>
          <w:b w:val="0"/>
          <w:i w:val="0"/>
        </w:rPr>
        <w:t>Every point raised at a review is traced to an agreed response, an owner, and the evidence that it was completed. Where an action was not implemented, the reason and the outstanding implication are recorded rather than the row being dropped.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737"/>
        <w:gridCol w:w="2494"/>
        <w:gridCol w:w="2381"/>
        <w:gridCol w:w="1247"/>
        <w:gridCol w:w="2778"/>
      </w:tblGrid>
      <w:tr>
        <w:trPr>
          <w:tblHeader w:val="true"/>
        </w:trPr>
        <w:tc>
          <w:tcPr>
            <w:tcW w:type="dxa" w:w="737"/>
            <w:shd w:val="clear" w:color="auto" w:fill="1F3864"/>
          </w:tcPr>
          <w:p>
            <w:pPr>
              <w:spacing w:after="20"/>
            </w:pPr>
            <w:r/>
            <w:r>
              <w:rPr>
                <w:b/>
                <w:color w:val="FFFFFF"/>
                <w:sz w:val="16"/>
              </w:rPr>
              <w:t>ID</w:t>
            </w:r>
          </w:p>
        </w:tc>
        <w:tc>
          <w:tcPr>
            <w:tcW w:type="dxa" w:w="2494"/>
            <w:shd w:val="clear" w:color="auto" w:fill="1F3864"/>
          </w:tcPr>
          <w:p>
            <w:pPr>
              <w:spacing w:after="20"/>
            </w:pPr>
            <w:r/>
            <w:r>
              <w:rPr>
                <w:b/>
                <w:color w:val="FFFFFF"/>
                <w:sz w:val="16"/>
              </w:rPr>
              <w:t>Point raised (review)</w:t>
            </w:r>
          </w:p>
        </w:tc>
        <w:tc>
          <w:tcPr>
            <w:tcW w:type="dxa" w:w="2381"/>
            <w:shd w:val="clear" w:color="auto" w:fill="1F3864"/>
          </w:tcPr>
          <w:p>
            <w:pPr>
              <w:spacing w:after="20"/>
            </w:pPr>
            <w:r/>
            <w:r>
              <w:rPr>
                <w:b/>
                <w:color w:val="FFFFFF"/>
                <w:sz w:val="16"/>
              </w:rPr>
              <w:t>Agreed response</w:t>
            </w:r>
          </w:p>
        </w:tc>
        <w:tc>
          <w:tcPr>
            <w:tcW w:type="dxa" w:w="1247"/>
            <w:shd w:val="clear" w:color="auto" w:fill="1F3864"/>
          </w:tcPr>
          <w:p>
            <w:pPr>
              <w:spacing w:after="20"/>
            </w:pPr>
            <w:r/>
            <w:r>
              <w:rPr>
                <w:b/>
                <w:color w:val="FFFFFF"/>
                <w:sz w:val="16"/>
              </w:rPr>
              <w:t>Owner (1st / 2nd)</w:t>
            </w:r>
          </w:p>
        </w:tc>
        <w:tc>
          <w:tcPr>
            <w:tcW w:type="dxa" w:w="2778"/>
            <w:shd w:val="clear" w:color="auto" w:fill="1F3864"/>
          </w:tcPr>
          <w:p>
            <w:pPr>
              <w:spacing w:after="20"/>
            </w:pPr>
            <w:r/>
            <w:r>
              <w:rPr>
                <w:b/>
                <w:color w:val="FFFFFF"/>
                <w:sz w:val="16"/>
              </w:rPr>
              <w:t>Evidence of completion / reason not done</w:t>
            </w:r>
          </w:p>
        </w:tc>
      </w:tr>
      <w:tr>
        <w:trPr>
          <w:cantSplit w:val="true"/>
        </w:trPr>
        <w:tc>
          <w:tcPr>
            <w:tcW w:type="dxa" w:w="737"/>
          </w:tcPr>
          <w:p>
            <w:pPr>
              <w:spacing w:after="20"/>
            </w:pPr>
            <w:r/>
            <w:r>
              <w:rPr>
                <w:sz w:val="16"/>
              </w:rPr>
              <w:t>FB-01</w:t>
            </w:r>
          </w:p>
        </w:tc>
        <w:tc>
          <w:tcPr>
            <w:tcW w:type="dxa" w:w="2494"/>
          </w:tcPr>
          <w:p>
            <w:pPr>
              <w:spacing w:after="20"/>
            </w:pPr>
            <w:r/>
            <w:r>
              <w:rPr>
                <w:sz w:val="16"/>
              </w:rPr>
              <w:t>SR2: implement database integration to support data persistence</w:t>
            </w:r>
          </w:p>
        </w:tc>
        <w:tc>
          <w:tcPr>
            <w:tcW w:type="dxa" w:w="2381"/>
          </w:tcPr>
          <w:p>
            <w:pPr>
              <w:spacing w:after="20"/>
            </w:pPr>
            <w:r/>
            <w:r>
              <w:rPr>
                <w:sz w:val="16"/>
              </w:rPr>
              <w:t>embedded store behind the existing store classes; write in one process, read in a fresh JVM</w:t>
            </w:r>
          </w:p>
        </w:tc>
        <w:tc>
          <w:tcPr>
            <w:tcW w:type="dxa" w:w="1247"/>
          </w:tcPr>
          <w:p>
            <w:pPr>
              <w:spacing w:after="20"/>
            </w:pPr>
            <w:r/>
            <w:r>
              <w:rPr>
                <w:sz w:val="16"/>
              </w:rPr>
              <w:t>finn / henry</w:t>
            </w:r>
          </w:p>
        </w:tc>
        <w:tc>
          <w:tcPr>
            <w:tcW w:type="dxa" w:w="2778"/>
          </w:tcPr>
          <w:p>
            <w:pPr>
              <w:spacing w:after="20"/>
            </w:pPr>
            <w:r/>
            <w:r>
              <w:rPr>
                <w:sz w:val="16"/>
              </w:rPr>
              <w:t>Implemented in the next increment. H2 with four tables; persistence check 7 of 7 (05_Test_Evidence/persistence/), 41 unit tests still pass</w:t>
            </w:r>
          </w:p>
        </w:tc>
      </w:tr>
      <w:tr>
        <w:trPr>
          <w:cantSplit w:val="true"/>
        </w:trPr>
        <w:tc>
          <w:tcPr>
            <w:tcW w:type="dxa" w:w="737"/>
            <w:shd w:val="clear" w:color="auto" w:fill="EEF2F8"/>
          </w:tcPr>
          <w:p>
            <w:pPr>
              <w:spacing w:after="20"/>
            </w:pPr>
            <w:r/>
            <w:r>
              <w:rPr>
                <w:sz w:val="16"/>
              </w:rPr>
              <w:t>FB-02</w:t>
            </w:r>
          </w:p>
        </w:tc>
        <w:tc>
          <w:tcPr>
            <w:tcW w:type="dxa" w:w="2494"/>
            <w:shd w:val="clear" w:color="auto" w:fill="EEF2F8"/>
          </w:tcPr>
          <w:p>
            <w:pPr>
              <w:spacing w:after="20"/>
            </w:pPr>
            <w:r/>
            <w:r>
              <w:rPr>
                <w:sz w:val="16"/>
              </w:rPr>
              <w:t>SR2: implement role-based access control</w:t>
            </w:r>
          </w:p>
        </w:tc>
        <w:tc>
          <w:tcPr>
            <w:tcW w:type="dxa" w:w="2381"/>
            <w:shd w:val="clear" w:color="auto" w:fill="EEF2F8"/>
          </w:tcPr>
          <w:p>
            <w:pPr>
              <w:spacing w:after="20"/>
            </w:pPr>
            <w:r/>
            <w:r>
              <w:rPr>
                <w:sz w:val="16"/>
              </w:rPr>
              <w:t>enable authorization, create the ten candidate groups and one user per group, verify visibility</w:t>
            </w:r>
          </w:p>
        </w:tc>
        <w:tc>
          <w:tcPr>
            <w:tcW w:type="dxa" w:w="1247"/>
            <w:shd w:val="clear" w:color="auto" w:fill="EEF2F8"/>
          </w:tcPr>
          <w:p>
            <w:pPr>
              <w:spacing w:after="20"/>
            </w:pPr>
            <w:r/>
            <w:r>
              <w:rPr>
                <w:sz w:val="16"/>
              </w:rPr>
              <w:t>peter / finn</w:t>
            </w:r>
          </w:p>
        </w:tc>
        <w:tc>
          <w:tcPr>
            <w:tcW w:type="dxa" w:w="2778"/>
            <w:shd w:val="clear" w:color="auto" w:fill="EEF2F8"/>
          </w:tcPr>
          <w:p>
            <w:pPr>
              <w:spacing w:after="20"/>
            </w:pPr>
            <w:r/>
            <w:r>
              <w:rPr>
                <w:sz w:val="16"/>
              </w:rPr>
              <w:t>Implemented in the next increment. task-visibility.json: 10 users, 10 groups, 0 failures, an ungranted user sees 0 tasks where the secretary sees 785</w:t>
            </w:r>
          </w:p>
        </w:tc>
      </w:tr>
      <w:tr>
        <w:trPr>
          <w:cantSplit w:val="true"/>
        </w:trPr>
        <w:tc>
          <w:tcPr>
            <w:tcW w:type="dxa" w:w="737"/>
          </w:tcPr>
          <w:p>
            <w:pPr>
              <w:spacing w:after="20"/>
            </w:pPr>
            <w:r/>
            <w:r>
              <w:rPr>
                <w:sz w:val="16"/>
              </w:rPr>
              <w:t>FB-03</w:t>
            </w:r>
          </w:p>
        </w:tc>
        <w:tc>
          <w:tcPr>
            <w:tcW w:type="dxa" w:w="2494"/>
          </w:tcPr>
          <w:p>
            <w:pPr>
              <w:spacing w:after="20"/>
            </w:pPr>
            <w:r/>
            <w:r>
              <w:rPr>
                <w:sz w:val="16"/>
              </w:rPr>
              <w:t>SR2: resolve the issues in the BPMN model so that it accurately represents the business process</w:t>
            </w:r>
          </w:p>
        </w:tc>
        <w:tc>
          <w:tcPr>
            <w:tcW w:type="dxa" w:w="2381"/>
          </w:tcPr>
          <w:p>
            <w:pPr>
              <w:spacing w:after="20"/>
            </w:pPr>
            <w:r/>
            <w:r>
              <w:rPr>
                <w:sz w:val="16"/>
              </w:rPr>
              <w:t>triage every defect, fix at source, re-validate all four models</w:t>
            </w:r>
          </w:p>
        </w:tc>
        <w:tc>
          <w:tcPr>
            <w:tcW w:type="dxa" w:w="1247"/>
          </w:tcPr>
          <w:p>
            <w:pPr>
              <w:spacing w:after="20"/>
            </w:pPr>
            <w:r/>
            <w:r>
              <w:rPr>
                <w:sz w:val="16"/>
              </w:rPr>
              <w:t>max / henry</w:t>
            </w:r>
          </w:p>
        </w:tc>
        <w:tc>
          <w:tcPr>
            <w:tcW w:type="dxa" w:w="2778"/>
          </w:tcPr>
          <w:p>
            <w:pPr>
              <w:spacing w:after="20"/>
            </w:pPr>
            <w:r/>
            <w:r>
              <w:rPr>
                <w:sz w:val="16"/>
              </w:rPr>
              <w:t>Implemented. DEF-17 to DEF-21 recorded and closed; validate-models.py clean; six definitions deploy</w:t>
            </w:r>
          </w:p>
        </w:tc>
      </w:tr>
      <w:tr>
        <w:trPr>
          <w:cantSplit w:val="true"/>
        </w:trPr>
        <w:tc>
          <w:tcPr>
            <w:tcW w:type="dxa" w:w="737"/>
            <w:shd w:val="clear" w:color="auto" w:fill="EEF2F8"/>
          </w:tcPr>
          <w:p>
            <w:pPr>
              <w:spacing w:after="20"/>
            </w:pPr>
            <w:r/>
            <w:r>
              <w:rPr>
                <w:sz w:val="16"/>
              </w:rPr>
              <w:t>FB-04</w:t>
            </w:r>
          </w:p>
        </w:tc>
        <w:tc>
          <w:tcPr>
            <w:tcW w:type="dxa" w:w="2494"/>
            <w:shd w:val="clear" w:color="auto" w:fill="EEF2F8"/>
          </w:tcPr>
          <w:p>
            <w:pPr>
              <w:spacing w:after="20"/>
            </w:pPr>
            <w:r/>
            <w:r>
              <w:rPr>
                <w:sz w:val="16"/>
              </w:rPr>
              <w:t>SR2: implement appropriate form validation to prevent missing or invalid inputs</w:t>
            </w:r>
          </w:p>
        </w:tc>
        <w:tc>
          <w:tcPr>
            <w:tcW w:type="dxa" w:w="2381"/>
            <w:shd w:val="clear" w:color="auto" w:fill="EEF2F8"/>
          </w:tcPr>
          <w:p>
            <w:pPr>
              <w:spacing w:after="20"/>
            </w:pPr>
            <w:r/>
            <w:r>
              <w:rPr>
                <w:sz w:val="16"/>
              </w:rPr>
              <w:t>required and format validation on every field a gateway reads</w:t>
            </w:r>
          </w:p>
        </w:tc>
        <w:tc>
          <w:tcPr>
            <w:tcW w:type="dxa" w:w="1247"/>
            <w:shd w:val="clear" w:color="auto" w:fill="EEF2F8"/>
          </w:tcPr>
          <w:p>
            <w:pPr>
              <w:spacing w:after="20"/>
            </w:pPr>
            <w:r/>
            <w:r>
              <w:rPr>
                <w:sz w:val="16"/>
              </w:rPr>
              <w:t>peter / henry</w:t>
            </w:r>
          </w:p>
        </w:tc>
        <w:tc>
          <w:tcPr>
            <w:tcW w:type="dxa" w:w="2778"/>
            <w:shd w:val="clear" w:color="auto" w:fill="EEF2F8"/>
          </w:tcPr>
          <w:p>
            <w:pPr>
              <w:spacing w:after="20"/>
            </w:pPr>
            <w:r/>
            <w:r>
              <w:rPr>
                <w:sz w:val="16"/>
              </w:rPr>
              <w:t>Implemented. 157 required inputs and 70 pattern rules across 69 forms; validate-form-controls.py reports 0 inappropriate controls</w:t>
            </w:r>
          </w:p>
        </w:tc>
      </w:tr>
      <w:tr>
        <w:trPr>
          <w:cantSplit w:val="true"/>
        </w:trPr>
        <w:tc>
          <w:tcPr>
            <w:tcW w:type="dxa" w:w="737"/>
          </w:tcPr>
          <w:p>
            <w:pPr>
              <w:spacing w:after="20"/>
            </w:pPr>
            <w:r/>
            <w:r>
              <w:rPr>
                <w:sz w:val="16"/>
              </w:rPr>
              <w:t>FB-05</w:t>
            </w:r>
          </w:p>
        </w:tc>
        <w:tc>
          <w:tcPr>
            <w:tcW w:type="dxa" w:w="2494"/>
          </w:tcPr>
          <w:p>
            <w:pPr>
              <w:spacing w:after="20"/>
            </w:pPr>
            <w:r/>
            <w:r>
              <w:rPr>
                <w:sz w:val="16"/>
              </w:rPr>
              <w:t>SR2: use appropriate input field types for the data being collected</w:t>
            </w:r>
          </w:p>
        </w:tc>
        <w:tc>
          <w:tcPr>
            <w:tcW w:type="dxa" w:w="2381"/>
          </w:tcPr>
          <w:p>
            <w:pPr>
              <w:spacing w:after="20"/>
            </w:pPr>
            <w:r/>
            <w:r>
              <w:rPr>
                <w:sz w:val="16"/>
              </w:rPr>
              <w:t>audit each form against the gateway it feeds; replace free text with selects and numbers</w:t>
            </w:r>
          </w:p>
        </w:tc>
        <w:tc>
          <w:tcPr>
            <w:tcW w:type="dxa" w:w="1247"/>
          </w:tcPr>
          <w:p>
            <w:pPr>
              <w:spacing w:after="20"/>
            </w:pPr>
            <w:r/>
            <w:r>
              <w:rPr>
                <w:sz w:val="16"/>
              </w:rPr>
              <w:t>peter / finn</w:t>
            </w:r>
          </w:p>
        </w:tc>
        <w:tc>
          <w:tcPr>
            <w:tcW w:type="dxa" w:w="2778"/>
          </w:tcPr>
          <w:p>
            <w:pPr>
              <w:spacing w:after="20"/>
            </w:pPr>
            <w:r/>
            <w:r>
              <w:rPr>
                <w:sz w:val="16"/>
              </w:rPr>
              <w:t>Implemented. 10 control types corrected, 41 controls added, 115 validations added (08_Repository_Documents/form-field-change-log.md)</w:t>
            </w:r>
          </w:p>
        </w:tc>
      </w:tr>
      <w:tr>
        <w:trPr>
          <w:cantSplit w:val="true"/>
        </w:trPr>
        <w:tc>
          <w:tcPr>
            <w:tcW w:type="dxa" w:w="737"/>
            <w:shd w:val="clear" w:color="auto" w:fill="EEF2F8"/>
          </w:tcPr>
          <w:p>
            <w:pPr>
              <w:spacing w:after="20"/>
            </w:pPr>
            <w:r/>
            <w:r>
              <w:rPr>
                <w:sz w:val="16"/>
              </w:rPr>
              <w:t>FB-06</w:t>
            </w:r>
          </w:p>
        </w:tc>
        <w:tc>
          <w:tcPr>
            <w:tcW w:type="dxa" w:w="2494"/>
            <w:shd w:val="clear" w:color="auto" w:fill="EEF2F8"/>
          </w:tcPr>
          <w:p>
            <w:pPr>
              <w:spacing w:after="20"/>
            </w:pPr>
            <w:r/>
            <w:r>
              <w:rPr>
                <w:sz w:val="16"/>
              </w:rPr>
              <w:t>SR2: the urgency rules are still not defined</w:t>
            </w:r>
          </w:p>
        </w:tc>
        <w:tc>
          <w:tcPr>
            <w:tcW w:type="dxa" w:w="2381"/>
            <w:shd w:val="clear" w:color="auto" w:fill="EEF2F8"/>
          </w:tcPr>
          <w:p>
            <w:pPr>
              <w:spacing w:after="20"/>
            </w:pPr>
            <w:r/>
            <w:r>
              <w:rPr>
                <w:sz w:val="16"/>
              </w:rPr>
              <w:t>obtain a rule set from the module team and model the escalation on it</w:t>
            </w:r>
          </w:p>
        </w:tc>
        <w:tc>
          <w:tcPr>
            <w:tcW w:type="dxa" w:w="1247"/>
            <w:shd w:val="clear" w:color="auto" w:fill="EEF2F8"/>
          </w:tcPr>
          <w:p>
            <w:pPr>
              <w:spacing w:after="20"/>
            </w:pPr>
            <w:r/>
            <w:r>
              <w:rPr>
                <w:sz w:val="16"/>
              </w:rPr>
              <w:t>henry / finn</w:t>
            </w:r>
          </w:p>
        </w:tc>
        <w:tc>
          <w:tcPr>
            <w:tcW w:type="dxa" w:w="2778"/>
            <w:shd w:val="clear" w:color="auto" w:fill="EEF2F8"/>
          </w:tcPr>
          <w:p>
            <w:pPr>
              <w:spacing w:after="20"/>
            </w:pPr>
            <w:r/>
            <w:r>
              <w:rPr>
                <w:sz w:val="16"/>
              </w:rPr>
              <w:t>Not implemented. The hospital has not agreed a set of urgency rules and the module team confirmed none would be issued before hand-in. Implication: urgency stays a variable a clinician sets, REQ-11 and REQ-35 are traced as partly supported, and the rule set is the first Should in the next increment</w:t>
            </w:r>
          </w:p>
        </w:tc>
      </w:tr>
      <w:tr>
        <w:trPr>
          <w:cantSplit w:val="true"/>
        </w:trPr>
        <w:tc>
          <w:tcPr>
            <w:tcW w:type="dxa" w:w="737"/>
          </w:tcPr>
          <w:p>
            <w:pPr>
              <w:spacing w:after="20"/>
            </w:pPr>
            <w:r/>
            <w:r>
              <w:rPr>
                <w:sz w:val="16"/>
              </w:rPr>
              <w:t>FB-07</w:t>
            </w:r>
          </w:p>
        </w:tc>
        <w:tc>
          <w:tcPr>
            <w:tcW w:type="dxa" w:w="2494"/>
          </w:tcPr>
          <w:p>
            <w:pPr>
              <w:spacing w:after="20"/>
            </w:pPr>
            <w:r/>
            <w:r>
              <w:rPr>
                <w:sz w:val="16"/>
              </w:rPr>
              <w:t>SR2: add automated regression tests for role-based access</w:t>
            </w:r>
          </w:p>
        </w:tc>
        <w:tc>
          <w:tcPr>
            <w:tcW w:type="dxa" w:w="2381"/>
          </w:tcPr>
          <w:p>
            <w:pPr>
              <w:spacing w:after="20"/>
            </w:pPr>
            <w:r/>
            <w:r>
              <w:rPr>
                <w:sz w:val="16"/>
              </w:rPr>
              <w:t>automate the role and audit checks so a regression is caught rather than inspected</w:t>
            </w:r>
          </w:p>
        </w:tc>
        <w:tc>
          <w:tcPr>
            <w:tcW w:type="dxa" w:w="1247"/>
          </w:tcPr>
          <w:p>
            <w:pPr>
              <w:spacing w:after="20"/>
            </w:pPr>
            <w:r/>
            <w:r>
              <w:rPr>
                <w:sz w:val="16"/>
              </w:rPr>
              <w:t>peter / finn</w:t>
            </w:r>
          </w:p>
        </w:tc>
        <w:tc>
          <w:tcPr>
            <w:tcW w:type="dxa" w:w="2778"/>
          </w:tcPr>
          <w:p>
            <w:pPr>
              <w:spacing w:after="20"/>
            </w:pPr>
            <w:r/>
            <w:r>
              <w:rPr>
                <w:sz w:val="16"/>
              </w:rPr>
              <w:t>Not implemented. There was no capacity left once the deployment defects and the two portfolio evaluations were re-scoped. Implication: RBAC and audit immutability are evidenced by a one-off script and by inspection, not by a suite that runs on every change</w:t>
            </w:r>
          </w:p>
        </w:tc>
      </w:tr>
    </w:tbl>
    <w:p>
      <w:pPr>
        <w:spacing w:after="40"/>
      </w:pPr>
    </w:p>
    <w:p>
      <w:pPr>
        <w:keepNext/>
        <w:spacing w:before="40" w:after="40"/>
      </w:pPr>
      <w:r>
        <w:rPr>
          <w:b/>
          <w:color w:val="595959"/>
          <w:sz w:val="17"/>
        </w:rPr>
        <w:t>Table 25. Feedback action record. FB-01 to FB-05 are the five points raised at the marked reviews and each is closed with evidence; FB-06 and FB-07 are the two that were not implemented, with the reason and the outstanding implication recorded rather than the row being dropped.</w:t>
      </w:r>
    </w:p>
    <w:p>
      <w:pPr>
        <w:pStyle w:val="Heading2"/>
      </w:pPr>
      <w:r>
        <w:t>5.9  Contribution</w:t>
      </w:r>
    </w:p>
    <w:p>
      <w:r>
        <w:rPr>
          <w:b w:val="0"/>
          <w:i w:val="0"/>
        </w:rPr>
        <w:t>The activity columns below record the share of each activity carried by each member and sum to 100% per column. The Total column is the split of the group mark, agreed at the start of Sprint 1 to be equal, which is a different measure.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1814"/>
        <w:gridCol w:w="1814"/>
        <w:gridCol w:w="1814"/>
        <w:gridCol w:w="1814"/>
        <w:gridCol w:w="1020"/>
      </w:tblGrid>
      <w:tr>
        <w:trPr>
          <w:tblHeader w:val="true"/>
        </w:trPr>
        <w:tc>
          <w:tcPr>
            <w:tcW w:type="dxa" w:w="1361"/>
            <w:shd w:val="clear" w:color="auto" w:fill="1F3864"/>
          </w:tcPr>
          <w:p>
            <w:pPr>
              <w:spacing w:after="20"/>
            </w:pPr>
            <w:r/>
            <w:r>
              <w:rPr>
                <w:b/>
                <w:color w:val="FFFFFF"/>
                <w:sz w:val="17"/>
              </w:rPr>
              <w:t>Member</w:t>
            </w:r>
          </w:p>
        </w:tc>
        <w:tc>
          <w:tcPr>
            <w:tcW w:type="dxa" w:w="1814"/>
            <w:shd w:val="clear" w:color="auto" w:fill="1F3864"/>
          </w:tcPr>
          <w:p>
            <w:pPr>
              <w:spacing w:after="20"/>
            </w:pPr>
            <w:r/>
            <w:r>
              <w:rPr>
                <w:b/>
                <w:color w:val="FFFFFF"/>
                <w:sz w:val="17"/>
              </w:rPr>
              <w:t>Runnable model</w:t>
            </w:r>
          </w:p>
        </w:tc>
        <w:tc>
          <w:tcPr>
            <w:tcW w:type="dxa" w:w="1814"/>
            <w:shd w:val="clear" w:color="auto" w:fill="1F3864"/>
          </w:tcPr>
          <w:p>
            <w:pPr>
              <w:spacing w:after="20"/>
            </w:pPr>
            <w:r/>
            <w:r>
              <w:rPr>
                <w:b/>
                <w:color w:val="FFFFFF"/>
                <w:sz w:val="17"/>
              </w:rPr>
              <w:t>External workers</w:t>
            </w:r>
          </w:p>
        </w:tc>
        <w:tc>
          <w:tcPr>
            <w:tcW w:type="dxa" w:w="1814"/>
            <w:shd w:val="clear" w:color="auto" w:fill="1F3864"/>
          </w:tcPr>
          <w:p>
            <w:pPr>
              <w:spacing w:after="20"/>
            </w:pPr>
            <w:r/>
            <w:r>
              <w:rPr>
                <w:b/>
                <w:color w:val="FFFFFF"/>
                <w:sz w:val="17"/>
              </w:rPr>
              <w:t>Camunda Forms</w:t>
            </w:r>
          </w:p>
        </w:tc>
        <w:tc>
          <w:tcPr>
            <w:tcW w:type="dxa" w:w="1814"/>
            <w:shd w:val="clear" w:color="auto" w:fill="1F3864"/>
          </w:tcPr>
          <w:p>
            <w:pPr>
              <w:spacing w:after="20"/>
            </w:pPr>
            <w:r/>
            <w:r>
              <w:rPr>
                <w:b/>
                <w:color w:val="FFFFFF"/>
                <w:sz w:val="17"/>
              </w:rPr>
              <w:t>Tests and evidence</w:t>
            </w:r>
          </w:p>
        </w:tc>
        <w:tc>
          <w:tcPr>
            <w:tcW w:type="dxa" w:w="1020"/>
            <w:shd w:val="clear" w:color="auto" w:fill="1F3864"/>
          </w:tcPr>
          <w:p>
            <w:pPr>
              <w:spacing w:after="20"/>
            </w:pPr>
            <w:r/>
            <w:r>
              <w:rPr>
                <w:b/>
                <w:color w:val="FFFFFF"/>
                <w:sz w:val="17"/>
              </w:rPr>
              <w:t>Total</w:t>
            </w:r>
          </w:p>
        </w:tc>
      </w:tr>
      <w:tr>
        <w:trPr>
          <w:cantSplit w:val="true"/>
        </w:trPr>
        <w:tc>
          <w:tcPr>
            <w:tcW w:type="dxa" w:w="1361"/>
          </w:tcPr>
          <w:p>
            <w:pPr>
              <w:spacing w:after="20"/>
            </w:pPr>
            <w:r/>
            <w:r>
              <w:rPr>
                <w:sz w:val="17"/>
              </w:rPr>
              <w:t>max</w:t>
            </w:r>
          </w:p>
        </w:tc>
        <w:tc>
          <w:tcPr>
            <w:tcW w:type="dxa" w:w="1814"/>
          </w:tcPr>
          <w:p>
            <w:pPr>
              <w:spacing w:after="20"/>
              <w:jc w:val="right"/>
            </w:pPr>
            <w:r/>
            <w:r>
              <w:rPr>
                <w:sz w:val="17"/>
              </w:rPr>
              <w:t>45%</w:t>
            </w:r>
          </w:p>
        </w:tc>
        <w:tc>
          <w:tcPr>
            <w:tcW w:type="dxa" w:w="1814"/>
          </w:tcPr>
          <w:p>
            <w:pPr>
              <w:spacing w:after="20"/>
              <w:jc w:val="right"/>
            </w:pPr>
            <w:r/>
            <w:r>
              <w:rPr>
                <w:sz w:val="17"/>
              </w:rPr>
              <w:t>25%</w:t>
            </w:r>
          </w:p>
        </w:tc>
        <w:tc>
          <w:tcPr>
            <w:tcW w:type="dxa" w:w="1814"/>
          </w:tcPr>
          <w:p>
            <w:pPr>
              <w:spacing w:after="20"/>
              <w:jc w:val="right"/>
            </w:pPr>
            <w:r/>
            <w:r>
              <w:rPr>
                <w:sz w:val="17"/>
              </w:rPr>
              <w:t>15%</w:t>
            </w:r>
          </w:p>
        </w:tc>
        <w:tc>
          <w:tcPr>
            <w:tcW w:type="dxa" w:w="1814"/>
          </w:tcPr>
          <w:p>
            <w:pPr>
              <w:spacing w:after="20"/>
              <w:jc w:val="right"/>
            </w:pPr>
            <w:r/>
            <w:r>
              <w:rPr>
                <w:sz w:val="17"/>
              </w:rPr>
              <w:t>20%</w:t>
            </w:r>
          </w:p>
        </w:tc>
        <w:tc>
          <w:tcPr>
            <w:tcW w:type="dxa" w:w="1020"/>
          </w:tcPr>
          <w:p>
            <w:pPr>
              <w:spacing w:after="20"/>
              <w:jc w:val="right"/>
            </w:pPr>
            <w:r/>
            <w:r>
              <w:rPr>
                <w:sz w:val="17"/>
              </w:rPr>
              <w:t>25%</w:t>
            </w:r>
          </w:p>
        </w:tc>
      </w:tr>
      <w:tr>
        <w:trPr>
          <w:cantSplit w:val="true"/>
        </w:trPr>
        <w:tc>
          <w:tcPr>
            <w:tcW w:type="dxa" w:w="1361"/>
            <w:shd w:val="clear" w:color="auto" w:fill="EEF2F8"/>
          </w:tcPr>
          <w:p>
            <w:pPr>
              <w:spacing w:after="20"/>
            </w:pPr>
            <w:r/>
            <w:r>
              <w:rPr>
                <w:sz w:val="17"/>
              </w:rPr>
              <w:t>finn</w:t>
            </w:r>
          </w:p>
        </w:tc>
        <w:tc>
          <w:tcPr>
            <w:tcW w:type="dxa" w:w="1814"/>
            <w:shd w:val="clear" w:color="auto" w:fill="EEF2F8"/>
          </w:tcPr>
          <w:p>
            <w:pPr>
              <w:spacing w:after="20"/>
              <w:jc w:val="right"/>
            </w:pPr>
            <w:r/>
            <w:r>
              <w:rPr>
                <w:sz w:val="17"/>
              </w:rPr>
              <w:t>10%</w:t>
            </w:r>
          </w:p>
        </w:tc>
        <w:tc>
          <w:tcPr>
            <w:tcW w:type="dxa" w:w="1814"/>
            <w:shd w:val="clear" w:color="auto" w:fill="EEF2F8"/>
          </w:tcPr>
          <w:p>
            <w:pPr>
              <w:spacing w:after="20"/>
              <w:jc w:val="right"/>
            </w:pPr>
            <w:r/>
            <w:r>
              <w:rPr>
                <w:sz w:val="17"/>
              </w:rPr>
              <w:t>40%</w:t>
            </w:r>
          </w:p>
        </w:tc>
        <w:tc>
          <w:tcPr>
            <w:tcW w:type="dxa" w:w="1814"/>
            <w:shd w:val="clear" w:color="auto" w:fill="EEF2F8"/>
          </w:tcPr>
          <w:p>
            <w:pPr>
              <w:spacing w:after="20"/>
              <w:jc w:val="right"/>
            </w:pPr>
            <w:r/>
            <w:r>
              <w:rPr>
                <w:sz w:val="17"/>
              </w:rPr>
              <w:t>10%</w:t>
            </w:r>
          </w:p>
        </w:tc>
        <w:tc>
          <w:tcPr>
            <w:tcW w:type="dxa" w:w="1814"/>
            <w:shd w:val="clear" w:color="auto" w:fill="EEF2F8"/>
          </w:tcPr>
          <w:p>
            <w:pPr>
              <w:spacing w:after="20"/>
              <w:jc w:val="right"/>
            </w:pPr>
            <w:r/>
            <w:r>
              <w:rPr>
                <w:sz w:val="17"/>
              </w:rPr>
              <w:t>25%</w:t>
            </w:r>
          </w:p>
        </w:tc>
        <w:tc>
          <w:tcPr>
            <w:tcW w:type="dxa" w:w="1020"/>
            <w:shd w:val="clear" w:color="auto" w:fill="EEF2F8"/>
          </w:tcPr>
          <w:p>
            <w:pPr>
              <w:spacing w:after="20"/>
              <w:jc w:val="right"/>
            </w:pPr>
            <w:r/>
            <w:r>
              <w:rPr>
                <w:sz w:val="17"/>
              </w:rPr>
              <w:t>25%</w:t>
            </w:r>
          </w:p>
        </w:tc>
      </w:tr>
      <w:tr>
        <w:trPr>
          <w:cantSplit w:val="true"/>
        </w:trPr>
        <w:tc>
          <w:tcPr>
            <w:tcW w:type="dxa" w:w="1361"/>
          </w:tcPr>
          <w:p>
            <w:pPr>
              <w:spacing w:after="20"/>
            </w:pPr>
            <w:r/>
            <w:r>
              <w:rPr>
                <w:sz w:val="17"/>
              </w:rPr>
              <w:t>henry</w:t>
            </w:r>
          </w:p>
        </w:tc>
        <w:tc>
          <w:tcPr>
            <w:tcW w:type="dxa" w:w="1814"/>
          </w:tcPr>
          <w:p>
            <w:pPr>
              <w:spacing w:after="20"/>
              <w:jc w:val="right"/>
            </w:pPr>
            <w:r/>
            <w:r>
              <w:rPr>
                <w:sz w:val="17"/>
              </w:rPr>
              <w:t>15%</w:t>
            </w:r>
          </w:p>
        </w:tc>
        <w:tc>
          <w:tcPr>
            <w:tcW w:type="dxa" w:w="1814"/>
          </w:tcPr>
          <w:p>
            <w:pPr>
              <w:spacing w:after="20"/>
              <w:jc w:val="right"/>
            </w:pPr>
            <w:r/>
            <w:r>
              <w:rPr>
                <w:sz w:val="17"/>
              </w:rPr>
              <w:t>15%</w:t>
            </w:r>
          </w:p>
        </w:tc>
        <w:tc>
          <w:tcPr>
            <w:tcW w:type="dxa" w:w="1814"/>
          </w:tcPr>
          <w:p>
            <w:pPr>
              <w:spacing w:after="20"/>
              <w:jc w:val="right"/>
            </w:pPr>
            <w:r/>
            <w:r>
              <w:rPr>
                <w:sz w:val="17"/>
              </w:rPr>
              <w:t>20%</w:t>
            </w:r>
          </w:p>
        </w:tc>
        <w:tc>
          <w:tcPr>
            <w:tcW w:type="dxa" w:w="1814"/>
          </w:tcPr>
          <w:p>
            <w:pPr>
              <w:spacing w:after="20"/>
              <w:jc w:val="right"/>
            </w:pPr>
            <w:r/>
            <w:r>
              <w:rPr>
                <w:sz w:val="17"/>
              </w:rPr>
              <w:t>30%</w:t>
            </w:r>
          </w:p>
        </w:tc>
        <w:tc>
          <w:tcPr>
            <w:tcW w:type="dxa" w:w="1020"/>
          </w:tcPr>
          <w:p>
            <w:pPr>
              <w:spacing w:after="20"/>
              <w:jc w:val="right"/>
            </w:pPr>
            <w:r/>
            <w:r>
              <w:rPr>
                <w:sz w:val="17"/>
              </w:rPr>
              <w:t>25%</w:t>
            </w:r>
          </w:p>
        </w:tc>
      </w:tr>
      <w:tr>
        <w:trPr>
          <w:cantSplit w:val="true"/>
        </w:trPr>
        <w:tc>
          <w:tcPr>
            <w:tcW w:type="dxa" w:w="1361"/>
            <w:shd w:val="clear" w:color="auto" w:fill="EEF2F8"/>
          </w:tcPr>
          <w:p>
            <w:pPr>
              <w:spacing w:after="20"/>
            </w:pPr>
            <w:r/>
            <w:r>
              <w:rPr>
                <w:sz w:val="17"/>
              </w:rPr>
              <w:t>peter</w:t>
            </w:r>
          </w:p>
        </w:tc>
        <w:tc>
          <w:tcPr>
            <w:tcW w:type="dxa" w:w="1814"/>
            <w:shd w:val="clear" w:color="auto" w:fill="EEF2F8"/>
          </w:tcPr>
          <w:p>
            <w:pPr>
              <w:spacing w:after="20"/>
              <w:jc w:val="right"/>
            </w:pPr>
            <w:r/>
            <w:r>
              <w:rPr>
                <w:sz w:val="17"/>
              </w:rPr>
              <w:t>30%</w:t>
            </w:r>
          </w:p>
        </w:tc>
        <w:tc>
          <w:tcPr>
            <w:tcW w:type="dxa" w:w="1814"/>
            <w:shd w:val="clear" w:color="auto" w:fill="EEF2F8"/>
          </w:tcPr>
          <w:p>
            <w:pPr>
              <w:spacing w:after="20"/>
              <w:jc w:val="right"/>
            </w:pPr>
            <w:r/>
            <w:r>
              <w:rPr>
                <w:sz w:val="17"/>
              </w:rPr>
              <w:t>20%</w:t>
            </w:r>
          </w:p>
        </w:tc>
        <w:tc>
          <w:tcPr>
            <w:tcW w:type="dxa" w:w="1814"/>
            <w:shd w:val="clear" w:color="auto" w:fill="EEF2F8"/>
          </w:tcPr>
          <w:p>
            <w:pPr>
              <w:spacing w:after="20"/>
              <w:jc w:val="right"/>
            </w:pPr>
            <w:r/>
            <w:r>
              <w:rPr>
                <w:sz w:val="17"/>
              </w:rPr>
              <w:t>55%</w:t>
            </w:r>
          </w:p>
        </w:tc>
        <w:tc>
          <w:tcPr>
            <w:tcW w:type="dxa" w:w="1814"/>
            <w:shd w:val="clear" w:color="auto" w:fill="EEF2F8"/>
          </w:tcPr>
          <w:p>
            <w:pPr>
              <w:spacing w:after="20"/>
              <w:jc w:val="right"/>
            </w:pPr>
            <w:r/>
            <w:r>
              <w:rPr>
                <w:sz w:val="17"/>
              </w:rPr>
              <w:t>25%</w:t>
            </w:r>
          </w:p>
        </w:tc>
        <w:tc>
          <w:tcPr>
            <w:tcW w:type="dxa" w:w="1020"/>
            <w:shd w:val="clear" w:color="auto" w:fill="EEF2F8"/>
          </w:tcPr>
          <w:p>
            <w:pPr>
              <w:spacing w:after="20"/>
              <w:jc w:val="right"/>
            </w:pPr>
            <w:r/>
            <w:r>
              <w:rPr>
                <w:sz w:val="17"/>
              </w:rPr>
              <w:t>25%</w:t>
            </w:r>
          </w:p>
        </w:tc>
      </w:tr>
    </w:tbl>
    <w:p>
      <w:pPr>
        <w:spacing w:after="40"/>
      </w:pPr>
    </w:p>
    <w:p>
      <w:pPr>
        <w:keepNext/>
        <w:spacing w:before="40" w:after="40"/>
      </w:pPr>
      <w:r>
        <w:rPr>
          <w:b/>
          <w:color w:val="595959"/>
          <w:sz w:val="17"/>
        </w:rPr>
        <w:t>Table 26. Implementation-unit contribution. Evidence is the first- and second-owner fields in the backlog and the commit history; retained for tutor moderation.</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Marked standups and sprint reviews</dc:title>
  <dc:subject>UFCEP6-0-3 Portfolio — 5 Standups and reviews</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