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Demonstration</w:t>
      </w:r>
    </w:p>
    <w:p>
      <w:r>
        <w:rPr>
          <w:b w:val="0"/>
          <w:i w:val="0"/>
        </w:rPr>
        <w:t>Criterion: Demonstration (15%). Learning outcomes LO2, LO4 and LO5.</w:t>
      </w:r>
    </w:p>
    <w:p>
      <w:r>
        <w:rPr>
          <w:b w:val="0"/>
          <w:i w:val="0"/>
        </w:rPr>
        <w:t>The demonstration shows the integrated initial release working: the operational process, the worker fleet executing the automated activities, the forms capturing and validating input, and the resulting outcomes in Operate and Tasklist. Each member explains their own contribution and answers questions about it.</w:t>
      </w:r>
    </w:p>
    <w:p>
      <w:pPr>
        <w:pStyle w:val="Heading2"/>
      </w:pPr>
      <w:r>
        <w:t>6.1  What is being demonstrated, and which version</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608"/>
        <w:gridCol w:w="7030"/>
      </w:tblGrid>
      <w:tr>
        <w:trPr>
          <w:tblHeader w:val="true"/>
        </w:trPr>
        <w:tc>
          <w:tcPr>
            <w:tcW w:type="dxa" w:w="2608"/>
            <w:shd w:val="clear" w:color="auto" w:fill="1F3864"/>
          </w:tcPr>
          <w:p>
            <w:pPr>
              <w:spacing w:after="20"/>
            </w:pPr>
            <w:r/>
            <w:r>
              <w:rPr>
                <w:b/>
                <w:color w:val="FFFFFF"/>
                <w:sz w:val="18"/>
              </w:rPr>
              <w:t>Item</w:t>
            </w:r>
          </w:p>
        </w:tc>
        <w:tc>
          <w:tcPr>
            <w:tcW w:type="dxa" w:w="7030"/>
            <w:shd w:val="clear" w:color="auto" w:fill="1F3864"/>
          </w:tcPr>
          <w:p>
            <w:pPr>
              <w:spacing w:after="20"/>
            </w:pPr>
            <w:r/>
            <w:r>
              <w:rPr>
                <w:b/>
                <w:color w:val="FFFFFF"/>
                <w:sz w:val="18"/>
              </w:rPr>
              <w:t>Detail</w:t>
            </w:r>
          </w:p>
        </w:tc>
      </w:tr>
      <w:tr>
        <w:trPr>
          <w:cantSplit w:val="true"/>
        </w:trPr>
        <w:tc>
          <w:tcPr>
            <w:tcW w:type="dxa" w:w="2608"/>
          </w:tcPr>
          <w:p>
            <w:pPr>
              <w:spacing w:after="20"/>
            </w:pPr>
            <w:r/>
            <w:r>
              <w:rPr>
                <w:sz w:val="18"/>
              </w:rPr>
              <w:t>Release</w:t>
            </w:r>
          </w:p>
        </w:tc>
        <w:tc>
          <w:tcPr>
            <w:tcW w:type="dxa" w:w="7030"/>
          </w:tcPr>
          <w:p>
            <w:pPr>
              <w:spacing w:after="20"/>
            </w:pPr>
            <w:r/>
            <w:r>
              <w:rPr>
                <w:sz w:val="18"/>
              </w:rPr>
              <w:t>initial release, build 1.0</w:t>
            </w:r>
          </w:p>
        </w:tc>
      </w:tr>
      <w:tr>
        <w:trPr>
          <w:cantSplit w:val="true"/>
        </w:trPr>
        <w:tc>
          <w:tcPr>
            <w:tcW w:type="dxa" w:w="2608"/>
            <w:shd w:val="clear" w:color="auto" w:fill="EEF2F8"/>
          </w:tcPr>
          <w:p>
            <w:pPr>
              <w:spacing w:after="20"/>
            </w:pPr>
            <w:r/>
            <w:r>
              <w:rPr>
                <w:sz w:val="18"/>
              </w:rPr>
              <w:t>Repository version demonstrated</w:t>
            </w:r>
          </w:p>
        </w:tc>
        <w:tc>
          <w:tcPr>
            <w:tcW w:type="dxa" w:w="7030"/>
            <w:shd w:val="clear" w:color="auto" w:fill="EEF2F8"/>
          </w:tcPr>
          <w:p>
            <w:pPr>
              <w:spacing w:after="20"/>
            </w:pPr>
            <w:r/>
            <w:r>
              <w:rPr>
                <w:sz w:val="18"/>
              </w:rPr>
              <w:t>tag p6-submission</w:t>
            </w:r>
          </w:p>
        </w:tc>
      </w:tr>
      <w:tr>
        <w:trPr>
          <w:cantSplit w:val="true"/>
        </w:trPr>
        <w:tc>
          <w:tcPr>
            <w:tcW w:type="dxa" w:w="2608"/>
          </w:tcPr>
          <w:p>
            <w:pPr>
              <w:spacing w:after="20"/>
            </w:pPr>
            <w:r/>
            <w:r>
              <w:rPr>
                <w:sz w:val="18"/>
              </w:rPr>
              <w:t>Process definition driven</w:t>
            </w:r>
          </w:p>
        </w:tc>
        <w:tc>
          <w:tcPr>
            <w:tcW w:type="dxa" w:w="7030"/>
          </w:tcPr>
          <w:p>
            <w:pPr>
              <w:spacing w:after="20"/>
            </w:pPr>
            <w:r/>
            <w:r>
              <w:rPr>
                <w:sz w:val="18"/>
              </w:rPr>
              <w:t>PR_Operational_Merged (and PR_ReferringOrganisation for the message round trip)</w:t>
            </w:r>
          </w:p>
        </w:tc>
      </w:tr>
      <w:tr>
        <w:trPr>
          <w:cantSplit w:val="true"/>
        </w:trPr>
        <w:tc>
          <w:tcPr>
            <w:tcW w:type="dxa" w:w="2608"/>
            <w:shd w:val="clear" w:color="auto" w:fill="EEF2F8"/>
          </w:tcPr>
          <w:p>
            <w:pPr>
              <w:spacing w:after="20"/>
            </w:pPr>
            <w:r/>
            <w:r>
              <w:rPr>
                <w:sz w:val="18"/>
              </w:rPr>
              <w:t>Workers</w:t>
            </w:r>
          </w:p>
        </w:tc>
        <w:tc>
          <w:tcPr>
            <w:tcW w:type="dxa" w:w="7030"/>
            <w:shd w:val="clear" w:color="auto" w:fill="EEF2F8"/>
          </w:tcPr>
          <w:p>
            <w:pPr>
              <w:spacing w:after="20"/>
            </w:pPr>
            <w:r/>
            <w:r>
              <w:rPr>
                <w:sz w:val="18"/>
              </w:rPr>
              <w:t>the 13-job-type fleet, running locally against 127.0.0.1:26500</w:t>
            </w:r>
          </w:p>
        </w:tc>
      </w:tr>
      <w:tr>
        <w:trPr>
          <w:cantSplit w:val="true"/>
        </w:trPr>
        <w:tc>
          <w:tcPr>
            <w:tcW w:type="dxa" w:w="2608"/>
          </w:tcPr>
          <w:p>
            <w:pPr>
              <w:spacing w:after="20"/>
            </w:pPr>
            <w:r/>
            <w:r>
              <w:rPr>
                <w:sz w:val="18"/>
              </w:rPr>
              <w:t>Forms</w:t>
            </w:r>
          </w:p>
        </w:tc>
        <w:tc>
          <w:tcPr>
            <w:tcW w:type="dxa" w:w="7030"/>
          </w:tcPr>
          <w:p>
            <w:pPr>
              <w:spacing w:after="20"/>
            </w:pPr>
            <w:r/>
            <w:r>
              <w:rPr>
                <w:sz w:val="18"/>
              </w:rPr>
              <w:t>68 forms deployed with the models in one deployment</w:t>
            </w:r>
          </w:p>
        </w:tc>
      </w:tr>
      <w:tr>
        <w:trPr>
          <w:cantSplit w:val="true"/>
        </w:trPr>
        <w:tc>
          <w:tcPr>
            <w:tcW w:type="dxa" w:w="2608"/>
            <w:shd w:val="clear" w:color="auto" w:fill="EEF2F8"/>
          </w:tcPr>
          <w:p>
            <w:pPr>
              <w:spacing w:after="20"/>
            </w:pPr>
            <w:r/>
            <w:r>
              <w:rPr>
                <w:sz w:val="18"/>
              </w:rPr>
              <w:t>Scenarios</w:t>
            </w:r>
          </w:p>
        </w:tc>
        <w:tc>
          <w:tcPr>
            <w:tcW w:type="dxa" w:w="7030"/>
            <w:shd w:val="clear" w:color="auto" w:fill="EEF2F8"/>
          </w:tcPr>
          <w:p>
            <w:pPr>
              <w:spacing w:after="20"/>
            </w:pPr>
            <w:r/>
            <w:r>
              <w:rPr>
                <w:sz w:val="18"/>
              </w:rPr>
              <w:t>one end-to-end success path and one failure path at minimum; the full menu is 6.3</w:t>
            </w:r>
          </w:p>
        </w:tc>
      </w:tr>
      <w:tr>
        <w:trPr>
          <w:cantSplit w:val="true"/>
        </w:trPr>
        <w:tc>
          <w:tcPr>
            <w:tcW w:type="dxa" w:w="2608"/>
          </w:tcPr>
          <w:p>
            <w:pPr>
              <w:spacing w:after="20"/>
            </w:pPr>
            <w:r/>
            <w:r>
              <w:rPr>
                <w:sz w:val="18"/>
              </w:rPr>
              <w:t>Evidence fallback</w:t>
            </w:r>
          </w:p>
        </w:tc>
        <w:tc>
          <w:tcPr>
            <w:tcW w:type="dxa" w:w="7030"/>
          </w:tcPr>
          <w:p>
            <w:pPr>
              <w:spacing w:after="20"/>
            </w:pPr>
            <w:r/>
            <w:r>
              <w:rPr>
                <w:sz w:val="18"/>
              </w:rPr>
              <w:t>recorded run plus the logs in 05_Test_Evidence/ — see 6.7</w:t>
            </w:r>
          </w:p>
        </w:tc>
      </w:tr>
    </w:tbl>
    <w:p>
      <w:pPr>
        <w:spacing w:after="40"/>
      </w:pPr>
    </w:p>
    <w:p>
      <w:pPr>
        <w:pStyle w:val="Heading2"/>
      </w:pPr>
      <w:r>
        <w:t>6.2  Before the session</w:t>
      </w:r>
    </w:p>
    <w:p>
      <w:r>
        <w:rPr>
          <w:b w:val="0"/>
          <w:i w:val="0"/>
        </w:rPr>
        <w:t>Run this checklist in order, before the room is watching. Every line is a step that has gone wrong at least once.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10"/>
        <w:gridCol w:w="4876"/>
        <w:gridCol w:w="4252"/>
      </w:tblGrid>
      <w:tr>
        <w:trPr>
          <w:tblHeader w:val="true"/>
        </w:trPr>
        <w:tc>
          <w:tcPr>
            <w:tcW w:type="dxa" w:w="510"/>
            <w:shd w:val="clear" w:color="auto" w:fill="1F3864"/>
          </w:tcPr>
          <w:p>
            <w:pPr>
              <w:spacing w:after="20"/>
            </w:pPr>
            <w:r/>
            <w:r>
              <w:rPr>
                <w:b/>
                <w:color w:val="FFFFFF"/>
                <w:sz w:val="17"/>
              </w:rPr>
              <w:t>#</w:t>
            </w:r>
          </w:p>
        </w:tc>
        <w:tc>
          <w:tcPr>
            <w:tcW w:type="dxa" w:w="4876"/>
            <w:shd w:val="clear" w:color="auto" w:fill="1F3864"/>
          </w:tcPr>
          <w:p>
            <w:pPr>
              <w:spacing w:after="20"/>
            </w:pPr>
            <w:r/>
            <w:r>
              <w:rPr>
                <w:b/>
                <w:color w:val="FFFFFF"/>
                <w:sz w:val="17"/>
              </w:rPr>
              <w:t>Action</w:t>
            </w:r>
          </w:p>
        </w:tc>
        <w:tc>
          <w:tcPr>
            <w:tcW w:type="dxa" w:w="4252"/>
            <w:shd w:val="clear" w:color="auto" w:fill="1F3864"/>
          </w:tcPr>
          <w:p>
            <w:pPr>
              <w:spacing w:after="20"/>
            </w:pPr>
            <w:r/>
            <w:r>
              <w:rPr>
                <w:b/>
                <w:color w:val="FFFFFF"/>
                <w:sz w:val="17"/>
              </w:rPr>
              <w:t>What good looks like</w:t>
            </w:r>
          </w:p>
        </w:tc>
      </w:tr>
      <w:tr>
        <w:trPr>
          <w:cantSplit w:val="true"/>
        </w:trPr>
        <w:tc>
          <w:tcPr>
            <w:tcW w:type="dxa" w:w="510"/>
          </w:tcPr>
          <w:p>
            <w:pPr>
              <w:spacing w:after="20"/>
            </w:pPr>
            <w:r/>
            <w:r>
              <w:rPr>
                <w:sz w:val="17"/>
              </w:rPr>
              <w:t>1</w:t>
            </w:r>
          </w:p>
        </w:tc>
        <w:tc>
          <w:tcPr>
            <w:tcW w:type="dxa" w:w="4876"/>
          </w:tcPr>
          <w:p>
            <w:pPr>
              <w:spacing w:after="20"/>
            </w:pPr>
            <w:r/>
            <w:r>
              <w:rPr>
                <w:sz w:val="17"/>
              </w:rPr>
              <w:t>Start the cluster (Camunda 8 Run) and confirm the API answers</w:t>
            </w:r>
          </w:p>
        </w:tc>
        <w:tc>
          <w:tcPr>
            <w:tcW w:type="dxa" w:w="4252"/>
          </w:tcPr>
          <w:p>
            <w:pPr>
              <w:spacing w:after="20"/>
            </w:pPr>
            <w:r/>
            <w:r>
              <w:rPr>
                <w:sz w:val="17"/>
              </w:rPr>
              <w:t>GET /v2/topology returns the cluster</w:t>
            </w:r>
          </w:p>
        </w:tc>
      </w:tr>
      <w:tr>
        <w:trPr>
          <w:cantSplit w:val="true"/>
        </w:trPr>
        <w:tc>
          <w:tcPr>
            <w:tcW w:type="dxa" w:w="510"/>
            <w:shd w:val="clear" w:color="auto" w:fill="EEF2F8"/>
          </w:tcPr>
          <w:p>
            <w:pPr>
              <w:spacing w:after="20"/>
            </w:pPr>
            <w:r/>
            <w:r>
              <w:rPr>
                <w:sz w:val="17"/>
              </w:rPr>
              <w:t>2</w:t>
            </w:r>
          </w:p>
        </w:tc>
        <w:tc>
          <w:tcPr>
            <w:tcW w:type="dxa" w:w="4876"/>
            <w:shd w:val="clear" w:color="auto" w:fill="EEF2F8"/>
          </w:tcPr>
          <w:p>
            <w:pPr>
              <w:spacing w:after="20"/>
            </w:pPr>
            <w:r/>
            <w:r>
              <w:rPr>
                <w:sz w:val="17"/>
              </w:rPr>
              <w:t>Clear previous instances so the demonstration is not confusing</w:t>
            </w:r>
          </w:p>
        </w:tc>
        <w:tc>
          <w:tcPr>
            <w:tcW w:type="dxa" w:w="4252"/>
            <w:shd w:val="clear" w:color="auto" w:fill="EEF2F8"/>
          </w:tcPr>
          <w:p>
            <w:pPr>
              <w:spacing w:after="20"/>
            </w:pPr>
            <w:r/>
            <w:r>
              <w:rPr>
                <w:sz w:val="17"/>
              </w:rPr>
              <w:t>no running instances in Operate</w:t>
            </w:r>
          </w:p>
        </w:tc>
      </w:tr>
      <w:tr>
        <w:trPr>
          <w:cantSplit w:val="true"/>
        </w:trPr>
        <w:tc>
          <w:tcPr>
            <w:tcW w:type="dxa" w:w="510"/>
          </w:tcPr>
          <w:p>
            <w:pPr>
              <w:spacing w:after="20"/>
            </w:pPr>
            <w:r/>
            <w:r>
              <w:rPr>
                <w:sz w:val="17"/>
              </w:rPr>
              <w:t>3</w:t>
            </w:r>
          </w:p>
        </w:tc>
        <w:tc>
          <w:tcPr>
            <w:tcW w:type="dxa" w:w="4876"/>
          </w:tcPr>
          <w:p>
            <w:pPr>
              <w:spacing w:after="20"/>
            </w:pPr>
            <w:r/>
            <w:r>
              <w:rPr>
                <w:sz w:val="17"/>
              </w:rPr>
              <w:t>Deploy models and forms in one deployment</w:t>
            </w:r>
          </w:p>
        </w:tc>
        <w:tc>
          <w:tcPr>
            <w:tcW w:type="dxa" w:w="4252"/>
          </w:tcPr>
          <w:p>
            <w:pPr>
              <w:spacing w:after="20"/>
            </w:pPr>
            <w:r/>
            <w:r>
              <w:rPr>
                <w:sz w:val="17"/>
              </w:rPr>
              <w:t>six definitions and 68 forms deployed; no FORM_NOT_FOUND later</w:t>
            </w:r>
          </w:p>
        </w:tc>
      </w:tr>
      <w:tr>
        <w:trPr>
          <w:cantSplit w:val="true"/>
        </w:trPr>
        <w:tc>
          <w:tcPr>
            <w:tcW w:type="dxa" w:w="510"/>
            <w:shd w:val="clear" w:color="auto" w:fill="EEF2F8"/>
          </w:tcPr>
          <w:p>
            <w:pPr>
              <w:spacing w:after="20"/>
            </w:pPr>
            <w:r/>
            <w:r>
              <w:rPr>
                <w:sz w:val="17"/>
              </w:rPr>
              <w:t>4</w:t>
            </w:r>
          </w:p>
        </w:tc>
        <w:tc>
          <w:tcPr>
            <w:tcW w:type="dxa" w:w="4876"/>
            <w:shd w:val="clear" w:color="auto" w:fill="EEF2F8"/>
          </w:tcPr>
          <w:p>
            <w:pPr>
              <w:spacing w:after="20"/>
            </w:pPr>
            <w:r/>
            <w:r>
              <w:rPr>
                <w:sz w:val="17"/>
              </w:rPr>
              <w:t>Start the worker fleet and read the coverage line</w:t>
            </w:r>
          </w:p>
        </w:tc>
        <w:tc>
          <w:tcPr>
            <w:tcW w:type="dxa" w:w="4252"/>
            <w:shd w:val="clear" w:color="auto" w:fill="EEF2F8"/>
          </w:tcPr>
          <w:p>
            <w:pPr>
              <w:spacing w:after="20"/>
            </w:pPr>
            <w:r/>
            <w:r>
              <w:rPr>
                <w:sz w:val="17"/>
              </w:rPr>
              <w:t>"13 of 13 declared types have a subscriber"</w:t>
            </w:r>
          </w:p>
        </w:tc>
      </w:tr>
      <w:tr>
        <w:trPr>
          <w:cantSplit w:val="true"/>
        </w:trPr>
        <w:tc>
          <w:tcPr>
            <w:tcW w:type="dxa" w:w="510"/>
          </w:tcPr>
          <w:p>
            <w:pPr>
              <w:spacing w:after="20"/>
            </w:pPr>
            <w:r/>
            <w:r>
              <w:rPr>
                <w:sz w:val="17"/>
              </w:rPr>
              <w:t>5</w:t>
            </w:r>
          </w:p>
        </w:tc>
        <w:tc>
          <w:tcPr>
            <w:tcW w:type="dxa" w:w="4876"/>
          </w:tcPr>
          <w:p>
            <w:pPr>
              <w:spacing w:after="20"/>
            </w:pPr>
            <w:r/>
            <w:r>
              <w:rPr>
                <w:sz w:val="17"/>
              </w:rPr>
              <w:t>Publish the start message Patient referral</w:t>
            </w:r>
          </w:p>
        </w:tc>
        <w:tc>
          <w:tcPr>
            <w:tcW w:type="dxa" w:w="4252"/>
          </w:tcPr>
          <w:p>
            <w:pPr>
              <w:spacing w:after="20"/>
            </w:pPr>
            <w:r/>
            <w:r>
              <w:rPr>
                <w:sz w:val="17"/>
              </w:rPr>
              <w:t>an instance of PR_Operational_Merged appears in Operate</w:t>
            </w:r>
          </w:p>
        </w:tc>
      </w:tr>
      <w:tr>
        <w:trPr>
          <w:cantSplit w:val="true"/>
        </w:trPr>
        <w:tc>
          <w:tcPr>
            <w:tcW w:type="dxa" w:w="510"/>
            <w:shd w:val="clear" w:color="auto" w:fill="EEF2F8"/>
          </w:tcPr>
          <w:p>
            <w:pPr>
              <w:spacing w:after="20"/>
            </w:pPr>
            <w:r/>
            <w:r>
              <w:rPr>
                <w:sz w:val="17"/>
              </w:rPr>
              <w:t>6</w:t>
            </w:r>
          </w:p>
        </w:tc>
        <w:tc>
          <w:tcPr>
            <w:tcW w:type="dxa" w:w="4876"/>
            <w:shd w:val="clear" w:color="auto" w:fill="EEF2F8"/>
          </w:tcPr>
          <w:p>
            <w:pPr>
              <w:spacing w:after="20"/>
            </w:pPr>
            <w:r/>
            <w:r>
              <w:rPr>
                <w:sz w:val="17"/>
              </w:rPr>
              <w:t>Open the Tasklist in a browser and sign in as the secretary</w:t>
            </w:r>
          </w:p>
        </w:tc>
        <w:tc>
          <w:tcPr>
            <w:tcW w:type="dxa" w:w="4252"/>
            <w:shd w:val="clear" w:color="auto" w:fill="EEF2F8"/>
          </w:tcPr>
          <w:p>
            <w:pPr>
              <w:spacing w:after="20"/>
            </w:pPr>
            <w:r/>
            <w:r>
              <w:rPr>
                <w:sz w:val="17"/>
              </w:rPr>
              <w:t>the referral task list is visible</w:t>
            </w:r>
          </w:p>
        </w:tc>
      </w:tr>
      <w:tr>
        <w:trPr>
          <w:cantSplit w:val="true"/>
        </w:trPr>
        <w:tc>
          <w:tcPr>
            <w:tcW w:type="dxa" w:w="510"/>
          </w:tcPr>
          <w:p>
            <w:pPr>
              <w:spacing w:after="20"/>
            </w:pPr>
            <w:r/>
            <w:r>
              <w:rPr>
                <w:sz w:val="17"/>
              </w:rPr>
              <w:t>7</w:t>
            </w:r>
          </w:p>
        </w:tc>
        <w:tc>
          <w:tcPr>
            <w:tcW w:type="dxa" w:w="4876"/>
          </w:tcPr>
          <w:p>
            <w:pPr>
              <w:spacing w:after="20"/>
            </w:pPr>
            <w:r/>
            <w:r>
              <w:rPr>
                <w:sz w:val="17"/>
              </w:rPr>
              <w:t>Have the acceptance log open in a second window</w:t>
            </w:r>
          </w:p>
        </w:tc>
        <w:tc>
          <w:tcPr>
            <w:tcW w:type="dxa" w:w="4252"/>
          </w:tcPr>
          <w:p>
            <w:pPr>
              <w:spacing w:after="20"/>
            </w:pPr>
            <w:r/>
            <w:r>
              <w:rPr>
                <w:sz w:val="17"/>
              </w:rPr>
              <w:t>the 18/18 summary is one scroll away if the live run misbehaves</w:t>
            </w:r>
          </w:p>
        </w:tc>
      </w:tr>
    </w:tbl>
    <w:p>
      <w:pPr>
        <w:spacing w:after="40"/>
      </w:pPr>
    </w:p>
    <w:p>
      <w:pPr>
        <w:keepNext/>
        <w:spacing w:before="40" w:after="40"/>
      </w:pPr>
      <w:r>
        <w:rPr>
          <w:b/>
          <w:color w:val="595959"/>
          <w:sz w:val="17"/>
        </w:rPr>
        <w:t>Table 27. Pre-demonstration checklist.</w:t>
      </w:r>
    </w:p>
    <w:p>
      <w:pPr>
        <w:pStyle w:val="Heading2"/>
      </w:pPr>
      <w:r>
        <w:t>6.3  Scenario menu</w:t>
      </w:r>
    </w:p>
    <w:p>
      <w:r>
        <w:rPr>
          <w:b w:val="0"/>
          <w:i w:val="0"/>
        </w:rPr>
        <w:t>Six scenarios are available; the session needs the first two as a minimum — one success path and one failure path — and the rest are used to answer questions. Each is backed by a recorded instance.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10"/>
        <w:gridCol w:w="2835"/>
        <w:gridCol w:w="4536"/>
        <w:gridCol w:w="1757"/>
      </w:tblGrid>
      <w:tr>
        <w:trPr>
          <w:tblHeader w:val="true"/>
        </w:trPr>
        <w:tc>
          <w:tcPr>
            <w:tcW w:type="dxa" w:w="510"/>
            <w:shd w:val="clear" w:color="auto" w:fill="1F3864"/>
          </w:tcPr>
          <w:p>
            <w:pPr>
              <w:spacing w:after="20"/>
            </w:pPr>
            <w:r/>
            <w:r>
              <w:rPr>
                <w:b/>
                <w:color w:val="FFFFFF"/>
                <w:sz w:val="17"/>
              </w:rPr>
              <w:t>#</w:t>
            </w:r>
          </w:p>
        </w:tc>
        <w:tc>
          <w:tcPr>
            <w:tcW w:type="dxa" w:w="2835"/>
            <w:shd w:val="clear" w:color="auto" w:fill="1F3864"/>
          </w:tcPr>
          <w:p>
            <w:pPr>
              <w:spacing w:after="20"/>
            </w:pPr>
            <w:r/>
            <w:r>
              <w:rPr>
                <w:b/>
                <w:color w:val="FFFFFF"/>
                <w:sz w:val="17"/>
              </w:rPr>
              <w:t>Scenario</w:t>
            </w:r>
          </w:p>
        </w:tc>
        <w:tc>
          <w:tcPr>
            <w:tcW w:type="dxa" w:w="4535"/>
            <w:shd w:val="clear" w:color="auto" w:fill="1F3864"/>
          </w:tcPr>
          <w:p>
            <w:pPr>
              <w:spacing w:after="20"/>
            </w:pPr>
            <w:r/>
            <w:r>
              <w:rPr>
                <w:b/>
                <w:color w:val="FFFFFF"/>
                <w:sz w:val="17"/>
              </w:rPr>
              <w:t>What it shows</w:t>
            </w:r>
          </w:p>
        </w:tc>
        <w:tc>
          <w:tcPr>
            <w:tcW w:type="dxa" w:w="1757"/>
            <w:shd w:val="clear" w:color="auto" w:fill="1F3864"/>
          </w:tcPr>
          <w:p>
            <w:pPr>
              <w:spacing w:after="20"/>
            </w:pPr>
            <w:r/>
            <w:r>
              <w:rPr>
                <w:b/>
                <w:color w:val="FFFFFF"/>
                <w:sz w:val="17"/>
              </w:rPr>
              <w:t>Instance</w:t>
            </w:r>
          </w:p>
        </w:tc>
      </w:tr>
      <w:tr>
        <w:trPr>
          <w:cantSplit w:val="true"/>
        </w:trPr>
        <w:tc>
          <w:tcPr>
            <w:tcW w:type="dxa" w:w="510"/>
          </w:tcPr>
          <w:p>
            <w:pPr>
              <w:spacing w:after="20"/>
            </w:pPr>
            <w:r/>
            <w:r>
              <w:rPr>
                <w:sz w:val="17"/>
              </w:rPr>
              <w:t>1</w:t>
            </w:r>
          </w:p>
        </w:tc>
        <w:tc>
          <w:tcPr>
            <w:tcW w:type="dxa" w:w="2835"/>
          </w:tcPr>
          <w:p>
            <w:pPr>
              <w:spacing w:after="20"/>
            </w:pPr>
            <w:r/>
            <w:r>
              <w:rPr>
                <w:sz w:val="17"/>
              </w:rPr>
              <w:t>Happy path (acceptance TC-13)</w:t>
            </w:r>
          </w:p>
        </w:tc>
        <w:tc>
          <w:tcPr>
            <w:tcW w:type="dxa" w:w="4535"/>
          </w:tcPr>
          <w:p>
            <w:pPr>
              <w:spacing w:after="20"/>
            </w:pPr>
            <w:r/>
            <w:r>
              <w:rPr>
                <w:sz w:val="17"/>
              </w:rPr>
              <w:t>referral accepted through to a confirmed treatment schedule, workers completing every automated step</w:t>
            </w:r>
          </w:p>
        </w:tc>
        <w:tc>
          <w:tcPr>
            <w:tcW w:type="dxa" w:w="1757"/>
          </w:tcPr>
          <w:p>
            <w:pPr>
              <w:spacing w:after="20"/>
            </w:pPr>
            <w:r/>
            <w:r>
              <w:rPr>
                <w:sz w:val="17"/>
              </w:rPr>
              <w:t>2251799813705624</w:t>
            </w:r>
          </w:p>
        </w:tc>
      </w:tr>
      <w:tr>
        <w:trPr>
          <w:cantSplit w:val="true"/>
        </w:trPr>
        <w:tc>
          <w:tcPr>
            <w:tcW w:type="dxa" w:w="510"/>
            <w:shd w:val="clear" w:color="auto" w:fill="EEF2F8"/>
          </w:tcPr>
          <w:p>
            <w:pPr>
              <w:spacing w:after="20"/>
            </w:pPr>
            <w:r/>
            <w:r>
              <w:rPr>
                <w:sz w:val="17"/>
              </w:rPr>
              <w:t>2</w:t>
            </w:r>
          </w:p>
        </w:tc>
        <w:tc>
          <w:tcPr>
            <w:tcW w:type="dxa" w:w="2835"/>
            <w:shd w:val="clear" w:color="auto" w:fill="EEF2F8"/>
          </w:tcPr>
          <w:p>
            <w:pPr>
              <w:spacing w:after="20"/>
            </w:pPr>
            <w:r/>
            <w:r>
              <w:rPr>
                <w:sz w:val="17"/>
              </w:rPr>
              <w:t>External capacity unavailable (worker scenario)</w:t>
            </w:r>
          </w:p>
        </w:tc>
        <w:tc>
          <w:tcPr>
            <w:tcW w:type="dxa" w:w="4535"/>
            <w:shd w:val="clear" w:color="auto" w:fill="EEF2F8"/>
          </w:tcPr>
          <w:p>
            <w:pPr>
              <w:spacing w:after="20"/>
            </w:pPr>
            <w:r/>
            <w:r>
              <w:rPr>
                <w:sz w:val="17"/>
              </w:rPr>
              <w:t>the pending-and-retry branch: capacity refused, booking held, retry succeeds, no duplicate</w:t>
            </w:r>
          </w:p>
        </w:tc>
        <w:tc>
          <w:tcPr>
            <w:tcW w:type="dxa" w:w="1757"/>
            <w:shd w:val="clear" w:color="auto" w:fill="EEF2F8"/>
          </w:tcPr>
          <w:p>
            <w:pPr>
              <w:spacing w:after="20"/>
            </w:pPr>
            <w:r/>
            <w:r>
              <w:rPr>
                <w:sz w:val="17"/>
              </w:rPr>
              <w:t>2251799813729956</w:t>
            </w:r>
          </w:p>
        </w:tc>
      </w:tr>
      <w:tr>
        <w:trPr>
          <w:cantSplit w:val="true"/>
        </w:trPr>
        <w:tc>
          <w:tcPr>
            <w:tcW w:type="dxa" w:w="510"/>
          </w:tcPr>
          <w:p>
            <w:pPr>
              <w:spacing w:after="20"/>
            </w:pPr>
            <w:r/>
            <w:r>
              <w:rPr>
                <w:sz w:val="17"/>
              </w:rPr>
              <w:t>3</w:t>
            </w:r>
          </w:p>
        </w:tc>
        <w:tc>
          <w:tcPr>
            <w:tcW w:type="dxa" w:w="2835"/>
          </w:tcPr>
          <w:p>
            <w:pPr>
              <w:spacing w:after="20"/>
            </w:pPr>
            <w:r/>
            <w:r>
              <w:rPr>
                <w:sz w:val="17"/>
              </w:rPr>
              <w:t>Missing documentation (TC-02)</w:t>
            </w:r>
          </w:p>
        </w:tc>
        <w:tc>
          <w:tcPr>
            <w:tcW w:type="dxa" w:w="4535"/>
          </w:tcPr>
          <w:p>
            <w:pPr>
              <w:spacing w:after="20"/>
            </w:pPr>
            <w:r/>
            <w:r>
              <w:rPr>
                <w:sz w:val="17"/>
              </w:rPr>
              <w:t>the request-and-return loop inside the model</w:t>
            </w:r>
          </w:p>
        </w:tc>
        <w:tc>
          <w:tcPr>
            <w:tcW w:type="dxa" w:w="1757"/>
          </w:tcPr>
          <w:p>
            <w:pPr>
              <w:spacing w:after="20"/>
            </w:pPr>
            <w:r/>
            <w:r>
              <w:rPr>
                <w:sz w:val="17"/>
              </w:rPr>
              <w:t>2251799813703946</w:t>
            </w:r>
          </w:p>
        </w:tc>
      </w:tr>
      <w:tr>
        <w:trPr>
          <w:cantSplit w:val="true"/>
        </w:trPr>
        <w:tc>
          <w:tcPr>
            <w:tcW w:type="dxa" w:w="510"/>
            <w:shd w:val="clear" w:color="auto" w:fill="EEF2F8"/>
          </w:tcPr>
          <w:p>
            <w:pPr>
              <w:spacing w:after="20"/>
            </w:pPr>
            <w:r/>
            <w:r>
              <w:rPr>
                <w:sz w:val="17"/>
              </w:rPr>
              <w:t>4</w:t>
            </w:r>
          </w:p>
        </w:tc>
        <w:tc>
          <w:tcPr>
            <w:tcW w:type="dxa" w:w="2835"/>
            <w:shd w:val="clear" w:color="auto" w:fill="EEF2F8"/>
          </w:tcPr>
          <w:p>
            <w:pPr>
              <w:spacing w:after="20"/>
            </w:pPr>
            <w:r/>
            <w:r>
              <w:rPr>
                <w:sz w:val="17"/>
              </w:rPr>
              <w:t>Payment declined (worker scenario)</w:t>
            </w:r>
          </w:p>
        </w:tc>
        <w:tc>
          <w:tcPr>
            <w:tcW w:type="dxa" w:w="4535"/>
            <w:shd w:val="clear" w:color="auto" w:fill="EEF2F8"/>
          </w:tcPr>
          <w:p>
            <w:pPr>
              <w:spacing w:after="20"/>
            </w:pPr>
            <w:r/>
            <w:r>
              <w:rPr>
                <w:sz w:val="17"/>
              </w:rPr>
              <w:t>the decline path with a permitted retry and no second booking or charge</w:t>
            </w:r>
          </w:p>
        </w:tc>
        <w:tc>
          <w:tcPr>
            <w:tcW w:type="dxa" w:w="1757"/>
            <w:shd w:val="clear" w:color="auto" w:fill="EEF2F8"/>
          </w:tcPr>
          <w:p>
            <w:pPr>
              <w:spacing w:after="20"/>
            </w:pPr>
            <w:r/>
            <w:r>
              <w:rPr>
                <w:sz w:val="17"/>
              </w:rPr>
              <w:t>2251799813730254</w:t>
            </w:r>
          </w:p>
        </w:tc>
      </w:tr>
      <w:tr>
        <w:trPr>
          <w:cantSplit w:val="true"/>
        </w:trPr>
        <w:tc>
          <w:tcPr>
            <w:tcW w:type="dxa" w:w="510"/>
          </w:tcPr>
          <w:p>
            <w:pPr>
              <w:spacing w:after="20"/>
            </w:pPr>
            <w:r/>
            <w:r>
              <w:rPr>
                <w:sz w:val="17"/>
              </w:rPr>
              <w:t>5</w:t>
            </w:r>
          </w:p>
        </w:tc>
        <w:tc>
          <w:tcPr>
            <w:tcW w:type="dxa" w:w="2835"/>
          </w:tcPr>
          <w:p>
            <w:pPr>
              <w:spacing w:after="20"/>
            </w:pPr>
            <w:r/>
            <w:r>
              <w:rPr>
                <w:sz w:val="17"/>
              </w:rPr>
              <w:t>Payment taken but unconfirmed (TC-16)</w:t>
            </w:r>
          </w:p>
        </w:tc>
        <w:tc>
          <w:tcPr>
            <w:tcW w:type="dxa" w:w="4535"/>
          </w:tcPr>
          <w:p>
            <w:pPr>
              <w:spacing w:after="20"/>
            </w:pPr>
            <w:r/>
            <w:r>
              <w:rPr>
                <w:sz w:val="17"/>
              </w:rPr>
              <w:t>the investigate-don't-re-request rule</w:t>
            </w:r>
          </w:p>
        </w:tc>
        <w:tc>
          <w:tcPr>
            <w:tcW w:type="dxa" w:w="1757"/>
          </w:tcPr>
          <w:p>
            <w:pPr>
              <w:spacing w:after="20"/>
            </w:pPr>
            <w:r/>
            <w:r>
              <w:rPr>
                <w:sz w:val="17"/>
              </w:rPr>
              <w:t>2251799813706153</w:t>
            </w:r>
          </w:p>
        </w:tc>
      </w:tr>
      <w:tr>
        <w:trPr>
          <w:cantSplit w:val="true"/>
        </w:trPr>
        <w:tc>
          <w:tcPr>
            <w:tcW w:type="dxa" w:w="510"/>
            <w:shd w:val="clear" w:color="auto" w:fill="EEF2F8"/>
          </w:tcPr>
          <w:p>
            <w:pPr>
              <w:spacing w:after="20"/>
            </w:pPr>
            <w:r/>
            <w:r>
              <w:rPr>
                <w:sz w:val="17"/>
              </w:rPr>
              <w:t>6</w:t>
            </w:r>
          </w:p>
        </w:tc>
        <w:tc>
          <w:tcPr>
            <w:tcW w:type="dxa" w:w="2835"/>
            <w:shd w:val="clear" w:color="auto" w:fill="EEF2F8"/>
          </w:tcPr>
          <w:p>
            <w:pPr>
              <w:spacing w:after="20"/>
            </w:pPr>
            <w:r/>
            <w:r>
              <w:rPr>
                <w:sz w:val="17"/>
              </w:rPr>
              <w:t>Urgent treatment without payment (TC-17)</w:t>
            </w:r>
          </w:p>
        </w:tc>
        <w:tc>
          <w:tcPr>
            <w:tcW w:type="dxa" w:w="4535"/>
            <w:shd w:val="clear" w:color="auto" w:fill="EEF2F8"/>
          </w:tcPr>
          <w:p>
            <w:pPr>
              <w:spacing w:after="20"/>
            </w:pPr>
            <w:r/>
            <w:r>
              <w:rPr>
                <w:sz w:val="17"/>
              </w:rPr>
              <w:t>the authorise-and-refer-to-Finance exception</w:t>
            </w:r>
          </w:p>
        </w:tc>
        <w:tc>
          <w:tcPr>
            <w:tcW w:type="dxa" w:w="1757"/>
            <w:shd w:val="clear" w:color="auto" w:fill="EEF2F8"/>
          </w:tcPr>
          <w:p>
            <w:pPr>
              <w:spacing w:after="20"/>
            </w:pPr>
            <w:r/>
            <w:r>
              <w:rPr>
                <w:sz w:val="17"/>
              </w:rPr>
              <w:t>2251799813706334</w:t>
            </w:r>
          </w:p>
        </w:tc>
      </w:tr>
    </w:tbl>
    <w:p>
      <w:pPr>
        <w:spacing w:after="40"/>
      </w:pPr>
    </w:p>
    <w:p>
      <w:pPr>
        <w:keepNext/>
        <w:spacing w:before="40" w:after="40"/>
      </w:pPr>
      <w:r>
        <w:rPr>
          <w:b/>
          <w:color w:val="595959"/>
          <w:sz w:val="17"/>
        </w:rPr>
        <w:t>Table 28. Demonstration scenarios and the instance that evidences each.</w:t>
      </w:r>
    </w:p>
    <w:p>
      <w:pPr>
        <w:pStyle w:val="Heading2"/>
      </w:pPr>
      <w:r>
        <w:t>6.4  Run sheet</w:t>
      </w:r>
    </w:p>
    <w:p>
      <w:r>
        <w:rPr>
          <w:b w:val="0"/>
          <w:i w:val="0"/>
        </w:rPr>
        <w:t>The order below keeps the story linear: one instance is followed from the start message to a confirmed schedule, with the workers visible in the log at each step, and then one failure path is opened from the start to show the branch that matters.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67"/>
        <w:gridCol w:w="4762"/>
        <w:gridCol w:w="4309"/>
      </w:tblGrid>
      <w:tr>
        <w:trPr>
          <w:tblHeader w:val="true"/>
        </w:trPr>
        <w:tc>
          <w:tcPr>
            <w:tcW w:type="dxa" w:w="567"/>
            <w:shd w:val="clear" w:color="auto" w:fill="1F3864"/>
          </w:tcPr>
          <w:p>
            <w:pPr>
              <w:spacing w:after="20"/>
            </w:pPr>
            <w:r/>
            <w:r>
              <w:rPr>
                <w:b/>
                <w:color w:val="FFFFFF"/>
                <w:sz w:val="17"/>
              </w:rPr>
              <w:t>Step</w:t>
            </w:r>
          </w:p>
        </w:tc>
        <w:tc>
          <w:tcPr>
            <w:tcW w:type="dxa" w:w="4762"/>
            <w:shd w:val="clear" w:color="auto" w:fill="1F3864"/>
          </w:tcPr>
          <w:p>
            <w:pPr>
              <w:spacing w:after="20"/>
            </w:pPr>
            <w:r/>
            <w:r>
              <w:rPr>
                <w:b/>
                <w:color w:val="FFFFFF"/>
                <w:sz w:val="17"/>
              </w:rPr>
              <w:t>Do</w:t>
            </w:r>
          </w:p>
        </w:tc>
        <w:tc>
          <w:tcPr>
            <w:tcW w:type="dxa" w:w="4309"/>
            <w:shd w:val="clear" w:color="auto" w:fill="1F3864"/>
          </w:tcPr>
          <w:p>
            <w:pPr>
              <w:spacing w:after="20"/>
            </w:pPr>
            <w:r/>
            <w:r>
              <w:rPr>
                <w:b/>
                <w:color w:val="FFFFFF"/>
                <w:sz w:val="17"/>
              </w:rPr>
              <w:t>Point at</w:t>
            </w:r>
          </w:p>
        </w:tc>
      </w:tr>
      <w:tr>
        <w:trPr>
          <w:cantSplit w:val="true"/>
        </w:trPr>
        <w:tc>
          <w:tcPr>
            <w:tcW w:type="dxa" w:w="567"/>
          </w:tcPr>
          <w:p>
            <w:pPr>
              <w:spacing w:after="20"/>
            </w:pPr>
            <w:r/>
            <w:r>
              <w:rPr>
                <w:sz w:val="17"/>
              </w:rPr>
              <w:t>1</w:t>
            </w:r>
          </w:p>
        </w:tc>
        <w:tc>
          <w:tcPr>
            <w:tcW w:type="dxa" w:w="4762"/>
          </w:tcPr>
          <w:p>
            <w:pPr>
              <w:spacing w:after="20"/>
            </w:pPr>
            <w:r/>
            <w:r>
              <w:rPr>
                <w:sz w:val="17"/>
              </w:rPr>
              <w:t>Publish Patient referral from the referring organisation pool</w:t>
            </w:r>
          </w:p>
        </w:tc>
        <w:tc>
          <w:tcPr>
            <w:tcW w:type="dxa" w:w="4309"/>
          </w:tcPr>
          <w:p>
            <w:pPr>
              <w:spacing w:after="20"/>
            </w:pPr>
            <w:r/>
            <w:r>
              <w:rPr>
                <w:sz w:val="17"/>
              </w:rPr>
              <w:t>the new instance in Operate</w:t>
            </w:r>
          </w:p>
        </w:tc>
      </w:tr>
      <w:tr>
        <w:trPr>
          <w:cantSplit w:val="true"/>
        </w:trPr>
        <w:tc>
          <w:tcPr>
            <w:tcW w:type="dxa" w:w="567"/>
            <w:shd w:val="clear" w:color="auto" w:fill="EEF2F8"/>
          </w:tcPr>
          <w:p>
            <w:pPr>
              <w:spacing w:after="20"/>
            </w:pPr>
            <w:r/>
            <w:r>
              <w:rPr>
                <w:sz w:val="17"/>
              </w:rPr>
              <w:t>2</w:t>
            </w:r>
          </w:p>
        </w:tc>
        <w:tc>
          <w:tcPr>
            <w:tcW w:type="dxa" w:w="4762"/>
            <w:shd w:val="clear" w:color="auto" w:fill="EEF2F8"/>
          </w:tcPr>
          <w:p>
            <w:pPr>
              <w:spacing w:after="20"/>
            </w:pPr>
            <w:r/>
            <w:r>
              <w:rPr>
                <w:sz w:val="17"/>
              </w:rPr>
              <w:t>Complete the documentation check with items missing</w:t>
            </w:r>
          </w:p>
        </w:tc>
        <w:tc>
          <w:tcPr>
            <w:tcW w:type="dxa" w:w="4309"/>
            <w:shd w:val="clear" w:color="auto" w:fill="EEF2F8"/>
          </w:tcPr>
          <w:p>
            <w:pPr>
              <w:spacing w:after="20"/>
            </w:pPr>
            <w:r/>
            <w:r>
              <w:rPr>
                <w:sz w:val="17"/>
              </w:rPr>
              <w:t>the request task created, then the return to the check</w:t>
            </w:r>
          </w:p>
        </w:tc>
      </w:tr>
      <w:tr>
        <w:trPr>
          <w:cantSplit w:val="true"/>
        </w:trPr>
        <w:tc>
          <w:tcPr>
            <w:tcW w:type="dxa" w:w="567"/>
          </w:tcPr>
          <w:p>
            <w:pPr>
              <w:spacing w:after="20"/>
            </w:pPr>
            <w:r/>
            <w:r>
              <w:rPr>
                <w:sz w:val="17"/>
              </w:rPr>
              <w:t>3</w:t>
            </w:r>
          </w:p>
        </w:tc>
        <w:tc>
          <w:tcPr>
            <w:tcW w:type="dxa" w:w="4762"/>
          </w:tcPr>
          <w:p>
            <w:pPr>
              <w:spacing w:after="20"/>
            </w:pPr>
            <w:r/>
            <w:r>
              <w:rPr>
                <w:sz w:val="17"/>
              </w:rPr>
              <w:t>Complete the clinical review and record the decision</w:t>
            </w:r>
          </w:p>
        </w:tc>
        <w:tc>
          <w:tcPr>
            <w:tcW w:type="dxa" w:w="4309"/>
          </w:tcPr>
          <w:p>
            <w:pPr>
              <w:spacing w:after="20"/>
            </w:pPr>
            <w:r/>
            <w:r>
              <w:rPr>
                <w:sz w:val="17"/>
              </w:rPr>
              <w:t>the branch taken by referralDecision</w:t>
            </w:r>
          </w:p>
        </w:tc>
      </w:tr>
      <w:tr>
        <w:trPr>
          <w:cantSplit w:val="true"/>
        </w:trPr>
        <w:tc>
          <w:tcPr>
            <w:tcW w:type="dxa" w:w="567"/>
            <w:shd w:val="clear" w:color="auto" w:fill="EEF2F8"/>
          </w:tcPr>
          <w:p>
            <w:pPr>
              <w:spacing w:after="20"/>
            </w:pPr>
            <w:r/>
            <w:r>
              <w:rPr>
                <w:sz w:val="17"/>
              </w:rPr>
              <w:t>4</w:t>
            </w:r>
          </w:p>
        </w:tc>
        <w:tc>
          <w:tcPr>
            <w:tcW w:type="dxa" w:w="4762"/>
            <w:shd w:val="clear" w:color="auto" w:fill="EEF2F8"/>
          </w:tcPr>
          <w:p>
            <w:pPr>
              <w:spacing w:after="20"/>
            </w:pPr>
            <w:r/>
            <w:r>
              <w:rPr>
                <w:sz w:val="17"/>
              </w:rPr>
              <w:t>Watch the slot query complete without a human</w:t>
            </w:r>
          </w:p>
        </w:tc>
        <w:tc>
          <w:tcPr>
            <w:tcW w:type="dxa" w:w="4309"/>
            <w:shd w:val="clear" w:color="auto" w:fill="EEF2F8"/>
          </w:tcPr>
          <w:p>
            <w:pPr>
              <w:spacing w:after="20"/>
            </w:pPr>
            <w:r/>
            <w:r>
              <w:rPr>
                <w:sz w:val="17"/>
              </w:rPr>
              <w:t>the worker log line for query-available-appointment-slots</w:t>
            </w:r>
          </w:p>
        </w:tc>
      </w:tr>
      <w:tr>
        <w:trPr>
          <w:cantSplit w:val="true"/>
        </w:trPr>
        <w:tc>
          <w:tcPr>
            <w:tcW w:type="dxa" w:w="567"/>
          </w:tcPr>
          <w:p>
            <w:pPr>
              <w:spacing w:after="20"/>
            </w:pPr>
            <w:r/>
            <w:r>
              <w:rPr>
                <w:sz w:val="17"/>
              </w:rPr>
              <w:t>5</w:t>
            </w:r>
          </w:p>
        </w:tc>
        <w:tc>
          <w:tcPr>
            <w:tcW w:type="dxa" w:w="4762"/>
          </w:tcPr>
          <w:p>
            <w:pPr>
              <w:spacing w:after="20"/>
            </w:pPr>
            <w:r/>
            <w:r>
              <w:rPr>
                <w:sz w:val="17"/>
              </w:rPr>
              <w:t>Book the appointment, then complete the telephone task</w:t>
            </w:r>
          </w:p>
        </w:tc>
        <w:tc>
          <w:tcPr>
            <w:tcW w:type="dxa" w:w="4309"/>
          </w:tcPr>
          <w:p>
            <w:pPr>
              <w:spacing w:after="20"/>
            </w:pPr>
            <w:r/>
            <w:r>
              <w:rPr>
                <w:sz w:val="17"/>
              </w:rPr>
              <w:t>the form and the recorded attempt</w:t>
            </w:r>
          </w:p>
        </w:tc>
      </w:tr>
      <w:tr>
        <w:trPr>
          <w:cantSplit w:val="true"/>
        </w:trPr>
        <w:tc>
          <w:tcPr>
            <w:tcW w:type="dxa" w:w="567"/>
            <w:shd w:val="clear" w:color="auto" w:fill="EEF2F8"/>
          </w:tcPr>
          <w:p>
            <w:pPr>
              <w:spacing w:after="20"/>
            </w:pPr>
            <w:r/>
            <w:r>
              <w:rPr>
                <w:sz w:val="17"/>
              </w:rPr>
              <w:t>6</w:t>
            </w:r>
          </w:p>
        </w:tc>
        <w:tc>
          <w:tcPr>
            <w:tcW w:type="dxa" w:w="4762"/>
            <w:shd w:val="clear" w:color="auto" w:fill="EEF2F8"/>
          </w:tcPr>
          <w:p>
            <w:pPr>
              <w:spacing w:after="20"/>
            </w:pPr>
            <w:r/>
            <w:r>
              <w:rPr>
                <w:sz w:val="17"/>
              </w:rPr>
              <w:t>Record consent and create the treatment booking request</w:t>
            </w:r>
          </w:p>
        </w:tc>
        <w:tc>
          <w:tcPr>
            <w:tcW w:type="dxa" w:w="4309"/>
            <w:shd w:val="clear" w:color="auto" w:fill="EEF2F8"/>
          </w:tcPr>
          <w:p>
            <w:pPr>
              <w:spacing w:after="20"/>
            </w:pPr>
            <w:r/>
            <w:r>
              <w:rPr>
                <w:sz w:val="17"/>
              </w:rPr>
              <w:t>the request and its authorisation</w:t>
            </w:r>
          </w:p>
        </w:tc>
      </w:tr>
      <w:tr>
        <w:trPr>
          <w:cantSplit w:val="true"/>
        </w:trPr>
        <w:tc>
          <w:tcPr>
            <w:tcW w:type="dxa" w:w="567"/>
          </w:tcPr>
          <w:p>
            <w:pPr>
              <w:spacing w:after="20"/>
            </w:pPr>
            <w:r/>
            <w:r>
              <w:rPr>
                <w:sz w:val="17"/>
              </w:rPr>
              <w:t>7</w:t>
            </w:r>
          </w:p>
        </w:tc>
        <w:tc>
          <w:tcPr>
            <w:tcW w:type="dxa" w:w="4762"/>
          </w:tcPr>
          <w:p>
            <w:pPr>
              <w:spacing w:after="20"/>
            </w:pPr>
            <w:r/>
            <w:r>
              <w:rPr>
                <w:sz w:val="17"/>
              </w:rPr>
              <w:t>Show capacity refused, then confirmed on the retry</w:t>
            </w:r>
          </w:p>
        </w:tc>
        <w:tc>
          <w:tcPr>
            <w:tcW w:type="dxa" w:w="4309"/>
          </w:tcPr>
          <w:p>
            <w:pPr>
              <w:spacing w:after="20"/>
            </w:pPr>
            <w:r/>
            <w:r>
              <w:rPr>
                <w:sz w:val="17"/>
              </w:rPr>
              <w:t>capacityAttemptCount and T_KeepPending</w:t>
            </w:r>
          </w:p>
        </w:tc>
      </w:tr>
      <w:tr>
        <w:trPr>
          <w:cantSplit w:val="true"/>
        </w:trPr>
        <w:tc>
          <w:tcPr>
            <w:tcW w:type="dxa" w:w="567"/>
            <w:shd w:val="clear" w:color="auto" w:fill="EEF2F8"/>
          </w:tcPr>
          <w:p>
            <w:pPr>
              <w:spacing w:after="20"/>
            </w:pPr>
            <w:r/>
            <w:r>
              <w:rPr>
                <w:sz w:val="17"/>
              </w:rPr>
              <w:t>8</w:t>
            </w:r>
          </w:p>
        </w:tc>
        <w:tc>
          <w:tcPr>
            <w:tcW w:type="dxa" w:w="4762"/>
            <w:shd w:val="clear" w:color="auto" w:fill="EEF2F8"/>
          </w:tcPr>
          <w:p>
            <w:pPr>
              <w:spacing w:after="20"/>
            </w:pPr>
            <w:r/>
            <w:r>
              <w:rPr>
                <w:sz w:val="17"/>
              </w:rPr>
              <w:t>Record funding, take the advance payment, confirm the schedule</w:t>
            </w:r>
          </w:p>
        </w:tc>
        <w:tc>
          <w:tcPr>
            <w:tcW w:type="dxa" w:w="4309"/>
            <w:shd w:val="clear" w:color="auto" w:fill="EEF2F8"/>
          </w:tcPr>
          <w:p>
            <w:pPr>
              <w:spacing w:after="20"/>
            </w:pPr>
            <w:r/>
            <w:r>
              <w:rPr>
                <w:sz w:val="17"/>
              </w:rPr>
              <w:t>paymentStatus and the final state COMPLETED</w:t>
            </w:r>
          </w:p>
        </w:tc>
      </w:tr>
      <w:tr>
        <w:trPr>
          <w:cantSplit w:val="true"/>
        </w:trPr>
        <w:tc>
          <w:tcPr>
            <w:tcW w:type="dxa" w:w="567"/>
          </w:tcPr>
          <w:p>
            <w:pPr>
              <w:spacing w:after="20"/>
            </w:pPr>
            <w:r/>
            <w:r>
              <w:rPr>
                <w:sz w:val="17"/>
              </w:rPr>
              <w:t>9</w:t>
            </w:r>
          </w:p>
        </w:tc>
        <w:tc>
          <w:tcPr>
            <w:tcW w:type="dxa" w:w="4762"/>
          </w:tcPr>
          <w:p>
            <w:pPr>
              <w:spacing w:after="20"/>
            </w:pPr>
            <w:r/>
            <w:r>
              <w:rPr>
                <w:sz w:val="17"/>
              </w:rPr>
              <w:t>Open a second instance and take the payment-declined path</w:t>
            </w:r>
          </w:p>
        </w:tc>
        <w:tc>
          <w:tcPr>
            <w:tcW w:type="dxa" w:w="4309"/>
          </w:tcPr>
          <w:p>
            <w:pPr>
              <w:spacing w:after="20"/>
            </w:pPr>
            <w:r/>
            <w:r>
              <w:rPr>
                <w:sz w:val="17"/>
              </w:rPr>
              <w:t>the failure handling and the permitted retry</w:t>
            </w:r>
          </w:p>
        </w:tc>
      </w:tr>
    </w:tbl>
    <w:p>
      <w:pPr>
        <w:spacing w:after="40"/>
      </w:pPr>
    </w:p>
    <w:p>
      <w:pPr>
        <w:keepNext/>
        <w:spacing w:before="40" w:after="40"/>
      </w:pPr>
      <w:r>
        <w:rPr>
          <w:b/>
          <w:color w:val="595959"/>
          <w:sz w:val="17"/>
        </w:rPr>
        <w:t>Table 29. Run sheet. Steps 1–8 are the success path; step 9 is the failure path.</w:t>
      </w:r>
    </w:p>
    <w:p>
      <w:pPr>
        <w:pStyle w:val="Heading2"/>
      </w:pPr>
      <w:r>
        <w:t>6.5  Each member explains their own contribution</w:t>
      </w:r>
    </w:p>
    <w:p>
      <w:r>
        <w:rPr>
          <w:b w:val="0"/>
          <w:i w:val="0"/>
        </w:rPr>
        <w:t>max. I built the operational model and the integration behind it. The decision Iwould defend is the cross-pool message round trip: the referral is published by the referring organisation and the outcome comes back on the same correlation key, which is what makes the collaboration execute rather than illustrate. I would change the way we merged the three Sprint 1 and 2 files. Rebuilding them was right, but we started it two weeks too late.</w:t>
      </w:r>
    </w:p>
    <w:p>
      <w:r>
        <w:rPr>
          <w:b w:val="0"/>
          <w:i w:val="0"/>
        </w:rPr>
        <w:t>finn. I own the worker fleet and the way it fails. The decision that matters is separating a provider that answers "no" from a provider that does not answer: one is a business outcome the model branches on, the other is a transient failure the engine retries. I would add named error codes and boundary events next, so the exception belongs to the model rather than to the worker.</w:t>
      </w:r>
    </w:p>
    <w:p>
      <w:r>
        <w:rPr>
          <w:b w:val="0"/>
          <w:i w:val="0"/>
        </w:rPr>
        <w:t>henry. I did the requirements and the traceability, and the variable-to-gateway contract that sits between the model and the code. The decision I would defend is tracing only the variables a gateway actually reads, which is why the contract checks found ten controls that were collecting the right value with the wrong control type. I would start the traceability earlier, before the model froze, so the boundary questions surfaced while they were still cheap to answer.</w:t>
      </w:r>
    </w:p>
    <w:p>
      <w:r>
        <w:rPr>
          <w:b w:val="0"/>
          <w:i w:val="0"/>
        </w:rPr>
        <w:t>peter. I built the forms, and I ran the acceptance cases. The decision I would defend is that a case passes only if the variables hold the expected values, not just if the right task was reached, because a FEEL null takes a branch nobody chose. I would write the criteria as outcomes before writing any test, which is exactly what the review told us and what the revised criteria now do.</w:t>
      </w:r>
    </w:p>
    <w:p>
      <w:pPr>
        <w:pStyle w:val="Heading2"/>
      </w:pPr>
      <w:r>
        <w:t>6.6  Likely questions, and where the answer is</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5329"/>
        <w:gridCol w:w="4309"/>
      </w:tblGrid>
      <w:tr>
        <w:trPr>
          <w:tblHeader w:val="true"/>
        </w:trPr>
        <w:tc>
          <w:tcPr>
            <w:tcW w:type="dxa" w:w="5329"/>
            <w:shd w:val="clear" w:color="auto" w:fill="1F3864"/>
          </w:tcPr>
          <w:p>
            <w:pPr>
              <w:spacing w:after="20"/>
            </w:pPr>
            <w:r/>
            <w:r>
              <w:rPr>
                <w:b/>
                <w:color w:val="FFFFFF"/>
                <w:sz w:val="17"/>
              </w:rPr>
              <w:t>Question</w:t>
            </w:r>
          </w:p>
        </w:tc>
        <w:tc>
          <w:tcPr>
            <w:tcW w:type="dxa" w:w="4309"/>
            <w:shd w:val="clear" w:color="auto" w:fill="1F3864"/>
          </w:tcPr>
          <w:p>
            <w:pPr>
              <w:spacing w:after="20"/>
            </w:pPr>
            <w:r/>
            <w:r>
              <w:rPr>
                <w:b/>
                <w:color w:val="FFFFFF"/>
                <w:sz w:val="17"/>
              </w:rPr>
              <w:t>Answer from</w:t>
            </w:r>
          </w:p>
        </w:tc>
      </w:tr>
      <w:tr>
        <w:trPr>
          <w:cantSplit w:val="true"/>
        </w:trPr>
        <w:tc>
          <w:tcPr>
            <w:tcW w:type="dxa" w:w="5329"/>
          </w:tcPr>
          <w:p>
            <w:pPr>
              <w:spacing w:after="20"/>
            </w:pPr>
            <w:r/>
            <w:r>
              <w:rPr>
                <w:sz w:val="17"/>
              </w:rPr>
              <w:t>Why is the model a collaboration rather than one pool?</w:t>
            </w:r>
          </w:p>
        </w:tc>
        <w:tc>
          <w:tcPr>
            <w:tcW w:type="dxa" w:w="4309"/>
          </w:tcPr>
          <w:p>
            <w:pPr>
              <w:spacing w:after="20"/>
            </w:pPr>
            <w:r/>
            <w:r>
              <w:rPr>
                <w:sz w:val="17"/>
              </w:rPr>
              <w:t>section 1.2</w:t>
            </w:r>
          </w:p>
        </w:tc>
      </w:tr>
      <w:tr>
        <w:trPr>
          <w:cantSplit w:val="true"/>
        </w:trPr>
        <w:tc>
          <w:tcPr>
            <w:tcW w:type="dxa" w:w="5329"/>
            <w:shd w:val="clear" w:color="auto" w:fill="EEF2F8"/>
          </w:tcPr>
          <w:p>
            <w:pPr>
              <w:spacing w:after="20"/>
            </w:pPr>
            <w:r/>
            <w:r>
              <w:rPr>
                <w:sz w:val="17"/>
              </w:rPr>
              <w:t>What happens if a worker never writes its variable?</w:t>
            </w:r>
          </w:p>
        </w:tc>
        <w:tc>
          <w:tcPr>
            <w:tcW w:type="dxa" w:w="4309"/>
            <w:shd w:val="clear" w:color="auto" w:fill="EEF2F8"/>
          </w:tcPr>
          <w:p>
            <w:pPr>
              <w:spacing w:after="20"/>
            </w:pPr>
            <w:r/>
            <w:r>
              <w:rPr>
                <w:sz w:val="17"/>
              </w:rPr>
              <w:t>sections 2.3 and 2.5, WorkerContractTest</w:t>
            </w:r>
          </w:p>
        </w:tc>
      </w:tr>
      <w:tr>
        <w:trPr>
          <w:cantSplit w:val="true"/>
        </w:trPr>
        <w:tc>
          <w:tcPr>
            <w:tcW w:type="dxa" w:w="5329"/>
          </w:tcPr>
          <w:p>
            <w:pPr>
              <w:spacing w:after="20"/>
            </w:pPr>
            <w:r/>
            <w:r>
              <w:rPr>
                <w:sz w:val="17"/>
              </w:rPr>
              <w:t>How do you know the branch was taken by data and not by editing the model?</w:t>
            </w:r>
          </w:p>
        </w:tc>
        <w:tc>
          <w:tcPr>
            <w:tcW w:type="dxa" w:w="4309"/>
          </w:tcPr>
          <w:p>
            <w:pPr>
              <w:spacing w:after="20"/>
            </w:pPr>
            <w:r/>
            <w:r>
              <w:rPr>
                <w:sz w:val="17"/>
              </w:rPr>
              <w:t>section 1.5 (the conditions) and the acceptance cases, which set variables only</w:t>
            </w:r>
          </w:p>
        </w:tc>
      </w:tr>
      <w:tr>
        <w:trPr>
          <w:cantSplit w:val="true"/>
        </w:trPr>
        <w:tc>
          <w:tcPr>
            <w:tcW w:type="dxa" w:w="5329"/>
            <w:shd w:val="clear" w:color="auto" w:fill="EEF2F8"/>
          </w:tcPr>
          <w:p>
            <w:pPr>
              <w:spacing w:after="20"/>
            </w:pPr>
            <w:r/>
            <w:r>
              <w:rPr>
                <w:sz w:val="17"/>
              </w:rPr>
              <w:t>Which form field drives the 14-day rule?</w:t>
            </w:r>
          </w:p>
        </w:tc>
        <w:tc>
          <w:tcPr>
            <w:tcW w:type="dxa" w:w="4309"/>
            <w:shd w:val="clear" w:color="auto" w:fill="EEF2F8"/>
          </w:tcPr>
          <w:p>
            <w:pPr>
              <w:spacing w:after="20"/>
            </w:pPr>
            <w:r/>
            <w:r>
              <w:rPr>
                <w:sz w:val="17"/>
              </w:rPr>
              <w:t>section 3.5</w:t>
            </w:r>
          </w:p>
        </w:tc>
      </w:tr>
      <w:tr>
        <w:trPr>
          <w:cantSplit w:val="true"/>
        </w:trPr>
        <w:tc>
          <w:tcPr>
            <w:tcW w:type="dxa" w:w="5329"/>
          </w:tcPr>
          <w:p>
            <w:pPr>
              <w:spacing w:after="20"/>
            </w:pPr>
            <w:r/>
            <w:r>
              <w:rPr>
                <w:sz w:val="17"/>
              </w:rPr>
              <w:t>How do you know the forms are bound to the right tasks?</w:t>
            </w:r>
          </w:p>
        </w:tc>
        <w:tc>
          <w:tcPr>
            <w:tcW w:type="dxa" w:w="4309"/>
          </w:tcPr>
          <w:p>
            <w:pPr>
              <w:spacing w:after="20"/>
            </w:pPr>
            <w:r/>
            <w:r>
              <w:rPr>
                <w:sz w:val="17"/>
              </w:rPr>
              <w:t>validate-bindings.mjs, 99 of 99 (section 3.7)</w:t>
            </w:r>
          </w:p>
        </w:tc>
      </w:tr>
      <w:tr>
        <w:trPr>
          <w:cantSplit w:val="true"/>
        </w:trPr>
        <w:tc>
          <w:tcPr>
            <w:tcW w:type="dxa" w:w="5329"/>
            <w:shd w:val="clear" w:color="auto" w:fill="EEF2F8"/>
          </w:tcPr>
          <w:p>
            <w:pPr>
              <w:spacing w:after="20"/>
            </w:pPr>
            <w:r/>
            <w:r>
              <w:rPr>
                <w:sz w:val="17"/>
              </w:rPr>
              <w:t>What is simulated, and what does that not prove?</w:t>
            </w:r>
          </w:p>
        </w:tc>
        <w:tc>
          <w:tcPr>
            <w:tcW w:type="dxa" w:w="4309"/>
            <w:shd w:val="clear" w:color="auto" w:fill="EEF2F8"/>
          </w:tcPr>
          <w:p>
            <w:pPr>
              <w:spacing w:after="20"/>
            </w:pPr>
            <w:r/>
            <w:r>
              <w:rPr>
                <w:sz w:val="17"/>
              </w:rPr>
              <w:t>section 2.6</w:t>
            </w:r>
          </w:p>
        </w:tc>
      </w:tr>
      <w:tr>
        <w:trPr>
          <w:cantSplit w:val="true"/>
        </w:trPr>
        <w:tc>
          <w:tcPr>
            <w:tcW w:type="dxa" w:w="5329"/>
          </w:tcPr>
          <w:p>
            <w:pPr>
              <w:spacing w:after="20"/>
            </w:pPr>
            <w:r/>
            <w:r>
              <w:rPr>
                <w:sz w:val="17"/>
              </w:rPr>
              <w:t>Which path is least tested, and why?</w:t>
            </w:r>
          </w:p>
        </w:tc>
        <w:tc>
          <w:tcPr>
            <w:tcW w:type="dxa" w:w="4309"/>
          </w:tcPr>
          <w:p>
            <w:pPr>
              <w:spacing w:after="20"/>
            </w:pPr>
            <w:r/>
            <w:r>
              <w:rPr>
                <w:sz w:val="17"/>
              </w:rPr>
              <w:t>section 4.5, Table 21</w:t>
            </w:r>
          </w:p>
        </w:tc>
      </w:tr>
      <w:tr>
        <w:trPr>
          <w:cantSplit w:val="true"/>
        </w:trPr>
        <w:tc>
          <w:tcPr>
            <w:tcW w:type="dxa" w:w="5329"/>
            <w:shd w:val="clear" w:color="auto" w:fill="EEF2F8"/>
          </w:tcPr>
          <w:p>
            <w:pPr>
              <w:spacing w:after="20"/>
            </w:pPr>
            <w:r/>
            <w:r>
              <w:rPr>
                <w:sz w:val="17"/>
              </w:rPr>
              <w:t>What would you do first if you had another sprint?</w:t>
            </w:r>
          </w:p>
        </w:tc>
        <w:tc>
          <w:tcPr>
            <w:tcW w:type="dxa" w:w="4309"/>
            <w:shd w:val="clear" w:color="auto" w:fill="EEF2F8"/>
          </w:tcPr>
          <w:p>
            <w:pPr>
              <w:spacing w:after="20"/>
            </w:pPr>
            <w:r/>
            <w:r>
              <w:rPr>
                <w:sz w:val="17"/>
              </w:rPr>
              <w:t>the second-release backlog in the portfolio unit; and the error-boundary limitation in 1.8</w:t>
            </w:r>
          </w:p>
        </w:tc>
      </w:tr>
      <w:tr>
        <w:trPr>
          <w:cantSplit w:val="true"/>
        </w:trPr>
        <w:tc>
          <w:tcPr>
            <w:tcW w:type="dxa" w:w="5329"/>
          </w:tcPr>
          <w:p>
            <w:pPr>
              <w:spacing w:after="20"/>
            </w:pPr>
            <w:r/>
            <w:r>
              <w:rPr>
                <w:sz w:val="17"/>
              </w:rPr>
              <w:t>How was the group mark divided, and what is the evidence?</w:t>
            </w:r>
          </w:p>
        </w:tc>
        <w:tc>
          <w:tcPr>
            <w:tcW w:type="dxa" w:w="4309"/>
          </w:tcPr>
          <w:p>
            <w:pPr>
              <w:spacing w:after="20"/>
            </w:pPr>
            <w:r/>
            <w:r>
              <w:rPr>
                <w:sz w:val="17"/>
              </w:rPr>
              <w:t>section 5.9</w:t>
            </w:r>
          </w:p>
        </w:tc>
      </w:tr>
    </w:tbl>
    <w:p>
      <w:pPr>
        <w:spacing w:after="40"/>
      </w:pPr>
    </w:p>
    <w:p>
      <w:pPr>
        <w:keepNext/>
        <w:spacing w:before="40" w:after="40"/>
      </w:pPr>
      <w:r>
        <w:rPr>
          <w:b/>
          <w:color w:val="595959"/>
          <w:sz w:val="17"/>
        </w:rPr>
        <w:t>Table 30. Question-to-evidence map. Answers are in this portfolio, not improvised.</w:t>
      </w:r>
    </w:p>
    <w:p>
      <w:pPr>
        <w:pStyle w:val="Heading2"/>
      </w:pPr>
      <w:r>
        <w:t>6.7  If the live cluster fails</w:t>
      </w:r>
    </w:p>
    <w:p>
      <w:r>
        <w:rPr>
          <w:b w:val="0"/>
          <w:i w:val="0"/>
        </w:rPr>
        <w:t>The demonstration must not depend on a cluster that will not start. The fallback is prepared before the session: a short screen recording of the same run sheet, plus the recorded trace of the instance being discussed, opened in Operate if the engine is available for reads. The fallback is stated here rather than improvised, because a confidently handled fallback reads better than a live failure.</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Demonstration</dc:title>
  <dc:subject>UFCEP6-0-3 Portfolio — 6 Demonstration</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