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Evidence index and references</w:t>
      </w:r>
    </w:p>
    <w:p>
      <w:pPr>
        <w:pStyle w:val="Heading2"/>
      </w:pPr>
      <w:r>
        <w:t>7.1  Criterion to evidence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927"/>
        <w:gridCol w:w="793"/>
        <w:gridCol w:w="2041"/>
        <w:gridCol w:w="4876"/>
      </w:tblGrid>
      <w:tr>
        <w:trPr>
          <w:tblHeader w:val="true"/>
        </w:trPr>
        <w:tc>
          <w:tcPr>
            <w:tcW w:type="dxa" w:w="1928"/>
            <w:shd w:val="clear" w:color="auto" w:fill="1F3864"/>
          </w:tcPr>
          <w:p>
            <w:pPr>
              <w:spacing w:after="20"/>
            </w:pPr>
            <w:r/>
            <w:r>
              <w:rPr>
                <w:b/>
                <w:color w:val="FFFFFF"/>
                <w:sz w:val="17"/>
              </w:rPr>
              <w:t>Criterion</w:t>
            </w:r>
          </w:p>
        </w:tc>
        <w:tc>
          <w:tcPr>
            <w:tcW w:type="dxa" w:w="794"/>
            <w:shd w:val="clear" w:color="auto" w:fill="1F3864"/>
          </w:tcPr>
          <w:p>
            <w:pPr>
              <w:spacing w:after="20"/>
            </w:pPr>
            <w:r/>
            <w:r>
              <w:rPr>
                <w:b/>
                <w:color w:val="FFFFFF"/>
                <w:sz w:val="17"/>
              </w:rPr>
              <w:t>Weight</w:t>
            </w:r>
          </w:p>
        </w:tc>
        <w:tc>
          <w:tcPr>
            <w:tcW w:type="dxa" w:w="2041"/>
            <w:shd w:val="clear" w:color="auto" w:fill="1F3864"/>
          </w:tcPr>
          <w:p>
            <w:pPr>
              <w:spacing w:after="20"/>
            </w:pPr>
            <w:r/>
            <w:r>
              <w:rPr>
                <w:b/>
                <w:color w:val="FFFFFF"/>
                <w:sz w:val="17"/>
              </w:rPr>
              <w:t>Where it is argued</w:t>
            </w:r>
          </w:p>
        </w:tc>
        <w:tc>
          <w:tcPr>
            <w:tcW w:type="dxa" w:w="4876"/>
            <w:shd w:val="clear" w:color="auto" w:fill="1F3864"/>
          </w:tcPr>
          <w:p>
            <w:pPr>
              <w:spacing w:after="20"/>
            </w:pPr>
            <w:r/>
            <w:r>
              <w:rPr>
                <w:b/>
                <w:color w:val="FFFFFF"/>
                <w:sz w:val="17"/>
              </w:rPr>
              <w:t>Where it is evidenced</w:t>
            </w:r>
          </w:p>
        </w:tc>
      </w:tr>
      <w:tr>
        <w:trPr>
          <w:cantSplit w:val="true"/>
        </w:trPr>
        <w:tc>
          <w:tcPr>
            <w:tcW w:type="dxa" w:w="1928"/>
          </w:tcPr>
          <w:p>
            <w:pPr>
              <w:spacing w:after="20"/>
            </w:pPr>
            <w:r/>
            <w:r>
              <w:rPr>
                <w:sz w:val="17"/>
              </w:rPr>
              <w:t>Operational BPMN</w:t>
            </w:r>
          </w:p>
        </w:tc>
        <w:tc>
          <w:tcPr>
            <w:tcW w:type="dxa" w:w="794"/>
          </w:tcPr>
          <w:p>
            <w:pPr>
              <w:spacing w:after="20"/>
              <w:jc w:val="right"/>
            </w:pPr>
            <w:r/>
            <w:r>
              <w:rPr>
                <w:sz w:val="17"/>
              </w:rPr>
              <w:t>15%</w:t>
            </w:r>
          </w:p>
        </w:tc>
        <w:tc>
          <w:tcPr>
            <w:tcW w:type="dxa" w:w="2041"/>
          </w:tcPr>
          <w:p>
            <w:pPr>
              <w:spacing w:after="20"/>
            </w:pPr>
            <w:r/>
            <w:r>
              <w:rPr>
                <w:sz w:val="17"/>
              </w:rPr>
              <w:t>section 1</w:t>
            </w:r>
          </w:p>
        </w:tc>
        <w:tc>
          <w:tcPr>
            <w:tcW w:type="dxa" w:w="4876"/>
          </w:tcPr>
          <w:p>
            <w:pPr>
              <w:spacing w:after="20"/>
            </w:pPr>
            <w:r/>
            <w:r>
              <w:rPr>
                <w:sz w:val="17"/>
              </w:rPr>
              <w:t>02_BPMN_Models/*.bpmn; 05_Test_Evidence/validation.txt; cluster.txt; Operate screenshots</w:t>
            </w:r>
          </w:p>
        </w:tc>
      </w:tr>
      <w:tr>
        <w:trPr>
          <w:cantSplit w:val="true"/>
        </w:trPr>
        <w:tc>
          <w:tcPr>
            <w:tcW w:type="dxa" w:w="1928"/>
            <w:shd w:val="clear" w:color="auto" w:fill="EEF2F8"/>
          </w:tcPr>
          <w:p>
            <w:pPr>
              <w:spacing w:after="20"/>
            </w:pPr>
            <w:r/>
            <w:r>
              <w:rPr>
                <w:sz w:val="17"/>
              </w:rPr>
              <w:t>External workers</w:t>
            </w:r>
          </w:p>
        </w:tc>
        <w:tc>
          <w:tcPr>
            <w:tcW w:type="dxa" w:w="794"/>
            <w:shd w:val="clear" w:color="auto" w:fill="EEF2F8"/>
          </w:tcPr>
          <w:p>
            <w:pPr>
              <w:spacing w:after="20"/>
              <w:jc w:val="right"/>
            </w:pPr>
            <w:r/>
            <w:r>
              <w:rPr>
                <w:sz w:val="17"/>
              </w:rPr>
              <w:t>15%</w:t>
            </w:r>
          </w:p>
        </w:tc>
        <w:tc>
          <w:tcPr>
            <w:tcW w:type="dxa" w:w="2041"/>
            <w:shd w:val="clear" w:color="auto" w:fill="EEF2F8"/>
          </w:tcPr>
          <w:p>
            <w:pPr>
              <w:spacing w:after="20"/>
            </w:pPr>
            <w:r/>
            <w:r>
              <w:rPr>
                <w:sz w:val="17"/>
              </w:rPr>
              <w:t>section 2</w:t>
            </w:r>
          </w:p>
        </w:tc>
        <w:tc>
          <w:tcPr>
            <w:tcW w:type="dxa" w:w="4876"/>
            <w:shd w:val="clear" w:color="auto" w:fill="EEF2F8"/>
          </w:tcPr>
          <w:p>
            <w:pPr>
              <w:spacing w:after="20"/>
            </w:pPr>
            <w:r/>
            <w:r>
              <w:rPr>
                <w:sz w:val="17"/>
              </w:rPr>
              <w:t>04_Java_Worker/ (source, pom, workers.properties, DEPLOYMENT.md); mvn test; 05_Test_Evidence/worker-run/</w:t>
            </w:r>
          </w:p>
        </w:tc>
      </w:tr>
      <w:tr>
        <w:trPr>
          <w:cantSplit w:val="true"/>
        </w:trPr>
        <w:tc>
          <w:tcPr>
            <w:tcW w:type="dxa" w:w="1928"/>
          </w:tcPr>
          <w:p>
            <w:pPr>
              <w:spacing w:after="20"/>
            </w:pPr>
            <w:r/>
            <w:r>
              <w:rPr>
                <w:sz w:val="17"/>
              </w:rPr>
              <w:t>Camunda Forms</w:t>
            </w:r>
          </w:p>
        </w:tc>
        <w:tc>
          <w:tcPr>
            <w:tcW w:type="dxa" w:w="794"/>
          </w:tcPr>
          <w:p>
            <w:pPr>
              <w:spacing w:after="20"/>
              <w:jc w:val="right"/>
            </w:pPr>
            <w:r/>
            <w:r>
              <w:rPr>
                <w:sz w:val="17"/>
              </w:rPr>
              <w:t>15%</w:t>
            </w:r>
          </w:p>
        </w:tc>
        <w:tc>
          <w:tcPr>
            <w:tcW w:type="dxa" w:w="2041"/>
          </w:tcPr>
          <w:p>
            <w:pPr>
              <w:spacing w:after="20"/>
            </w:pPr>
            <w:r/>
            <w:r>
              <w:rPr>
                <w:sz w:val="17"/>
              </w:rPr>
              <w:t>section 3</w:t>
            </w:r>
          </w:p>
        </w:tc>
        <w:tc>
          <w:tcPr>
            <w:tcW w:type="dxa" w:w="4876"/>
          </w:tcPr>
          <w:p>
            <w:pPr>
              <w:spacing w:after="20"/>
            </w:pPr>
            <w:r/>
            <w:r>
              <w:rPr>
                <w:sz w:val="17"/>
              </w:rPr>
              <w:t>03_Forms/*.form; validate-forms.py, validate-bindings.mjs, render-forms.mjs output; form render captures</w:t>
            </w:r>
          </w:p>
        </w:tc>
      </w:tr>
      <w:tr>
        <w:trPr>
          <w:cantSplit w:val="true"/>
        </w:trPr>
        <w:tc>
          <w:tcPr>
            <w:tcW w:type="dxa" w:w="1928"/>
            <w:shd w:val="clear" w:color="auto" w:fill="EEF2F8"/>
          </w:tcPr>
          <w:p>
            <w:pPr>
              <w:spacing w:after="20"/>
            </w:pPr>
            <w:r/>
            <w:r>
              <w:rPr>
                <w:sz w:val="17"/>
              </w:rPr>
              <w:t>Project &amp; Test Plan</w:t>
            </w:r>
          </w:p>
        </w:tc>
        <w:tc>
          <w:tcPr>
            <w:tcW w:type="dxa" w:w="794"/>
            <w:shd w:val="clear" w:color="auto" w:fill="EEF2F8"/>
          </w:tcPr>
          <w:p>
            <w:pPr>
              <w:spacing w:after="20"/>
              <w:jc w:val="right"/>
            </w:pPr>
            <w:r/>
            <w:r>
              <w:rPr>
                <w:sz w:val="17"/>
              </w:rPr>
              <w:t>10%</w:t>
            </w:r>
          </w:p>
        </w:tc>
        <w:tc>
          <w:tcPr>
            <w:tcW w:type="dxa" w:w="2041"/>
            <w:shd w:val="clear" w:color="auto" w:fill="EEF2F8"/>
          </w:tcPr>
          <w:p>
            <w:pPr>
              <w:spacing w:after="20"/>
            </w:pPr>
            <w:r/>
            <w:r>
              <w:rPr>
                <w:sz w:val="17"/>
              </w:rPr>
              <w:t>section 4</w:t>
            </w:r>
          </w:p>
        </w:tc>
        <w:tc>
          <w:tcPr>
            <w:tcW w:type="dxa" w:w="4876"/>
            <w:shd w:val="clear" w:color="auto" w:fill="EEF2F8"/>
          </w:tcPr>
          <w:p>
            <w:pPr>
              <w:spacing w:after="20"/>
            </w:pPr>
            <w:r/>
            <w:r>
              <w:rPr>
                <w:sz w:val="17"/>
              </w:rPr>
              <w:t>01_Agile_Planning/Hospital_Patient_System_Project_Backlog_按评价逐项修正最终版.xlsx; 05_Test_Evidence/Acceptance_Test_Plan.md; acceptance-run.json</w:t>
            </w:r>
          </w:p>
        </w:tc>
      </w:tr>
      <w:tr>
        <w:trPr>
          <w:cantSplit w:val="true"/>
        </w:trPr>
        <w:tc>
          <w:tcPr>
            <w:tcW w:type="dxa" w:w="1928"/>
          </w:tcPr>
          <w:p>
            <w:pPr>
              <w:spacing w:after="20"/>
            </w:pPr>
            <w:r/>
            <w:r>
              <w:rPr>
                <w:sz w:val="17"/>
              </w:rPr>
              <w:t>Standups SU1, SU2</w:t>
            </w:r>
          </w:p>
        </w:tc>
        <w:tc>
          <w:tcPr>
            <w:tcW w:type="dxa" w:w="794"/>
          </w:tcPr>
          <w:p>
            <w:pPr>
              <w:spacing w:after="20"/>
              <w:jc w:val="right"/>
            </w:pPr>
            <w:r/>
            <w:r>
              <w:rPr>
                <w:sz w:val="17"/>
              </w:rPr>
              <w:t>10%</w:t>
            </w:r>
          </w:p>
        </w:tc>
        <w:tc>
          <w:tcPr>
            <w:tcW w:type="dxa" w:w="2041"/>
          </w:tcPr>
          <w:p>
            <w:pPr>
              <w:spacing w:after="20"/>
            </w:pPr>
            <w:r/>
            <w:r>
              <w:rPr>
                <w:sz w:val="17"/>
              </w:rPr>
              <w:t>section 5.3, 5.4</w:t>
            </w:r>
          </w:p>
        </w:tc>
        <w:tc>
          <w:tcPr>
            <w:tcW w:type="dxa" w:w="4876"/>
          </w:tcPr>
          <w:p>
            <w:pPr>
              <w:spacing w:after="20"/>
            </w:pPr>
            <w:r/>
            <w:r>
              <w:rPr>
                <w:sz w:val="17"/>
              </w:rPr>
              <w:t>records above; backlog task records; commit history</w:t>
            </w:r>
          </w:p>
        </w:tc>
      </w:tr>
      <w:tr>
        <w:trPr>
          <w:cantSplit w:val="true"/>
        </w:trPr>
        <w:tc>
          <w:tcPr>
            <w:tcW w:type="dxa" w:w="1928"/>
            <w:shd w:val="clear" w:color="auto" w:fill="EEF2F8"/>
          </w:tcPr>
          <w:p>
            <w:pPr>
              <w:spacing w:after="20"/>
            </w:pPr>
            <w:r/>
            <w:r>
              <w:rPr>
                <w:sz w:val="17"/>
              </w:rPr>
              <w:t>Sprint reviews SR1, SR2</w:t>
            </w:r>
          </w:p>
        </w:tc>
        <w:tc>
          <w:tcPr>
            <w:tcW w:type="dxa" w:w="794"/>
            <w:shd w:val="clear" w:color="auto" w:fill="EEF2F8"/>
          </w:tcPr>
          <w:p>
            <w:pPr>
              <w:spacing w:after="20"/>
              <w:jc w:val="right"/>
            </w:pPr>
            <w:r/>
            <w:r>
              <w:rPr>
                <w:sz w:val="17"/>
              </w:rPr>
              <w:t>20%</w:t>
            </w:r>
          </w:p>
        </w:tc>
        <w:tc>
          <w:tcPr>
            <w:tcW w:type="dxa" w:w="2041"/>
            <w:shd w:val="clear" w:color="auto" w:fill="EEF2F8"/>
          </w:tcPr>
          <w:p>
            <w:pPr>
              <w:spacing w:after="20"/>
            </w:pPr>
            <w:r/>
            <w:r>
              <w:rPr>
                <w:sz w:val="17"/>
              </w:rPr>
              <w:t>section 5.5, 5.6</w:t>
            </w:r>
          </w:p>
        </w:tc>
        <w:tc>
          <w:tcPr>
            <w:tcW w:type="dxa" w:w="4876"/>
            <w:shd w:val="clear" w:color="auto" w:fill="EEF2F8"/>
          </w:tcPr>
          <w:p>
            <w:pPr>
              <w:spacing w:after="20"/>
            </w:pPr>
            <w:r/>
            <w:r>
              <w:rPr>
                <w:sz w:val="17"/>
              </w:rPr>
              <w:t>review records; tags per review; feedback action log</w:t>
            </w:r>
          </w:p>
        </w:tc>
      </w:tr>
      <w:tr>
        <w:trPr>
          <w:cantSplit w:val="true"/>
        </w:trPr>
        <w:tc>
          <w:tcPr>
            <w:tcW w:type="dxa" w:w="1928"/>
          </w:tcPr>
          <w:p>
            <w:pPr>
              <w:spacing w:after="20"/>
            </w:pPr>
            <w:r/>
            <w:r>
              <w:rPr>
                <w:sz w:val="17"/>
              </w:rPr>
              <w:t>Demonstration</w:t>
            </w:r>
          </w:p>
        </w:tc>
        <w:tc>
          <w:tcPr>
            <w:tcW w:type="dxa" w:w="794"/>
          </w:tcPr>
          <w:p>
            <w:pPr>
              <w:spacing w:after="20"/>
              <w:jc w:val="right"/>
            </w:pPr>
            <w:r/>
            <w:r>
              <w:rPr>
                <w:sz w:val="17"/>
              </w:rPr>
              <w:t>15%</w:t>
            </w:r>
          </w:p>
        </w:tc>
        <w:tc>
          <w:tcPr>
            <w:tcW w:type="dxa" w:w="2041"/>
          </w:tcPr>
          <w:p>
            <w:pPr>
              <w:spacing w:after="20"/>
            </w:pPr>
            <w:r/>
            <w:r>
              <w:rPr>
                <w:sz w:val="17"/>
              </w:rPr>
              <w:t>section 6</w:t>
            </w:r>
          </w:p>
        </w:tc>
        <w:tc>
          <w:tcPr>
            <w:tcW w:type="dxa" w:w="4876"/>
          </w:tcPr>
          <w:p>
            <w:pPr>
              <w:spacing w:after="20"/>
            </w:pPr>
            <w:r/>
            <w:r>
              <w:rPr>
                <w:sz w:val="17"/>
              </w:rPr>
              <w:t>live demonstration; recorded fallback; the instances in Table 28</w:t>
            </w:r>
          </w:p>
        </w:tc>
      </w:tr>
    </w:tbl>
    <w:p>
      <w:pPr>
        <w:spacing w:after="40"/>
      </w:pPr>
    </w:p>
    <w:p>
      <w:pPr>
        <w:keepNext/>
        <w:spacing w:before="40" w:after="40"/>
      </w:pPr>
      <w:r>
        <w:rPr>
          <w:b/>
          <w:color w:val="595959"/>
          <w:sz w:val="17"/>
        </w:rPr>
        <w:t>Table 31. Every criterion, where it is argued, and the artefact that answers it.</w:t>
      </w:r>
    </w:p>
    <w:p>
      <w:pPr>
        <w:pStyle w:val="Heading2"/>
      </w:pPr>
      <w:r>
        <w:t>7.2  Repository map</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94"/>
        <w:gridCol w:w="7144"/>
      </w:tblGrid>
      <w:tr>
        <w:trPr>
          <w:tblHeader w:val="true"/>
        </w:trPr>
        <w:tc>
          <w:tcPr>
            <w:tcW w:type="dxa" w:w="2494"/>
            <w:shd w:val="clear" w:color="auto" w:fill="1F3864"/>
          </w:tcPr>
          <w:p>
            <w:pPr>
              <w:spacing w:after="20"/>
            </w:pPr>
            <w:r/>
            <w:r>
              <w:rPr>
                <w:b/>
                <w:color w:val="FFFFFF"/>
                <w:sz w:val="17"/>
              </w:rPr>
              <w:t>Folder</w:t>
            </w:r>
          </w:p>
        </w:tc>
        <w:tc>
          <w:tcPr>
            <w:tcW w:type="dxa" w:w="7143"/>
            <w:shd w:val="clear" w:color="auto" w:fill="1F3864"/>
          </w:tcPr>
          <w:p>
            <w:pPr>
              <w:spacing w:after="20"/>
            </w:pPr>
            <w:r/>
            <w:r>
              <w:rPr>
                <w:b/>
                <w:color w:val="FFFFFF"/>
                <w:sz w:val="17"/>
              </w:rPr>
              <w:t>What it holds</w:t>
            </w:r>
          </w:p>
        </w:tc>
      </w:tr>
      <w:tr>
        <w:trPr>
          <w:cantSplit w:val="true"/>
        </w:trPr>
        <w:tc>
          <w:tcPr>
            <w:tcW w:type="dxa" w:w="2494"/>
          </w:tcPr>
          <w:p>
            <w:pPr>
              <w:spacing w:after="20"/>
            </w:pPr>
            <w:r/>
            <w:r>
              <w:rPr>
                <w:sz w:val="17"/>
              </w:rPr>
              <w:t>02_BPMN_Models/</w:t>
            </w:r>
          </w:p>
        </w:tc>
        <w:tc>
          <w:tcPr>
            <w:tcW w:type="dxa" w:w="7143"/>
          </w:tcPr>
          <w:p>
            <w:pPr>
              <w:spacing w:after="20"/>
            </w:pPr>
            <w:r/>
            <w:r>
              <w:rPr>
                <w:sz w:val="17"/>
              </w:rPr>
              <w:t>the four .bpmn models and readable PDF/PNG/SVG exports</w:t>
            </w:r>
          </w:p>
        </w:tc>
      </w:tr>
      <w:tr>
        <w:trPr>
          <w:cantSplit w:val="true"/>
        </w:trPr>
        <w:tc>
          <w:tcPr>
            <w:tcW w:type="dxa" w:w="2494"/>
            <w:shd w:val="clear" w:color="auto" w:fill="EEF2F8"/>
          </w:tcPr>
          <w:p>
            <w:pPr>
              <w:spacing w:after="20"/>
            </w:pPr>
            <w:r/>
            <w:r>
              <w:rPr>
                <w:sz w:val="17"/>
              </w:rPr>
              <w:t>03_Forms/</w:t>
            </w:r>
          </w:p>
        </w:tc>
        <w:tc>
          <w:tcPr>
            <w:tcW w:type="dxa" w:w="7143"/>
            <w:shd w:val="clear" w:color="auto" w:fill="EEF2F8"/>
          </w:tcPr>
          <w:p>
            <w:pPr>
              <w:spacing w:after="20"/>
            </w:pPr>
            <w:r/>
            <w:r>
              <w:rPr>
                <w:sz w:val="17"/>
              </w:rPr>
              <w:t>the Camunda Forms, one file per form</w:t>
            </w:r>
          </w:p>
        </w:tc>
      </w:tr>
      <w:tr>
        <w:trPr>
          <w:cantSplit w:val="true"/>
        </w:trPr>
        <w:tc>
          <w:tcPr>
            <w:tcW w:type="dxa" w:w="2494"/>
          </w:tcPr>
          <w:p>
            <w:pPr>
              <w:spacing w:after="20"/>
            </w:pPr>
            <w:r/>
            <w:r>
              <w:rPr>
                <w:sz w:val="17"/>
              </w:rPr>
              <w:t>04_Java_Worker/</w:t>
            </w:r>
          </w:p>
        </w:tc>
        <w:tc>
          <w:tcPr>
            <w:tcW w:type="dxa" w:w="7143"/>
          </w:tcPr>
          <w:p>
            <w:pPr>
              <w:spacing w:after="20"/>
            </w:pPr>
            <w:r/>
            <w:r>
              <w:rPr>
                <w:sz w:val="17"/>
              </w:rPr>
              <w:t>the worker fleet: source, pom.xml, workers.properties, run scripts, README, DEPLOYMENT</w:t>
            </w:r>
          </w:p>
        </w:tc>
      </w:tr>
      <w:tr>
        <w:trPr>
          <w:cantSplit w:val="true"/>
        </w:trPr>
        <w:tc>
          <w:tcPr>
            <w:tcW w:type="dxa" w:w="2494"/>
            <w:shd w:val="clear" w:color="auto" w:fill="EEF2F8"/>
          </w:tcPr>
          <w:p>
            <w:pPr>
              <w:spacing w:after="20"/>
            </w:pPr>
            <w:r/>
            <w:r>
              <w:rPr>
                <w:sz w:val="17"/>
              </w:rPr>
              <w:t>05_Test_Evidence/</w:t>
            </w:r>
          </w:p>
        </w:tc>
        <w:tc>
          <w:tcPr>
            <w:tcW w:type="dxa" w:w="7143"/>
            <w:shd w:val="clear" w:color="auto" w:fill="EEF2F8"/>
          </w:tcPr>
          <w:p>
            <w:pPr>
              <w:spacing w:after="20"/>
            </w:pPr>
            <w:r/>
            <w:r>
              <w:rPr>
                <w:sz w:val="17"/>
              </w:rPr>
              <w:t>acceptance plan, run output, screenshots, verification logs, worker scenarios</w:t>
            </w:r>
          </w:p>
        </w:tc>
      </w:tr>
      <w:tr>
        <w:trPr>
          <w:cantSplit w:val="true"/>
        </w:trPr>
        <w:tc>
          <w:tcPr>
            <w:tcW w:type="dxa" w:w="2494"/>
          </w:tcPr>
          <w:p>
            <w:pPr>
              <w:spacing w:after="20"/>
            </w:pPr>
            <w:r/>
            <w:r>
              <w:rPr>
                <w:sz w:val="17"/>
              </w:rPr>
              <w:t>08_Repository_Documents/</w:t>
            </w:r>
          </w:p>
        </w:tc>
        <w:tc>
          <w:tcPr>
            <w:tcW w:type="dxa" w:w="7143"/>
          </w:tcPr>
          <w:p>
            <w:pPr>
              <w:spacing w:after="20"/>
            </w:pPr>
            <w:r/>
            <w:r>
              <w:rPr>
                <w:sz w:val="17"/>
              </w:rPr>
              <w:t>model inventory, defect log, assumption register, run guide, integration and RBAC records</w:t>
            </w:r>
          </w:p>
        </w:tc>
      </w:tr>
      <w:tr>
        <w:trPr>
          <w:cantSplit w:val="true"/>
        </w:trPr>
        <w:tc>
          <w:tcPr>
            <w:tcW w:type="dxa" w:w="2494"/>
            <w:shd w:val="clear" w:color="auto" w:fill="EEF2F8"/>
          </w:tcPr>
          <w:p>
            <w:pPr>
              <w:spacing w:after="20"/>
            </w:pPr>
            <w:r/>
            <w:r>
              <w:rPr>
                <w:sz w:val="17"/>
              </w:rPr>
              <w:t>09_Tests_and_Tools/</w:t>
            </w:r>
          </w:p>
        </w:tc>
        <w:tc>
          <w:tcPr>
            <w:tcW w:type="dxa" w:w="7143"/>
            <w:shd w:val="clear" w:color="auto" w:fill="EEF2F8"/>
          </w:tcPr>
          <w:p>
            <w:pPr>
              <w:spacing w:after="20"/>
            </w:pPr>
            <w:r/>
            <w:r>
              <w:rPr>
                <w:sz w:val="17"/>
              </w:rPr>
              <w:t>the validation, deployment, acceptance and verification harness</w:t>
            </w:r>
          </w:p>
        </w:tc>
      </w:tr>
      <w:tr>
        <w:trPr>
          <w:cantSplit w:val="true"/>
        </w:trPr>
        <w:tc>
          <w:tcPr>
            <w:tcW w:type="dxa" w:w="2494"/>
          </w:tcPr>
          <w:p>
            <w:pPr>
              <w:spacing w:after="20"/>
            </w:pPr>
            <w:r/>
            <w:r>
              <w:rPr>
                <w:sz w:val="17"/>
              </w:rPr>
              <w:t>01_Agile_Planning/</w:t>
            </w:r>
          </w:p>
        </w:tc>
        <w:tc>
          <w:tcPr>
            <w:tcW w:type="dxa" w:w="7143"/>
          </w:tcPr>
          <w:p>
            <w:pPr>
              <w:spacing w:after="20"/>
            </w:pPr>
            <w:r/>
            <w:r>
              <w:rPr>
                <w:sz w:val="17"/>
              </w:rPr>
              <w:t>product backlog, sprint backlogs, work division, version snapshots</w:t>
            </w:r>
          </w:p>
        </w:tc>
      </w:tr>
    </w:tbl>
    <w:p>
      <w:pPr>
        <w:spacing w:after="40"/>
      </w:pPr>
    </w:p>
    <w:p>
      <w:pPr>
        <w:pStyle w:val="Heading2"/>
      </w:pPr>
      <w:r>
        <w:t>7.3  References</w:t>
      </w:r>
    </w:p>
    <w:p>
      <w:r>
        <w:rPr>
          <w:b w:val="0"/>
          <w:i w:val="0"/>
          <w:sz w:val="19"/>
        </w:rPr>
        <w:t>Camunda (2025) Camunda 8 documentation: Zeebe, BPMN, forms and the Orchestration Cluster API. Available at: https://docs.camunda.io/ (Accessed: 20 October 2026).</w:t>
      </w:r>
    </w:p>
    <w:p>
      <w:r>
        <w:rPr>
          <w:b w:val="0"/>
          <w:i w:val="0"/>
          <w:sz w:val="19"/>
        </w:rPr>
        <w:t>Object Management Group (2013) Business Process Model and Notation (BPMN), Version 2.0.2. OMG document formal/2013-12-09. Available at: https://www.omg.org/spec/BPMN/2.0.2/ (Accessed: 20 October 2026).</w:t>
      </w:r>
    </w:p>
    <w:p>
      <w:r>
        <w:rPr>
          <w:b w:val="0"/>
          <w:i w:val="0"/>
          <w:sz w:val="19"/>
        </w:rPr>
        <w:t>Schwaber, K. and Sutherland, J. (2020) The Scrum Guide: the definitive guide to Scrum. Available at: https://scrumguides.org/ (Accessed: 20 October 2026).</w:t>
      </w:r>
    </w:p>
    <w:p>
      <w:r>
        <w:rPr>
          <w:b w:val="0"/>
          <w:i w:val="0"/>
          <w:sz w:val="19"/>
        </w:rPr>
        <w:t>UWE Bristol (2026) Case Study: Hospital Patient Referral, Treatment and Administration System. Unpublished module case study, UFCEP6-0-3 Advanced Information Systems Development. Bristol: University of the West of England.</w:t>
      </w:r>
    </w:p>
    <w:p>
      <w:r>
        <w:rPr>
          <w:b w:val="0"/>
          <w:i w:val="0"/>
          <w:sz w:val="19"/>
        </w:rPr>
        <w:t>W3C (2023) Web Content Accessibility Guidelines (WCAG) 2.2. Available at: https://www.w3.org/TR/WCAG22/ (Accessed: 20 October 2026).</w:t>
      </w:r>
    </w:p>
    <w:p>
      <w:r>
        <w:rPr>
          <w:b w:val="0"/>
          <w:i/>
          <w:sz w:val="19"/>
        </w:rPr>
        <w:t>The list is deliberately short and every entry is used in the text: the BPMN specification for the notation and the element ordering the deployment rejects, the Camunda documentation for the engine, forms and API this release is built on, the Scrum Guide for the agile practice recorded in section 5, the module case study for every requirement, and WCAG 2.2 for the accessibility position stated in section 3.6.</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Evidence index and references</dc:title>
  <dc:subject>UFCEP6-0-3 Portfolio — 7 Evidence index</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