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E74B5"/>
          <w:sz w:val="18"/>
        </w:rPr>
        <w:t>UFCEP6-0-3  ·  Advanced Information Systems Development</w:t>
      </w:r>
    </w:p>
    <w:p>
      <w:pPr>
        <w:spacing w:after="40"/>
      </w:pPr>
      <w:r>
        <w:rPr>
          <w:b/>
          <w:color w:val="1F3864"/>
          <w:sz w:val="44"/>
        </w:rPr>
        <w:t>Planning evidence pack</w:t>
      </w:r>
    </w:p>
    <w:p>
      <w:pPr>
        <w:spacing w:after="200"/>
      </w:pPr>
      <w:r>
        <w:rPr>
          <w:color w:val="595959"/>
          <w:sz w:val="22"/>
        </w:rPr>
        <w:t>Plans, task records, sprint reviews and risk records supporting the evaluation of the project plan</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1928"/>
            <w:shd w:val="clear" w:color="auto" w:fill="2E74B5"/>
          </w:tcPr>
          <w:p>
            <w:pPr>
              <w:spacing w:before="30" w:after="30" w:line="240" w:lineRule="auto"/>
            </w:pPr>
            <w:r/>
            <w:r>
              <w:rPr>
                <w:rFonts w:ascii="Calibri" w:hAnsi="Calibri"/>
                <w:b/>
                <w:color w:val="FFFFFF"/>
                <w:sz w:val="18"/>
              </w:rPr>
              <w:t>Item</w:t>
            </w:r>
          </w:p>
        </w:tc>
        <w:tc>
          <w:tcPr>
            <w:tcW w:type="dxa" w:w="7540"/>
            <w:shd w:val="clear" w:color="auto" w:fill="2E74B5"/>
          </w:tcPr>
          <w:p>
            <w:pPr>
              <w:spacing w:before="30" w:after="30" w:line="240" w:lineRule="auto"/>
            </w:pPr>
            <w:r/>
            <w:r>
              <w:rPr>
                <w:rFonts w:ascii="Calibri" w:hAnsi="Calibri"/>
                <w:b/>
                <w:color w:val="FFFFFF"/>
                <w:sz w:val="18"/>
              </w:rPr>
              <w:t>Detail</w:t>
            </w:r>
          </w:p>
        </w:tc>
      </w:tr>
      <w:tr>
        <w:tc>
          <w:tcPr>
            <w:tcW w:type="dxa" w:w="1928"/>
            <w:shd w:val="clear" w:color="auto" w:fill="F2F6FB"/>
          </w:tcPr>
          <w:p>
            <w:pPr>
              <w:spacing w:before="30" w:after="30" w:line="240" w:lineRule="auto"/>
            </w:pPr>
            <w:r/>
            <w:r>
              <w:rPr>
                <w:rFonts w:ascii="Calibri" w:hAnsi="Calibri"/>
                <w:b w:val="0"/>
                <w:sz w:val="18"/>
              </w:rPr>
              <w:t>Module</w:t>
            </w:r>
          </w:p>
        </w:tc>
        <w:tc>
          <w:tcPr>
            <w:tcW w:type="dxa" w:w="7540"/>
            <w:shd w:val="clear" w:color="auto" w:fill="F2F6FB"/>
          </w:tcPr>
          <w:p>
            <w:pPr>
              <w:spacing w:before="30" w:after="30" w:line="240" w:lineRule="auto"/>
            </w:pPr>
            <w:r/>
            <w:r>
              <w:rPr>
                <w:rFonts w:ascii="Calibri" w:hAnsi="Calibri"/>
                <w:b w:val="0"/>
                <w:sz w:val="18"/>
              </w:rPr>
              <w:t>UFCEP6-0-3 Advanced Information Systems Development</w:t>
            </w:r>
          </w:p>
        </w:tc>
      </w:tr>
      <w:tr>
        <w:tc>
          <w:tcPr>
            <w:tcW w:type="dxa" w:w="1928"/>
            <w:shd w:val="clear" w:color="auto" w:fill="FFFFFF"/>
          </w:tcPr>
          <w:p>
            <w:pPr>
              <w:spacing w:before="30" w:after="30" w:line="240" w:lineRule="auto"/>
            </w:pPr>
            <w:r/>
            <w:r>
              <w:rPr>
                <w:rFonts w:ascii="Calibri" w:hAnsi="Calibri"/>
                <w:b w:val="0"/>
                <w:sz w:val="18"/>
              </w:rPr>
              <w:t>Assessment</w:t>
            </w:r>
          </w:p>
        </w:tc>
        <w:tc>
          <w:tcPr>
            <w:tcW w:type="dxa" w:w="7540"/>
            <w:shd w:val="clear" w:color="auto" w:fill="FFFFFF"/>
          </w:tcPr>
          <w:p>
            <w:pPr>
              <w:spacing w:before="30" w:after="30" w:line="240" w:lineRule="auto"/>
            </w:pPr>
            <w:r/>
            <w:r>
              <w:rPr>
                <w:rFonts w:ascii="Calibri" w:hAnsi="Calibri"/>
                <w:b w:val="0"/>
                <w:sz w:val="18"/>
              </w:rPr>
              <w:t>Presentation (50%), second release</w:t>
            </w:r>
          </w:p>
        </w:tc>
      </w:tr>
      <w:tr>
        <w:tc>
          <w:tcPr>
            <w:tcW w:type="dxa" w:w="1928"/>
            <w:shd w:val="clear" w:color="auto" w:fill="F2F6FB"/>
          </w:tcPr>
          <w:p>
            <w:pPr>
              <w:spacing w:before="30" w:after="30" w:line="240" w:lineRule="auto"/>
            </w:pPr>
            <w:r/>
            <w:r>
              <w:rPr>
                <w:rFonts w:ascii="Calibri" w:hAnsi="Calibri"/>
                <w:b w:val="0"/>
                <w:sz w:val="18"/>
              </w:rPr>
              <w:t>Deliverable</w:t>
            </w:r>
          </w:p>
        </w:tc>
        <w:tc>
          <w:tcPr>
            <w:tcW w:type="dxa" w:w="7540"/>
            <w:shd w:val="clear" w:color="auto" w:fill="F2F6FB"/>
          </w:tcPr>
          <w:p>
            <w:pPr>
              <w:spacing w:before="30" w:after="30" w:line="240" w:lineRule="auto"/>
            </w:pPr>
            <w:r/>
            <w:r>
              <w:rPr>
                <w:rFonts w:ascii="Calibri" w:hAnsi="Calibri"/>
                <w:b w:val="0"/>
                <w:sz w:val="18"/>
              </w:rPr>
              <w:t>Section 3, Planning evidence: initial and revised plans, task records, sprint reviews and risk records</w:t>
            </w:r>
          </w:p>
        </w:tc>
      </w:tr>
      <w:tr>
        <w:tc>
          <w:tcPr>
            <w:tcW w:type="dxa" w:w="1928"/>
            <w:shd w:val="clear" w:color="auto" w:fill="FFFFFF"/>
          </w:tcPr>
          <w:p>
            <w:pPr>
              <w:spacing w:before="30" w:after="30" w:line="240" w:lineRule="auto"/>
            </w:pPr>
            <w:r/>
            <w:r>
              <w:rPr>
                <w:rFonts w:ascii="Calibri" w:hAnsi="Calibri"/>
                <w:b w:val="0"/>
                <w:sz w:val="18"/>
              </w:rPr>
              <w:t>Group</w:t>
            </w:r>
          </w:p>
        </w:tc>
        <w:tc>
          <w:tcPr>
            <w:tcW w:type="dxa" w:w="7540"/>
            <w:shd w:val="clear" w:color="auto" w:fill="FFFFFF"/>
          </w:tcPr>
          <w:p>
            <w:pPr>
              <w:spacing w:before="30" w:after="30" w:line="240" w:lineRule="auto"/>
            </w:pPr>
            <w:r/>
            <w:r>
              <w:rPr>
                <w:rFonts w:ascii="Calibri" w:hAnsi="Calibri"/>
                <w:b w:val="0"/>
                <w:sz w:val="18"/>
              </w:rPr>
              <w:t>max, finn, henry, peter</w:t>
            </w:r>
          </w:p>
        </w:tc>
      </w:tr>
      <w:tr>
        <w:tc>
          <w:tcPr>
            <w:tcW w:type="dxa" w:w="1928"/>
            <w:shd w:val="clear" w:color="auto" w:fill="F2F6FB"/>
          </w:tcPr>
          <w:p>
            <w:pPr>
              <w:spacing w:before="30" w:after="30" w:line="240" w:lineRule="auto"/>
            </w:pPr>
            <w:r/>
            <w:r>
              <w:rPr>
                <w:rFonts w:ascii="Calibri" w:hAnsi="Calibri"/>
                <w:b w:val="0"/>
                <w:sz w:val="18"/>
              </w:rPr>
              <w:t>Repository</w:t>
            </w:r>
          </w:p>
        </w:tc>
        <w:tc>
          <w:tcPr>
            <w:tcW w:type="dxa" w:w="7540"/>
            <w:shd w:val="clear" w:color="auto" w:fill="F2F6FB"/>
          </w:tcPr>
          <w:p>
            <w:pPr>
              <w:spacing w:before="30" w:after="30" w:line="240" w:lineRule="auto"/>
            </w:pPr>
            <w:r/>
            <w:r>
              <w:rPr>
                <w:rFonts w:ascii="Calibri" w:hAnsi="Calibri"/>
                <w:b w:val="0"/>
                <w:sz w:val="18"/>
              </w:rPr>
              <w:t>https://github.com/XieQiBin0490/camunda-hospital-referral-group</w:t>
            </w:r>
          </w:p>
        </w:tc>
      </w:tr>
      <w:tr>
        <w:tc>
          <w:tcPr>
            <w:tcW w:type="dxa" w:w="1928"/>
            <w:shd w:val="clear" w:color="auto" w:fill="FFFFFF"/>
          </w:tcPr>
          <w:p>
            <w:pPr>
              <w:spacing w:before="30" w:after="30" w:line="240" w:lineRule="auto"/>
            </w:pPr>
            <w:r/>
            <w:r>
              <w:rPr>
                <w:rFonts w:ascii="Calibri" w:hAnsi="Calibri"/>
                <w:b w:val="0"/>
                <w:sz w:val="18"/>
              </w:rPr>
              <w:t>Submitted version</w:t>
            </w:r>
          </w:p>
        </w:tc>
        <w:tc>
          <w:tcPr>
            <w:tcW w:type="dxa" w:w="7540"/>
            <w:shd w:val="clear" w:color="auto" w:fill="FFFFFF"/>
          </w:tcPr>
          <w:p>
            <w:pPr>
              <w:spacing w:before="30" w:after="30" w:line="240" w:lineRule="auto"/>
            </w:pPr>
            <w:r/>
            <w:r>
              <w:rPr>
                <w:rFonts w:ascii="Calibri" w:hAnsi="Calibri"/>
                <w:b w:val="0"/>
                <w:sz w:val="18"/>
              </w:rPr>
              <w:t>tag p6-submission</w:t>
            </w:r>
          </w:p>
        </w:tc>
      </w:tr>
      <w:tr>
        <w:tc>
          <w:tcPr>
            <w:tcW w:type="dxa" w:w="1928"/>
            <w:shd w:val="clear" w:color="auto" w:fill="F2F6FB"/>
          </w:tcPr>
          <w:p>
            <w:pPr>
              <w:spacing w:before="30" w:after="30" w:line="240" w:lineRule="auto"/>
            </w:pPr>
            <w:r/>
            <w:r>
              <w:rPr>
                <w:rFonts w:ascii="Calibri" w:hAnsi="Calibri"/>
                <w:b w:val="0"/>
                <w:sz w:val="18"/>
              </w:rPr>
              <w:t>Date</w:t>
            </w:r>
          </w:p>
        </w:tc>
        <w:tc>
          <w:tcPr>
            <w:tcW w:type="dxa" w:w="7540"/>
            <w:shd w:val="clear" w:color="auto" w:fill="F2F6FB"/>
          </w:tcPr>
          <w:p>
            <w:pPr>
              <w:spacing w:before="30" w:after="30" w:line="240" w:lineRule="auto"/>
            </w:pPr>
            <w:r/>
            <w:r>
              <w:rPr>
                <w:rFonts w:ascii="Calibri" w:hAnsi="Calibri"/>
                <w:b w:val="0"/>
                <w:sz w:val="18"/>
              </w:rPr>
              <w:t>22 October 2026</w:t>
            </w:r>
          </w:p>
        </w:tc>
      </w:tr>
    </w:tbl>
    <w:p>
      <w:pPr>
        <w:spacing w:before="60" w:after="160"/>
      </w:pPr>
      <w:r>
        <w:rPr>
          <w:i/>
          <w:color w:val="595959"/>
          <w:sz w:val="16"/>
        </w:rPr>
        <w:t>Table 1. Document control.</w:t>
      </w:r>
    </w:p>
    <w:p>
      <w:pPr>
        <w:pStyle w:val="Heading1"/>
      </w:pPr>
      <w:r>
        <w:t>1  What this pack is, and what it is not</w:t>
      </w:r>
    </w:p>
    <w:p>
      <w:pPr>
        <w:spacing w:after="100"/>
      </w:pPr>
      <w:r>
        <w:rPr>
          <w:b w:val="0"/>
          <w:i w:val="0"/>
          <w:sz w:val="20"/>
        </w:rPr>
        <w:t>This pack gathers the planning evidence behind the evaluation on slides 12 and 13 of the presentation. It is deliberately a collection of records rather than a second narrative: where a record exists in the repository it is cited, and where a value is uncertain that is stated rather than smoothed over.</w:t>
      </w:r>
    </w:p>
    <w:p>
      <w:pPr>
        <w:spacing w:after="100"/>
      </w:pPr>
      <w:r>
        <w:rPr>
          <w:b w:val="0"/>
          <w:i w:val="0"/>
          <w:sz w:val="20"/>
        </w:rPr>
        <w:t>It is not a second portfolio. The portfolio already contains the project and test plan at length; this pack exists because the specification asks for the planning evidence to be identifiable on its own, and because an evaluator should be able to check a claim about the plan without reading 31 pages of task documentation.</w:t>
      </w:r>
    </w:p>
    <w:p>
      <w:pPr>
        <w:spacing w:after="100"/>
      </w:pPr>
      <w:r>
        <w:rPr>
          <w:b w:val="0"/>
          <w:i w:val="0"/>
          <w:sz w:val="20"/>
        </w:rPr>
        <w:t>Three things in this pack were reconstructed rather than recorded at the time, and each is marked: the risk register (section 6), the SR3 record (section 5, taken from the sprint review notes), and the two sprint windows that differ between the workbook and the submission map (section 3). Everything else is a dated artefact in the repository.</w:t>
      </w:r>
    </w:p>
    <w:p>
      <w:pPr>
        <w:pStyle w:val="Heading1"/>
      </w:pPr>
      <w:r>
        <w:t>2  Release identity and version control</w:t>
      </w:r>
    </w:p>
    <w:p>
      <w:pPr>
        <w:spacing w:after="100"/>
      </w:pPr>
      <w:r>
        <w:rPr>
          <w:b w:val="0"/>
          <w:i w:val="0"/>
          <w:sz w:val="20"/>
        </w:rPr>
        <w:t>The specification asks for an identifiable initial release and revised version. Three annotated tags provide that, and every figure in this pack names the tag it belongs to.</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1474"/>
            <w:shd w:val="clear" w:color="auto" w:fill="2E74B5"/>
          </w:tcPr>
          <w:p>
            <w:pPr>
              <w:spacing w:before="30" w:after="30" w:line="240" w:lineRule="auto"/>
            </w:pPr>
            <w:r/>
            <w:r>
              <w:rPr>
                <w:rFonts w:ascii="Calibri" w:hAnsi="Calibri"/>
                <w:b/>
                <w:color w:val="FFFFFF"/>
                <w:sz w:val="16"/>
              </w:rPr>
              <w:t>Tag</w:t>
            </w:r>
          </w:p>
        </w:tc>
        <w:tc>
          <w:tcPr>
            <w:tcW w:type="dxa" w:w="1134"/>
            <w:shd w:val="clear" w:color="auto" w:fill="2E74B5"/>
          </w:tcPr>
          <w:p>
            <w:pPr>
              <w:spacing w:before="30" w:after="30" w:line="240" w:lineRule="auto"/>
            </w:pPr>
            <w:r/>
            <w:r>
              <w:rPr>
                <w:rFonts w:ascii="Calibri" w:hAnsi="Calibri"/>
                <w:b/>
                <w:color w:val="FFFFFF"/>
                <w:sz w:val="16"/>
              </w:rPr>
              <w:t>Commit</w:t>
            </w:r>
          </w:p>
        </w:tc>
        <w:tc>
          <w:tcPr>
            <w:tcW w:type="dxa" w:w="2494"/>
            <w:shd w:val="clear" w:color="auto" w:fill="2E74B5"/>
          </w:tcPr>
          <w:p>
            <w:pPr>
              <w:spacing w:before="30" w:after="30" w:line="240" w:lineRule="auto"/>
            </w:pPr>
            <w:r/>
            <w:r>
              <w:rPr>
                <w:rFonts w:ascii="Calibri" w:hAnsi="Calibri"/>
                <w:b/>
                <w:color w:val="FFFFFF"/>
                <w:sz w:val="16"/>
              </w:rPr>
              <w:t>Points at</w:t>
            </w:r>
          </w:p>
        </w:tc>
        <w:tc>
          <w:tcPr>
            <w:tcW w:type="dxa" w:w="4365"/>
            <w:shd w:val="clear" w:color="auto" w:fill="2E74B5"/>
          </w:tcPr>
          <w:p>
            <w:pPr>
              <w:spacing w:before="30" w:after="30" w:line="240" w:lineRule="auto"/>
            </w:pPr>
            <w:r/>
            <w:r>
              <w:rPr>
                <w:rFonts w:ascii="Calibri" w:hAnsi="Calibri"/>
                <w:b/>
                <w:color w:val="FFFFFF"/>
                <w:sz w:val="16"/>
              </w:rPr>
              <w:t>What it is used for in this pack</w:t>
            </w:r>
          </w:p>
        </w:tc>
      </w:tr>
      <w:tr>
        <w:tc>
          <w:tcPr>
            <w:tcW w:type="dxa" w:w="1474"/>
            <w:shd w:val="clear" w:color="auto" w:fill="F2F6FB"/>
          </w:tcPr>
          <w:p>
            <w:pPr>
              <w:spacing w:before="30" w:after="30" w:line="240" w:lineRule="auto"/>
            </w:pPr>
            <w:r/>
            <w:r>
              <w:rPr>
                <w:rFonts w:ascii="Calibri" w:hAnsi="Calibri"/>
                <w:b w:val="0"/>
                <w:sz w:val="16"/>
              </w:rPr>
              <w:t>sr1</w:t>
            </w:r>
          </w:p>
        </w:tc>
        <w:tc>
          <w:tcPr>
            <w:tcW w:type="dxa" w:w="1134"/>
            <w:shd w:val="clear" w:color="auto" w:fill="F2F6FB"/>
          </w:tcPr>
          <w:p>
            <w:pPr>
              <w:spacing w:before="30" w:after="30" w:line="240" w:lineRule="auto"/>
            </w:pPr>
            <w:r/>
            <w:r>
              <w:rPr>
                <w:rFonts w:ascii="Calibri" w:hAnsi="Calibri"/>
                <w:b w:val="0"/>
                <w:sz w:val="16"/>
              </w:rPr>
              <w:t>95bf652</w:t>
            </w:r>
          </w:p>
        </w:tc>
        <w:tc>
          <w:tcPr>
            <w:tcW w:type="dxa" w:w="2494"/>
            <w:shd w:val="clear" w:color="auto" w:fill="F2F6FB"/>
          </w:tcPr>
          <w:p>
            <w:pPr>
              <w:spacing w:before="30" w:after="30" w:line="240" w:lineRule="auto"/>
            </w:pPr>
            <w:r/>
            <w:r>
              <w:rPr>
                <w:rFonts w:ascii="Calibri" w:hAnsi="Calibri"/>
                <w:b w:val="0"/>
                <w:sz w:val="16"/>
              </w:rPr>
              <w:t>SR1 increment, 17 September 2026</w:t>
            </w:r>
          </w:p>
        </w:tc>
        <w:tc>
          <w:tcPr>
            <w:tcW w:type="dxa" w:w="4365"/>
            <w:shd w:val="clear" w:color="auto" w:fill="F2F6FB"/>
          </w:tcPr>
          <w:p>
            <w:pPr>
              <w:spacing w:before="30" w:after="30" w:line="240" w:lineRule="auto"/>
            </w:pPr>
            <w:r/>
            <w:r>
              <w:rPr>
                <w:rFonts w:ascii="Calibri" w:hAnsi="Calibri"/>
                <w:b w:val="0"/>
                <w:sz w:val="16"/>
              </w:rPr>
              <w:t>The seven-file increment presented at SR1: folder skeleton, hospital-referral-final.bpmn and the modelling justification</w:t>
            </w:r>
          </w:p>
        </w:tc>
      </w:tr>
      <w:tr>
        <w:tc>
          <w:tcPr>
            <w:tcW w:type="dxa" w:w="1474"/>
            <w:shd w:val="clear" w:color="auto" w:fill="FFFFFF"/>
          </w:tcPr>
          <w:p>
            <w:pPr>
              <w:spacing w:before="30" w:after="30" w:line="240" w:lineRule="auto"/>
            </w:pPr>
            <w:r/>
            <w:r>
              <w:rPr>
                <w:rFonts w:ascii="Calibri" w:hAnsi="Calibri"/>
                <w:b w:val="0"/>
                <w:sz w:val="16"/>
              </w:rPr>
              <w:t>sr2</w:t>
            </w:r>
          </w:p>
        </w:tc>
        <w:tc>
          <w:tcPr>
            <w:tcW w:type="dxa" w:w="1134"/>
            <w:shd w:val="clear" w:color="auto" w:fill="FFFFFF"/>
          </w:tcPr>
          <w:p>
            <w:pPr>
              <w:spacing w:before="30" w:after="30" w:line="240" w:lineRule="auto"/>
            </w:pPr>
            <w:r/>
            <w:r>
              <w:rPr>
                <w:rFonts w:ascii="Calibri" w:hAnsi="Calibri"/>
                <w:b w:val="0"/>
                <w:sz w:val="16"/>
              </w:rPr>
              <w:t>772d928</w:t>
            </w:r>
          </w:p>
        </w:tc>
        <w:tc>
          <w:tcPr>
            <w:tcW w:type="dxa" w:w="2494"/>
            <w:shd w:val="clear" w:color="auto" w:fill="FFFFFF"/>
          </w:tcPr>
          <w:p>
            <w:pPr>
              <w:spacing w:before="30" w:after="30" w:line="240" w:lineRule="auto"/>
            </w:pPr>
            <w:r/>
            <w:r>
              <w:rPr>
                <w:rFonts w:ascii="Calibri" w:hAnsi="Calibri"/>
                <w:b w:val="0"/>
                <w:sz w:val="16"/>
              </w:rPr>
              <w:t>Initial release snapshot, 29 September 2026</w:t>
            </w:r>
          </w:p>
        </w:tc>
        <w:tc>
          <w:tcPr>
            <w:tcW w:type="dxa" w:w="4365"/>
            <w:shd w:val="clear" w:color="auto" w:fill="FFFFFF"/>
          </w:tcPr>
          <w:p>
            <w:pPr>
              <w:spacing w:before="30" w:after="30" w:line="240" w:lineRule="auto"/>
            </w:pPr>
            <w:r/>
            <w:r>
              <w:rPr>
                <w:rFonts w:ascii="Calibri" w:hAnsi="Calibri"/>
                <w:b w:val="0"/>
                <w:sz w:val="16"/>
              </w:rPr>
              <w:t>318 files including 68 Camunda Forms and the 26 September acceptance evidence; the baseline for every “before” value</w:t>
            </w:r>
          </w:p>
        </w:tc>
      </w:tr>
      <w:tr>
        <w:tc>
          <w:tcPr>
            <w:tcW w:type="dxa" w:w="1474"/>
            <w:shd w:val="clear" w:color="auto" w:fill="F2F6FB"/>
          </w:tcPr>
          <w:p>
            <w:pPr>
              <w:spacing w:before="30" w:after="30" w:line="240" w:lineRule="auto"/>
            </w:pPr>
            <w:r/>
            <w:r>
              <w:rPr>
                <w:rFonts w:ascii="Calibri" w:hAnsi="Calibri"/>
                <w:b w:val="0"/>
                <w:sz w:val="16"/>
              </w:rPr>
              <w:t>p6-submission</w:t>
            </w:r>
          </w:p>
        </w:tc>
        <w:tc>
          <w:tcPr>
            <w:tcW w:type="dxa" w:w="1134"/>
            <w:shd w:val="clear" w:color="auto" w:fill="F2F6FB"/>
          </w:tcPr>
          <w:p>
            <w:pPr>
              <w:spacing w:before="30" w:after="30" w:line="240" w:lineRule="auto"/>
            </w:pPr>
            <w:r/>
            <w:r>
              <w:rPr>
                <w:rFonts w:ascii="Calibri" w:hAnsi="Calibri"/>
                <w:b w:val="0"/>
                <w:sz w:val="16"/>
              </w:rPr>
              <w:t>= `git show p6-submission`</w:t>
            </w:r>
          </w:p>
        </w:tc>
        <w:tc>
          <w:tcPr>
            <w:tcW w:type="dxa" w:w="2494"/>
            <w:shd w:val="clear" w:color="auto" w:fill="F2F6FB"/>
          </w:tcPr>
          <w:p>
            <w:pPr>
              <w:spacing w:before="30" w:after="30" w:line="240" w:lineRule="auto"/>
            </w:pPr>
            <w:r/>
            <w:r>
              <w:rPr>
                <w:rFonts w:ascii="Calibri" w:hAnsi="Calibri"/>
                <w:b w:val="0"/>
                <w:sz w:val="16"/>
              </w:rPr>
              <w:t>Submitted version</w:t>
            </w:r>
          </w:p>
        </w:tc>
        <w:tc>
          <w:tcPr>
            <w:tcW w:type="dxa" w:w="4365"/>
            <w:shd w:val="clear" w:color="auto" w:fill="F2F6FB"/>
          </w:tcPr>
          <w:p>
            <w:pPr>
              <w:spacing w:before="30" w:after="30" w:line="240" w:lineRule="auto"/>
            </w:pPr>
            <w:r/>
            <w:r>
              <w:rPr>
                <w:rFonts w:ascii="Calibri" w:hAnsi="Calibri"/>
                <w:b w:val="0"/>
                <w:sz w:val="16"/>
              </w:rPr>
              <w:t>The third revision: 69 forms, 7 process definitions, role-based access enabled, H2 persistence</w:t>
            </w:r>
          </w:p>
        </w:tc>
      </w:tr>
    </w:tbl>
    <w:p>
      <w:pPr>
        <w:spacing w:before="60" w:after="160"/>
      </w:pPr>
      <w:r>
        <w:rPr>
          <w:i/>
          <w:color w:val="595959"/>
          <w:sz w:val="16"/>
        </w:rPr>
        <w:t>Table 2. Version identifiers. Each is checkable with git show, and none describes a tag that does not exist.</w:t>
      </w:r>
    </w:p>
    <w:p>
      <w:pPr>
        <w:spacing w:after="100"/>
      </w:pPr>
      <w:r>
        <w:rPr>
          <w:b w:val="0"/>
          <w:i w:val="0"/>
          <w:sz w:val="20"/>
        </w:rPr>
        <w:t>The release boundary matters for reading this pack: the initial release is sr2 and every figure attributed to September is measured on sr2. The second-release figures are measured on p6-submission. Where a figure changed between the two, both values are given, because a single number would hide the change the second release made.</w:t>
      </w:r>
    </w:p>
    <w:p>
      <w:pPr>
        <w:pStyle w:val="Heading1"/>
      </w:pPr>
      <w:r>
        <w:t>3  The plans</w:t>
      </w:r>
    </w:p>
    <w:p>
      <w:pPr>
        <w:spacing w:after="100"/>
      </w:pPr>
      <w:r>
        <w:rPr>
          <w:b w:val="0"/>
          <w:i w:val="0"/>
          <w:sz w:val="20"/>
        </w:rPr>
        <w:t>Four sprints were planned. Two belong to the initial release and two to the second release; this pack records all four, because the evaluation on slide 13 compares the second-release plan with what was delivered, and that comparison only means something against the same capacity assumption used throughout.</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trPr>
        <w:tc>
          <w:tcPr>
            <w:tcW w:type="dxa" w:w="1247"/>
            <w:shd w:val="clear" w:color="auto" w:fill="2E74B5"/>
          </w:tcPr>
          <w:p>
            <w:pPr>
              <w:spacing w:before="30" w:after="30" w:line="240" w:lineRule="auto"/>
            </w:pPr>
            <w:r/>
            <w:r>
              <w:rPr>
                <w:rFonts w:ascii="Calibri" w:hAnsi="Calibri"/>
                <w:b/>
                <w:color w:val="FFFFFF"/>
                <w:sz w:val="17"/>
              </w:rPr>
              <w:t>Sprint</w:t>
            </w:r>
          </w:p>
        </w:tc>
        <w:tc>
          <w:tcPr>
            <w:tcW w:type="dxa" w:w="2494"/>
            <w:shd w:val="clear" w:color="auto" w:fill="2E74B5"/>
          </w:tcPr>
          <w:p>
            <w:pPr>
              <w:spacing w:before="30" w:after="30" w:line="240" w:lineRule="auto"/>
            </w:pPr>
            <w:r/>
            <w:r>
              <w:rPr>
                <w:rFonts w:ascii="Calibri" w:hAnsi="Calibri"/>
                <w:b/>
                <w:color w:val="FFFFFF"/>
                <w:sz w:val="17"/>
              </w:rPr>
              <w:t>Planned window</w:t>
            </w:r>
          </w:p>
        </w:tc>
        <w:tc>
          <w:tcPr>
            <w:tcW w:type="dxa" w:w="1474"/>
            <w:shd w:val="clear" w:color="auto" w:fill="2E74B5"/>
          </w:tcPr>
          <w:p>
            <w:pPr>
              <w:spacing w:before="30" w:after="30" w:line="240" w:lineRule="auto"/>
            </w:pPr>
            <w:r/>
            <w:r>
              <w:rPr>
                <w:rFonts w:ascii="Calibri" w:hAnsi="Calibri"/>
                <w:b/>
                <w:color w:val="FFFFFF"/>
                <w:sz w:val="17"/>
              </w:rPr>
              <w:t>Items selected</w:t>
            </w:r>
          </w:p>
        </w:tc>
        <w:tc>
          <w:tcPr>
            <w:tcW w:type="dxa" w:w="1701"/>
            <w:shd w:val="clear" w:color="auto" w:fill="2E74B5"/>
          </w:tcPr>
          <w:p>
            <w:pPr>
              <w:spacing w:before="30" w:after="30" w:line="240" w:lineRule="auto"/>
            </w:pPr>
            <w:r/>
            <w:r>
              <w:rPr>
                <w:rFonts w:ascii="Calibri" w:hAnsi="Calibri"/>
                <w:b/>
                <w:color w:val="FFFFFF"/>
                <w:sz w:val="17"/>
              </w:rPr>
              <w:t>Planned hours</w:t>
            </w:r>
          </w:p>
        </w:tc>
        <w:tc>
          <w:tcPr>
            <w:tcW w:type="dxa" w:w="1701"/>
            <w:shd w:val="clear" w:color="auto" w:fill="2E74B5"/>
          </w:tcPr>
          <w:p>
            <w:pPr>
              <w:spacing w:before="30" w:after="30" w:line="240" w:lineRule="auto"/>
            </w:pPr>
            <w:r/>
            <w:r>
              <w:rPr>
                <w:rFonts w:ascii="Calibri" w:hAnsi="Calibri"/>
                <w:b/>
                <w:color w:val="FFFFFF"/>
                <w:sz w:val="17"/>
              </w:rPr>
              <w:t>Nominal capacity</w:t>
            </w:r>
          </w:p>
        </w:tc>
      </w:tr>
      <w:tr>
        <w:tc>
          <w:tcPr>
            <w:tcW w:type="dxa" w:w="1247"/>
            <w:shd w:val="clear" w:color="auto" w:fill="F2F6FB"/>
          </w:tcPr>
          <w:p>
            <w:pPr>
              <w:spacing w:before="30" w:after="30" w:line="240" w:lineRule="auto"/>
            </w:pPr>
            <w:r/>
            <w:r>
              <w:rPr>
                <w:rFonts w:ascii="Calibri" w:hAnsi="Calibri"/>
                <w:b w:val="0"/>
                <w:sz w:val="17"/>
              </w:rPr>
              <w:t>Sprint 1</w:t>
            </w:r>
          </w:p>
        </w:tc>
        <w:tc>
          <w:tcPr>
            <w:tcW w:type="dxa" w:w="2494"/>
            <w:shd w:val="clear" w:color="auto" w:fill="F2F6FB"/>
          </w:tcPr>
          <w:p>
            <w:pPr>
              <w:spacing w:before="30" w:after="30" w:line="240" w:lineRule="auto"/>
            </w:pPr>
            <w:r/>
            <w:r>
              <w:rPr>
                <w:rFonts w:ascii="Calibri" w:hAnsi="Calibri"/>
                <w:b w:val="0"/>
                <w:sz w:val="17"/>
              </w:rPr>
              <w:t>14–21 September 2026</w:t>
            </w:r>
          </w:p>
        </w:tc>
        <w:tc>
          <w:tcPr>
            <w:tcW w:type="dxa" w:w="1474"/>
            <w:shd w:val="clear" w:color="auto" w:fill="F2F6FB"/>
          </w:tcPr>
          <w:p>
            <w:pPr>
              <w:spacing w:before="30" w:after="30" w:line="240" w:lineRule="auto"/>
            </w:pPr>
            <w:r/>
            <w:r>
              <w:rPr>
                <w:rFonts w:ascii="Calibri" w:hAnsi="Calibri"/>
                <w:b w:val="0"/>
                <w:sz w:val="17"/>
              </w:rPr>
              <w:t>17</w:t>
            </w:r>
          </w:p>
        </w:tc>
        <w:tc>
          <w:tcPr>
            <w:tcW w:type="dxa" w:w="1701"/>
            <w:shd w:val="clear" w:color="auto" w:fill="F2F6FB"/>
          </w:tcPr>
          <w:p>
            <w:pPr>
              <w:spacing w:before="30" w:after="30" w:line="240" w:lineRule="auto"/>
            </w:pPr>
            <w:r/>
            <w:r>
              <w:rPr>
                <w:rFonts w:ascii="Calibri" w:hAnsi="Calibri"/>
                <w:b w:val="0"/>
                <w:sz w:val="17"/>
              </w:rPr>
              <w:t>128 h</w:t>
            </w:r>
          </w:p>
        </w:tc>
        <w:tc>
          <w:tcPr>
            <w:tcW w:type="dxa" w:w="1701"/>
            <w:shd w:val="clear" w:color="auto" w:fill="F2F6FB"/>
          </w:tcPr>
          <w:p>
            <w:pPr>
              <w:spacing w:before="30" w:after="30" w:line="240" w:lineRule="auto"/>
            </w:pPr>
            <w:r/>
            <w:r>
              <w:rPr>
                <w:rFonts w:ascii="Calibri" w:hAnsi="Calibri"/>
                <w:b w:val="0"/>
                <w:sz w:val="17"/>
              </w:rPr>
              <w:t>80 h</w:t>
            </w:r>
          </w:p>
        </w:tc>
      </w:tr>
      <w:tr>
        <w:tc>
          <w:tcPr>
            <w:tcW w:type="dxa" w:w="1247"/>
            <w:shd w:val="clear" w:color="auto" w:fill="FFFFFF"/>
          </w:tcPr>
          <w:p>
            <w:pPr>
              <w:spacing w:before="30" w:after="30" w:line="240" w:lineRule="auto"/>
            </w:pPr>
            <w:r/>
            <w:r>
              <w:rPr>
                <w:rFonts w:ascii="Calibri" w:hAnsi="Calibri"/>
                <w:b w:val="0"/>
                <w:sz w:val="17"/>
              </w:rPr>
              <w:t>Sprint 2</w:t>
            </w:r>
          </w:p>
        </w:tc>
        <w:tc>
          <w:tcPr>
            <w:tcW w:type="dxa" w:w="2494"/>
            <w:shd w:val="clear" w:color="auto" w:fill="FFFFFF"/>
          </w:tcPr>
          <w:p>
            <w:pPr>
              <w:spacing w:before="30" w:after="30" w:line="240" w:lineRule="auto"/>
            </w:pPr>
            <w:r/>
            <w:r>
              <w:rPr>
                <w:rFonts w:ascii="Calibri" w:hAnsi="Calibri"/>
                <w:b w:val="0"/>
                <w:sz w:val="17"/>
              </w:rPr>
              <w:t>22–28 September 2026</w:t>
            </w:r>
          </w:p>
        </w:tc>
        <w:tc>
          <w:tcPr>
            <w:tcW w:type="dxa" w:w="1474"/>
            <w:shd w:val="clear" w:color="auto" w:fill="FFFFFF"/>
          </w:tcPr>
          <w:p>
            <w:pPr>
              <w:spacing w:before="30" w:after="30" w:line="240" w:lineRule="auto"/>
            </w:pPr>
            <w:r/>
            <w:r>
              <w:rPr>
                <w:rFonts w:ascii="Calibri" w:hAnsi="Calibri"/>
                <w:b w:val="0"/>
                <w:sz w:val="17"/>
              </w:rPr>
              <w:t>18</w:t>
            </w:r>
          </w:p>
        </w:tc>
        <w:tc>
          <w:tcPr>
            <w:tcW w:type="dxa" w:w="1701"/>
            <w:shd w:val="clear" w:color="auto" w:fill="FFFFFF"/>
          </w:tcPr>
          <w:p>
            <w:pPr>
              <w:spacing w:before="30" w:after="30" w:line="240" w:lineRule="auto"/>
            </w:pPr>
            <w:r/>
            <w:r>
              <w:rPr>
                <w:rFonts w:ascii="Calibri" w:hAnsi="Calibri"/>
                <w:b w:val="0"/>
                <w:sz w:val="17"/>
              </w:rPr>
              <w:t>128 h</w:t>
            </w:r>
          </w:p>
        </w:tc>
        <w:tc>
          <w:tcPr>
            <w:tcW w:type="dxa" w:w="1701"/>
            <w:shd w:val="clear" w:color="auto" w:fill="FFFFFF"/>
          </w:tcPr>
          <w:p>
            <w:pPr>
              <w:spacing w:before="30" w:after="30" w:line="240" w:lineRule="auto"/>
            </w:pPr>
            <w:r/>
            <w:r>
              <w:rPr>
                <w:rFonts w:ascii="Calibri" w:hAnsi="Calibri"/>
                <w:b w:val="0"/>
                <w:sz w:val="17"/>
              </w:rPr>
              <w:t>80 h</w:t>
            </w:r>
          </w:p>
        </w:tc>
      </w:tr>
      <w:tr>
        <w:tc>
          <w:tcPr>
            <w:tcW w:type="dxa" w:w="1247"/>
            <w:shd w:val="clear" w:color="auto" w:fill="F2F6FB"/>
          </w:tcPr>
          <w:p>
            <w:pPr>
              <w:spacing w:before="30" w:after="30" w:line="240" w:lineRule="auto"/>
            </w:pPr>
            <w:r/>
            <w:r>
              <w:rPr>
                <w:rFonts w:ascii="Calibri" w:hAnsi="Calibri"/>
                <w:b w:val="0"/>
                <w:sz w:val="17"/>
              </w:rPr>
              <w:t>Sprint 3</w:t>
            </w:r>
          </w:p>
        </w:tc>
        <w:tc>
          <w:tcPr>
            <w:tcW w:type="dxa" w:w="2494"/>
            <w:shd w:val="clear" w:color="auto" w:fill="F2F6FB"/>
          </w:tcPr>
          <w:p>
            <w:pPr>
              <w:spacing w:before="30" w:after="30" w:line="240" w:lineRule="auto"/>
            </w:pPr>
            <w:r/>
            <w:r>
              <w:rPr>
                <w:rFonts w:ascii="Calibri" w:hAnsi="Calibri"/>
                <w:b w:val="0"/>
                <w:sz w:val="17"/>
              </w:rPr>
              <w:t>13–19 October 2026</w:t>
            </w:r>
          </w:p>
        </w:tc>
        <w:tc>
          <w:tcPr>
            <w:tcW w:type="dxa" w:w="1474"/>
            <w:shd w:val="clear" w:color="auto" w:fill="F2F6FB"/>
          </w:tcPr>
          <w:p>
            <w:pPr>
              <w:spacing w:before="30" w:after="30" w:line="240" w:lineRule="auto"/>
            </w:pPr>
            <w:r/>
            <w:r>
              <w:rPr>
                <w:rFonts w:ascii="Calibri" w:hAnsi="Calibri"/>
                <w:b w:val="0"/>
                <w:sz w:val="17"/>
              </w:rPr>
              <w:t>see note</w:t>
            </w:r>
          </w:p>
        </w:tc>
        <w:tc>
          <w:tcPr>
            <w:tcW w:type="dxa" w:w="1701"/>
            <w:shd w:val="clear" w:color="auto" w:fill="F2F6FB"/>
          </w:tcPr>
          <w:p>
            <w:pPr>
              <w:spacing w:before="30" w:after="30" w:line="240" w:lineRule="auto"/>
            </w:pPr>
            <w:r/>
            <w:r>
              <w:rPr>
                <w:rFonts w:ascii="Calibri" w:hAnsi="Calibri"/>
                <w:b w:val="0"/>
                <w:sz w:val="17"/>
              </w:rPr>
              <w:t>116 h</w:t>
            </w:r>
          </w:p>
        </w:tc>
        <w:tc>
          <w:tcPr>
            <w:tcW w:type="dxa" w:w="1701"/>
            <w:shd w:val="clear" w:color="auto" w:fill="F2F6FB"/>
          </w:tcPr>
          <w:p>
            <w:pPr>
              <w:spacing w:before="30" w:after="30" w:line="240" w:lineRule="auto"/>
            </w:pPr>
            <w:r/>
            <w:r>
              <w:rPr>
                <w:rFonts w:ascii="Calibri" w:hAnsi="Calibri"/>
                <w:b w:val="0"/>
                <w:sz w:val="17"/>
              </w:rPr>
              <w:t>80 h</w:t>
            </w:r>
          </w:p>
        </w:tc>
      </w:tr>
      <w:tr>
        <w:tc>
          <w:tcPr>
            <w:tcW w:type="dxa" w:w="1247"/>
            <w:shd w:val="clear" w:color="auto" w:fill="FFFFFF"/>
          </w:tcPr>
          <w:p>
            <w:pPr>
              <w:spacing w:before="30" w:after="30" w:line="240" w:lineRule="auto"/>
            </w:pPr>
            <w:r/>
            <w:r>
              <w:rPr>
                <w:rFonts w:ascii="Calibri" w:hAnsi="Calibri"/>
                <w:b w:val="0"/>
                <w:sz w:val="17"/>
              </w:rPr>
              <w:t>Sprint 4</w:t>
            </w:r>
          </w:p>
        </w:tc>
        <w:tc>
          <w:tcPr>
            <w:tcW w:type="dxa" w:w="2494"/>
            <w:shd w:val="clear" w:color="auto" w:fill="FFFFFF"/>
          </w:tcPr>
          <w:p>
            <w:pPr>
              <w:spacing w:before="30" w:after="30" w:line="240" w:lineRule="auto"/>
            </w:pPr>
            <w:r/>
            <w:r>
              <w:rPr>
                <w:rFonts w:ascii="Calibri" w:hAnsi="Calibri"/>
                <w:b w:val="0"/>
                <w:sz w:val="17"/>
              </w:rPr>
              <w:t>20–22 October 2026</w:t>
            </w:r>
          </w:p>
        </w:tc>
        <w:tc>
          <w:tcPr>
            <w:tcW w:type="dxa" w:w="1474"/>
            <w:shd w:val="clear" w:color="auto" w:fill="FFFFFF"/>
          </w:tcPr>
          <w:p>
            <w:pPr>
              <w:spacing w:before="30" w:after="30" w:line="240" w:lineRule="auto"/>
            </w:pPr>
            <w:r/>
            <w:r>
              <w:rPr>
                <w:rFonts w:ascii="Calibri" w:hAnsi="Calibri"/>
                <w:b w:val="0"/>
                <w:sz w:val="17"/>
              </w:rPr>
              <w:t>24</w:t>
            </w:r>
          </w:p>
        </w:tc>
        <w:tc>
          <w:tcPr>
            <w:tcW w:type="dxa" w:w="1701"/>
            <w:shd w:val="clear" w:color="auto" w:fill="FFFFFF"/>
          </w:tcPr>
          <w:p>
            <w:pPr>
              <w:spacing w:before="30" w:after="30" w:line="240" w:lineRule="auto"/>
            </w:pPr>
            <w:r/>
            <w:r>
              <w:rPr>
                <w:rFonts w:ascii="Calibri" w:hAnsi="Calibri"/>
                <w:b w:val="0"/>
                <w:sz w:val="17"/>
              </w:rPr>
              <w:t>80 h</w:t>
            </w:r>
          </w:p>
        </w:tc>
        <w:tc>
          <w:tcPr>
            <w:tcW w:type="dxa" w:w="1701"/>
            <w:shd w:val="clear" w:color="auto" w:fill="FFFFFF"/>
          </w:tcPr>
          <w:p>
            <w:pPr>
              <w:spacing w:before="30" w:after="30" w:line="240" w:lineRule="auto"/>
            </w:pPr>
            <w:r/>
            <w:r>
              <w:rPr>
                <w:rFonts w:ascii="Calibri" w:hAnsi="Calibri"/>
                <w:b w:val="0"/>
                <w:sz w:val="17"/>
              </w:rPr>
              <w:t>48 h</w:t>
            </w:r>
          </w:p>
        </w:tc>
      </w:tr>
    </w:tbl>
    <w:p>
      <w:pPr>
        <w:spacing w:before="60" w:after="160"/>
      </w:pPr>
      <w:r>
        <w:rPr>
          <w:i/>
          <w:color w:val="595959"/>
          <w:sz w:val="16"/>
        </w:rPr>
        <w:t>Table 3. Sprint windows and estimates, read from the backlog workbook. Nominal capacity is 4 people × 4 h per day × the sprint's working days, the assumption used unchanged across all four sprints.</w:t>
      </w:r>
    </w:p>
    <w:p>
      <w:pPr>
        <w:spacing w:after="60"/>
      </w:pPr>
      <w:r>
        <w:rPr>
          <w:b/>
          <w:i w:val="0"/>
          <w:sz w:val="20"/>
        </w:rPr>
        <w:t>Two notes on the table, both stated rather than resolved:</w:t>
      </w:r>
    </w:p>
    <w:p>
      <w:pPr>
        <w:pStyle w:val="ListBullet"/>
        <w:spacing w:after="50"/>
      </w:pPr>
      <w:r>
        <w:rPr>
          <w:sz w:val="20"/>
        </w:rPr>
        <w:t>Sprint 3 item count. The workbook records 25 selected items summing to 154 hours of estimates; the Sprint 3 task list in the agile delivery record identifies 20 items (S3-01 to S3-20) and a 116-hour plan. The two are not reconciled in the source records. The 116-hour figure is the one used in the evaluation because it is the figure committed at sprint planning; the 154-hour figure is left in the record as an unexplained difference rather than edited out.</w:t>
      </w:r>
    </w:p>
    <w:p>
      <w:pPr>
        <w:pStyle w:val="ListBullet"/>
        <w:spacing w:after="50"/>
      </w:pPr>
      <w:r>
        <w:rPr>
          <w:sz w:val="20"/>
        </w:rPr>
        <w:t>Sprint windows. The workbook gives Sprint 1 as 14–21 September and Sprint 2 as 22–28 September. SUBMISSION_MAP.md gives 14–18 and 21–25. The workbook dates are used here; if the module team published different dates, theirs take precedence and this table should be corrected.</w:t>
      </w:r>
    </w:p>
    <w:p>
      <w:pPr>
        <w:pStyle w:val="Heading2"/>
      </w:pPr>
      <w:r>
        <w:t>3.1  Sprint goals</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247"/>
            <w:shd w:val="clear" w:color="auto" w:fill="2E74B5"/>
          </w:tcPr>
          <w:p>
            <w:pPr>
              <w:spacing w:before="30" w:after="30" w:line="240" w:lineRule="auto"/>
            </w:pPr>
            <w:r/>
            <w:r>
              <w:rPr>
                <w:rFonts w:ascii="Calibri" w:hAnsi="Calibri"/>
                <w:b/>
                <w:color w:val="FFFFFF"/>
                <w:sz w:val="16"/>
              </w:rPr>
              <w:t>Sprint</w:t>
            </w:r>
          </w:p>
        </w:tc>
        <w:tc>
          <w:tcPr>
            <w:tcW w:type="dxa" w:w="4139"/>
            <w:shd w:val="clear" w:color="auto" w:fill="2E74B5"/>
          </w:tcPr>
          <w:p>
            <w:pPr>
              <w:spacing w:before="30" w:after="30" w:line="240" w:lineRule="auto"/>
            </w:pPr>
            <w:r/>
            <w:r>
              <w:rPr>
                <w:rFonts w:ascii="Calibri" w:hAnsi="Calibri"/>
                <w:b/>
                <w:color w:val="FFFFFF"/>
                <w:sz w:val="16"/>
              </w:rPr>
              <w:t>Goal agreed at planning</w:t>
            </w:r>
          </w:p>
        </w:tc>
        <w:tc>
          <w:tcPr>
            <w:tcW w:type="dxa" w:w="4082"/>
            <w:shd w:val="clear" w:color="auto" w:fill="2E74B5"/>
          </w:tcPr>
          <w:p>
            <w:pPr>
              <w:spacing w:before="30" w:after="30" w:line="240" w:lineRule="auto"/>
            </w:pPr>
            <w:r/>
            <w:r>
              <w:rPr>
                <w:rFonts w:ascii="Calibri" w:hAnsi="Calibri"/>
                <w:b/>
                <w:color w:val="FFFFFF"/>
                <w:sz w:val="16"/>
              </w:rPr>
              <w:t>Delivered</w:t>
            </w:r>
          </w:p>
        </w:tc>
      </w:tr>
      <w:tr>
        <w:tc>
          <w:tcPr>
            <w:tcW w:type="dxa" w:w="1247"/>
            <w:shd w:val="clear" w:color="auto" w:fill="F2F6FB"/>
          </w:tcPr>
          <w:p>
            <w:pPr>
              <w:spacing w:before="30" w:after="30" w:line="240" w:lineRule="auto"/>
            </w:pPr>
            <w:r/>
            <w:r>
              <w:rPr>
                <w:rFonts w:ascii="Calibri" w:hAnsi="Calibri"/>
                <w:b w:val="0"/>
                <w:sz w:val="16"/>
              </w:rPr>
              <w:t>Sprint 1</w:t>
            </w:r>
          </w:p>
        </w:tc>
        <w:tc>
          <w:tcPr>
            <w:tcW w:type="dxa" w:w="4139"/>
            <w:shd w:val="clear" w:color="auto" w:fill="F2F6FB"/>
          </w:tcPr>
          <w:p>
            <w:pPr>
              <w:spacing w:before="30" w:after="30" w:line="240" w:lineRule="auto"/>
            </w:pPr>
            <w:r/>
            <w:r>
              <w:rPr>
                <w:rFonts w:ascii="Calibri" w:hAnsi="Calibri"/>
                <w:b w:val="0"/>
                <w:sz w:val="16"/>
              </w:rPr>
              <w:t>Scope, backlog, shared repository, an initial executable BPMN increment and the first forms</w:t>
            </w:r>
          </w:p>
        </w:tc>
        <w:tc>
          <w:tcPr>
            <w:tcW w:type="dxa" w:w="4082"/>
            <w:shd w:val="clear" w:color="auto" w:fill="F2F6FB"/>
          </w:tcPr>
          <w:p>
            <w:pPr>
              <w:spacing w:before="30" w:after="30" w:line="240" w:lineRule="auto"/>
            </w:pPr>
            <w:r/>
            <w:r>
              <w:rPr>
                <w:rFonts w:ascii="Calibri" w:hAnsi="Calibri"/>
                <w:b w:val="0"/>
                <w:sz w:val="16"/>
              </w:rPr>
              <w:t>One executable model, deployed as a single definition, plus the repository and backlogs</w:t>
            </w:r>
          </w:p>
        </w:tc>
      </w:tr>
      <w:tr>
        <w:tc>
          <w:tcPr>
            <w:tcW w:type="dxa" w:w="1247"/>
            <w:shd w:val="clear" w:color="auto" w:fill="FFFFFF"/>
          </w:tcPr>
          <w:p>
            <w:pPr>
              <w:spacing w:before="30" w:after="30" w:line="240" w:lineRule="auto"/>
            </w:pPr>
            <w:r/>
            <w:r>
              <w:rPr>
                <w:rFonts w:ascii="Calibri" w:hAnsi="Calibri"/>
                <w:b w:val="0"/>
                <w:sz w:val="16"/>
              </w:rPr>
              <w:t>Sprint 2</w:t>
            </w:r>
          </w:p>
        </w:tc>
        <w:tc>
          <w:tcPr>
            <w:tcW w:type="dxa" w:w="4139"/>
            <w:shd w:val="clear" w:color="auto" w:fill="FFFFFF"/>
          </w:tcPr>
          <w:p>
            <w:pPr>
              <w:spacing w:before="30" w:after="30" w:line="240" w:lineRule="auto"/>
            </w:pPr>
            <w:r/>
            <w:r>
              <w:rPr>
                <w:rFonts w:ascii="Calibri" w:hAnsi="Calibri"/>
                <w:b w:val="0"/>
                <w:sz w:val="16"/>
              </w:rPr>
              <w:t>An integrated increment: the operational model running with the worker fleet and the forms</w:t>
            </w:r>
          </w:p>
        </w:tc>
        <w:tc>
          <w:tcPr>
            <w:tcW w:type="dxa" w:w="4082"/>
            <w:shd w:val="clear" w:color="auto" w:fill="FFFFFF"/>
          </w:tcPr>
          <w:p>
            <w:pPr>
              <w:spacing w:before="30" w:after="30" w:line="240" w:lineRule="auto"/>
            </w:pPr>
            <w:r/>
            <w:r>
              <w:rPr>
                <w:rFonts w:ascii="Calibri" w:hAnsi="Calibri"/>
                <w:b w:val="0"/>
                <w:sz w:val="16"/>
              </w:rPr>
              <w:t>sr2: four models, 68 forms, 26 worker source files, the 26 September acceptance run</w:t>
            </w:r>
          </w:p>
        </w:tc>
      </w:tr>
      <w:tr>
        <w:tc>
          <w:tcPr>
            <w:tcW w:type="dxa" w:w="1247"/>
            <w:shd w:val="clear" w:color="auto" w:fill="F2F6FB"/>
          </w:tcPr>
          <w:p>
            <w:pPr>
              <w:spacing w:before="30" w:after="30" w:line="240" w:lineRule="auto"/>
            </w:pPr>
            <w:r/>
            <w:r>
              <w:rPr>
                <w:rFonts w:ascii="Calibri" w:hAnsi="Calibri"/>
                <w:b w:val="0"/>
                <w:sz w:val="16"/>
              </w:rPr>
              <w:t>Sprint 3</w:t>
            </w:r>
          </w:p>
        </w:tc>
        <w:tc>
          <w:tcPr>
            <w:tcW w:type="dxa" w:w="4139"/>
            <w:shd w:val="clear" w:color="auto" w:fill="F2F6FB"/>
          </w:tcPr>
          <w:p>
            <w:pPr>
              <w:spacing w:before="30" w:after="30" w:line="240" w:lineRule="auto"/>
            </w:pPr>
            <w:r/>
            <w:r>
              <w:rPr>
                <w:rFonts w:ascii="Calibri" w:hAnsi="Calibri"/>
                <w:b w:val="0"/>
                <w:sz w:val="16"/>
              </w:rPr>
              <w:t>Draft strategic BPMN and draft i* models with a first requirements trace, reviewable at SR3</w:t>
            </w:r>
          </w:p>
        </w:tc>
        <w:tc>
          <w:tcPr>
            <w:tcW w:type="dxa" w:w="4082"/>
            <w:shd w:val="clear" w:color="auto" w:fill="F2F6FB"/>
          </w:tcPr>
          <w:p>
            <w:pPr>
              <w:spacing w:before="30" w:after="30" w:line="240" w:lineRule="auto"/>
            </w:pPr>
            <w:r/>
            <w:r>
              <w:rPr>
                <w:rFonts w:ascii="Calibri" w:hAnsi="Calibri"/>
                <w:b w:val="0"/>
                <w:sz w:val="16"/>
              </w:rPr>
              <w:t>v0.9, presented with 3 of the 6 review goals met</w:t>
            </w:r>
          </w:p>
        </w:tc>
      </w:tr>
      <w:tr>
        <w:tc>
          <w:tcPr>
            <w:tcW w:type="dxa" w:w="1247"/>
            <w:shd w:val="clear" w:color="auto" w:fill="FFFFFF"/>
          </w:tcPr>
          <w:p>
            <w:pPr>
              <w:spacing w:before="30" w:after="30" w:line="240" w:lineRule="auto"/>
            </w:pPr>
            <w:r/>
            <w:r>
              <w:rPr>
                <w:rFonts w:ascii="Calibri" w:hAnsi="Calibri"/>
                <w:b w:val="0"/>
                <w:sz w:val="16"/>
              </w:rPr>
              <w:t>Sprint 4</w:t>
            </w:r>
          </w:p>
        </w:tc>
        <w:tc>
          <w:tcPr>
            <w:tcW w:type="dxa" w:w="4139"/>
            <w:shd w:val="clear" w:color="auto" w:fill="FFFFFF"/>
          </w:tcPr>
          <w:p>
            <w:pPr>
              <w:spacing w:before="30" w:after="30" w:line="240" w:lineRule="auto"/>
            </w:pPr>
            <w:r/>
            <w:r>
              <w:rPr>
                <w:rFonts w:ascii="Calibri" w:hAnsi="Calibri"/>
                <w:b w:val="0"/>
                <w:sz w:val="16"/>
              </w:rPr>
              <w:t>Integrate the fragments, correct the defects found in them, validate and deploy the final models, complete both evaluations and hand in</w:t>
            </w:r>
          </w:p>
        </w:tc>
        <w:tc>
          <w:tcPr>
            <w:tcW w:type="dxa" w:w="4082"/>
            <w:shd w:val="clear" w:color="auto" w:fill="FFFFFF"/>
          </w:tcPr>
          <w:p>
            <w:pPr>
              <w:spacing w:before="30" w:after="30" w:line="240" w:lineRule="auto"/>
            </w:pPr>
            <w:r/>
            <w:r>
              <w:rPr>
                <w:rFonts w:ascii="Calibri" w:hAnsi="Calibri"/>
                <w:b w:val="0"/>
                <w:sz w:val="16"/>
              </w:rPr>
              <w:t>v1.0: the second release, both evaluations and the submitted repository state</w:t>
            </w:r>
          </w:p>
        </w:tc>
      </w:tr>
    </w:tbl>
    <w:p>
      <w:pPr>
        <w:spacing w:before="60" w:after="160"/>
      </w:pPr>
      <w:r>
        <w:rPr>
          <w:i/>
          <w:color w:val="595959"/>
          <w:sz w:val="16"/>
        </w:rPr>
        <w:t>Table 4. Sprint goals and what was actually presented at each review.</w:t>
      </w:r>
    </w:p>
    <w:p>
      <w:pPr>
        <w:pStyle w:val="Heading1"/>
      </w:pPr>
      <w:r>
        <w:t>4  Task records</w:t>
      </w:r>
    </w:p>
    <w:p>
      <w:pPr>
        <w:spacing w:after="100"/>
      </w:pPr>
      <w:r>
        <w:rPr>
          <w:b w:val="0"/>
          <w:i w:val="0"/>
          <w:sz w:val="20"/>
        </w:rPr>
        <w:t>Every backlog item carries a first owner, a second owner, an estimate in story points and hours, its dependencies, its acceptance conditions and a status. The second-owner rule is the point of the record: the second owner keeps sufficiently up to date to continue the item if the first cannot deliver, and the two handovers in the project were both exercised under it.</w:t>
      </w:r>
    </w:p>
    <w:p>
      <w:pPr>
        <w:pStyle w:val="Heading2"/>
      </w:pPr>
      <w:r>
        <w:t>4.1  Initial release, selected items</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trPr>
        <w:tc>
          <w:tcPr>
            <w:tcW w:type="dxa" w:w="907"/>
            <w:shd w:val="clear" w:color="auto" w:fill="2E74B5"/>
          </w:tcPr>
          <w:p>
            <w:pPr>
              <w:spacing w:before="30" w:after="30" w:line="240" w:lineRule="auto"/>
            </w:pPr>
            <w:r/>
            <w:r>
              <w:rPr>
                <w:rFonts w:ascii="Calibri" w:hAnsi="Calibri"/>
                <w:b/>
                <w:color w:val="FFFFFF"/>
                <w:sz w:val="16"/>
              </w:rPr>
              <w:t>Item</w:t>
            </w:r>
          </w:p>
        </w:tc>
        <w:tc>
          <w:tcPr>
            <w:tcW w:type="dxa" w:w="2891"/>
            <w:shd w:val="clear" w:color="auto" w:fill="2E74B5"/>
          </w:tcPr>
          <w:p>
            <w:pPr>
              <w:spacing w:before="30" w:after="30" w:line="240" w:lineRule="auto"/>
            </w:pPr>
            <w:r/>
            <w:r>
              <w:rPr>
                <w:rFonts w:ascii="Calibri" w:hAnsi="Calibri"/>
                <w:b/>
                <w:color w:val="FFFFFF"/>
                <w:sz w:val="16"/>
              </w:rPr>
              <w:t>Task</w:t>
            </w:r>
          </w:p>
        </w:tc>
        <w:tc>
          <w:tcPr>
            <w:tcW w:type="dxa" w:w="1474"/>
            <w:shd w:val="clear" w:color="auto" w:fill="2E74B5"/>
          </w:tcPr>
          <w:p>
            <w:pPr>
              <w:spacing w:before="30" w:after="30" w:line="240" w:lineRule="auto"/>
            </w:pPr>
            <w:r/>
            <w:r>
              <w:rPr>
                <w:rFonts w:ascii="Calibri" w:hAnsi="Calibri"/>
                <w:b/>
                <w:color w:val="FFFFFF"/>
                <w:sz w:val="16"/>
              </w:rPr>
              <w:t>Owner (1st / 2nd)</w:t>
            </w:r>
          </w:p>
        </w:tc>
        <w:tc>
          <w:tcPr>
            <w:tcW w:type="dxa" w:w="3005"/>
            <w:shd w:val="clear" w:color="auto" w:fill="2E74B5"/>
          </w:tcPr>
          <w:p>
            <w:pPr>
              <w:spacing w:before="30" w:after="30" w:line="240" w:lineRule="auto"/>
            </w:pPr>
            <w:r/>
            <w:r>
              <w:rPr>
                <w:rFonts w:ascii="Calibri" w:hAnsi="Calibri"/>
                <w:b/>
                <w:color w:val="FFFFFF"/>
                <w:sz w:val="16"/>
              </w:rPr>
              <w:t>Acceptance condition</w:t>
            </w:r>
          </w:p>
        </w:tc>
        <w:tc>
          <w:tcPr>
            <w:tcW w:type="dxa" w:w="907"/>
            <w:shd w:val="clear" w:color="auto" w:fill="2E74B5"/>
          </w:tcPr>
          <w:p>
            <w:pPr>
              <w:spacing w:before="30" w:after="30" w:line="240" w:lineRule="auto"/>
            </w:pPr>
            <w:r/>
            <w:r>
              <w:rPr>
                <w:rFonts w:ascii="Calibri" w:hAnsi="Calibri"/>
                <w:b/>
                <w:color w:val="FFFFFF"/>
                <w:sz w:val="16"/>
              </w:rPr>
              <w:t>Status</w:t>
            </w:r>
          </w:p>
        </w:tc>
      </w:tr>
      <w:tr>
        <w:tc>
          <w:tcPr>
            <w:tcW w:type="dxa" w:w="907"/>
            <w:shd w:val="clear" w:color="auto" w:fill="F2F6FB"/>
          </w:tcPr>
          <w:p>
            <w:pPr>
              <w:spacing w:before="30" w:after="30" w:line="240" w:lineRule="auto"/>
            </w:pPr>
            <w:r/>
            <w:r>
              <w:rPr>
                <w:rFonts w:ascii="Calibri" w:hAnsi="Calibri"/>
                <w:b w:val="0"/>
                <w:sz w:val="16"/>
              </w:rPr>
              <w:t>S1-05</w:t>
            </w:r>
          </w:p>
        </w:tc>
        <w:tc>
          <w:tcPr>
            <w:tcW w:type="dxa" w:w="2891"/>
            <w:shd w:val="clear" w:color="auto" w:fill="F2F6FB"/>
          </w:tcPr>
          <w:p>
            <w:pPr>
              <w:spacing w:before="30" w:after="30" w:line="240" w:lineRule="auto"/>
            </w:pPr>
            <w:r/>
            <w:r>
              <w:rPr>
                <w:rFonts w:ascii="Calibri" w:hAnsi="Calibri"/>
                <w:b w:val="0"/>
                <w:sz w:val="16"/>
              </w:rPr>
              <w:t>Executable operational model, deployed and linted</w:t>
            </w:r>
          </w:p>
        </w:tc>
        <w:tc>
          <w:tcPr>
            <w:tcW w:type="dxa" w:w="1474"/>
            <w:shd w:val="clear" w:color="auto" w:fill="F2F6FB"/>
          </w:tcPr>
          <w:p>
            <w:pPr>
              <w:spacing w:before="30" w:after="30" w:line="240" w:lineRule="auto"/>
            </w:pPr>
            <w:r/>
            <w:r>
              <w:rPr>
                <w:rFonts w:ascii="Calibri" w:hAnsi="Calibri"/>
                <w:b w:val="0"/>
                <w:sz w:val="16"/>
              </w:rPr>
              <w:t>max / peter</w:t>
            </w:r>
          </w:p>
        </w:tc>
        <w:tc>
          <w:tcPr>
            <w:tcW w:type="dxa" w:w="3005"/>
            <w:shd w:val="clear" w:color="auto" w:fill="F2F6FB"/>
          </w:tcPr>
          <w:p>
            <w:pPr>
              <w:spacing w:before="30" w:after="30" w:line="240" w:lineRule="auto"/>
            </w:pPr>
            <w:r/>
            <w:r>
              <w:rPr>
                <w:rFonts w:ascii="Calibri" w:hAnsi="Calibri"/>
                <w:b w:val="0"/>
                <w:sz w:val="16"/>
              </w:rPr>
              <w:t>0 moddle warnings, 0 Camunda 8 lint reports, one definition deploys</w:t>
            </w:r>
          </w:p>
        </w:tc>
        <w:tc>
          <w:tcPr>
            <w:tcW w:type="dxa" w:w="907"/>
            <w:shd w:val="clear" w:color="auto" w:fill="F2F6FB"/>
          </w:tcPr>
          <w:p>
            <w:pPr>
              <w:spacing w:before="30" w:after="30" w:line="240" w:lineRule="auto"/>
            </w:pPr>
            <w:r/>
            <w:r>
              <w:rPr>
                <w:rFonts w:ascii="Calibri" w:hAnsi="Calibri"/>
                <w:b w:val="0"/>
                <w:sz w:val="16"/>
              </w:rPr>
              <w:t>Done</w:t>
            </w:r>
          </w:p>
        </w:tc>
      </w:tr>
      <w:tr>
        <w:tc>
          <w:tcPr>
            <w:tcW w:type="dxa" w:w="907"/>
            <w:shd w:val="clear" w:color="auto" w:fill="FFFFFF"/>
          </w:tcPr>
          <w:p>
            <w:pPr>
              <w:spacing w:before="30" w:after="30" w:line="240" w:lineRule="auto"/>
            </w:pPr>
            <w:r/>
            <w:r>
              <w:rPr>
                <w:rFonts w:ascii="Calibri" w:hAnsi="Calibri"/>
                <w:b w:val="0"/>
                <w:sz w:val="16"/>
              </w:rPr>
              <w:t>S2-08</w:t>
            </w:r>
          </w:p>
        </w:tc>
        <w:tc>
          <w:tcPr>
            <w:tcW w:type="dxa" w:w="2891"/>
            <w:shd w:val="clear" w:color="auto" w:fill="FFFFFF"/>
          </w:tcPr>
          <w:p>
            <w:pPr>
              <w:spacing w:before="30" w:after="30" w:line="240" w:lineRule="auto"/>
            </w:pPr>
            <w:r/>
            <w:r>
              <w:rPr>
                <w:rFonts w:ascii="Calibri" w:hAnsi="Calibri"/>
                <w:b w:val="0"/>
                <w:sz w:val="16"/>
              </w:rPr>
              <w:t>Rebuild the three fragments as one model family</w:t>
            </w:r>
          </w:p>
        </w:tc>
        <w:tc>
          <w:tcPr>
            <w:tcW w:type="dxa" w:w="1474"/>
            <w:shd w:val="clear" w:color="auto" w:fill="FFFFFF"/>
          </w:tcPr>
          <w:p>
            <w:pPr>
              <w:spacing w:before="30" w:after="30" w:line="240" w:lineRule="auto"/>
            </w:pPr>
            <w:r/>
            <w:r>
              <w:rPr>
                <w:rFonts w:ascii="Calibri" w:hAnsi="Calibri"/>
                <w:b w:val="0"/>
                <w:sz w:val="16"/>
              </w:rPr>
              <w:t>max / henry</w:t>
            </w:r>
          </w:p>
        </w:tc>
        <w:tc>
          <w:tcPr>
            <w:tcW w:type="dxa" w:w="3005"/>
            <w:shd w:val="clear" w:color="auto" w:fill="FFFFFF"/>
          </w:tcPr>
          <w:p>
            <w:pPr>
              <w:spacing w:before="30" w:after="30" w:line="240" w:lineRule="auto"/>
            </w:pPr>
            <w:r/>
            <w:r>
              <w:rPr>
                <w:rFonts w:ascii="Calibri" w:hAnsi="Calibri"/>
                <w:b w:val="0"/>
                <w:sz w:val="16"/>
              </w:rPr>
              <w:t>One participant register; every external organisation appears once</w:t>
            </w:r>
          </w:p>
        </w:tc>
        <w:tc>
          <w:tcPr>
            <w:tcW w:type="dxa" w:w="907"/>
            <w:shd w:val="clear" w:color="auto" w:fill="FFFFFF"/>
          </w:tcPr>
          <w:p>
            <w:pPr>
              <w:spacing w:before="30" w:after="30" w:line="240" w:lineRule="auto"/>
            </w:pPr>
            <w:r/>
            <w:r>
              <w:rPr>
                <w:rFonts w:ascii="Calibri" w:hAnsi="Calibri"/>
                <w:b w:val="0"/>
                <w:sz w:val="16"/>
              </w:rPr>
              <w:t>Done</w:t>
            </w:r>
          </w:p>
        </w:tc>
      </w:tr>
      <w:tr>
        <w:tc>
          <w:tcPr>
            <w:tcW w:type="dxa" w:w="907"/>
            <w:shd w:val="clear" w:color="auto" w:fill="F2F6FB"/>
          </w:tcPr>
          <w:p>
            <w:pPr>
              <w:spacing w:before="30" w:after="30" w:line="240" w:lineRule="auto"/>
            </w:pPr>
            <w:r/>
            <w:r>
              <w:rPr>
                <w:rFonts w:ascii="Calibri" w:hAnsi="Calibri"/>
                <w:b w:val="0"/>
                <w:sz w:val="16"/>
              </w:rPr>
              <w:t>S2-12</w:t>
            </w:r>
          </w:p>
        </w:tc>
        <w:tc>
          <w:tcPr>
            <w:tcW w:type="dxa" w:w="2891"/>
            <w:shd w:val="clear" w:color="auto" w:fill="F2F6FB"/>
          </w:tcPr>
          <w:p>
            <w:pPr>
              <w:spacing w:before="30" w:after="30" w:line="240" w:lineRule="auto"/>
            </w:pPr>
            <w:r/>
            <w:r>
              <w:rPr>
                <w:rFonts w:ascii="Calibri" w:hAnsi="Calibri"/>
                <w:b w:val="0"/>
                <w:sz w:val="16"/>
              </w:rPr>
              <w:t>Generate and bind the Camunda Forms</w:t>
            </w:r>
          </w:p>
        </w:tc>
        <w:tc>
          <w:tcPr>
            <w:tcW w:type="dxa" w:w="1474"/>
            <w:shd w:val="clear" w:color="auto" w:fill="F2F6FB"/>
          </w:tcPr>
          <w:p>
            <w:pPr>
              <w:spacing w:before="30" w:after="30" w:line="240" w:lineRule="auto"/>
            </w:pPr>
            <w:r/>
            <w:r>
              <w:rPr>
                <w:rFonts w:ascii="Calibri" w:hAnsi="Calibri"/>
                <w:b w:val="0"/>
                <w:sz w:val="16"/>
              </w:rPr>
              <w:t>peter / finn</w:t>
            </w:r>
          </w:p>
        </w:tc>
        <w:tc>
          <w:tcPr>
            <w:tcW w:type="dxa" w:w="3005"/>
            <w:shd w:val="clear" w:color="auto" w:fill="F2F6FB"/>
          </w:tcPr>
          <w:p>
            <w:pPr>
              <w:spacing w:before="30" w:after="30" w:line="240" w:lineRule="auto"/>
            </w:pPr>
            <w:r/>
            <w:r>
              <w:rPr>
                <w:rFonts w:ascii="Calibri" w:hAnsi="Calibri"/>
                <w:b w:val="0"/>
                <w:sz w:val="16"/>
              </w:rPr>
              <w:t>Every user task that needs a form has one; 99 of 99 tasks bound</w:t>
            </w:r>
          </w:p>
        </w:tc>
        <w:tc>
          <w:tcPr>
            <w:tcW w:type="dxa" w:w="907"/>
            <w:shd w:val="clear" w:color="auto" w:fill="F2F6FB"/>
          </w:tcPr>
          <w:p>
            <w:pPr>
              <w:spacing w:before="30" w:after="30" w:line="240" w:lineRule="auto"/>
            </w:pPr>
            <w:r/>
            <w:r>
              <w:rPr>
                <w:rFonts w:ascii="Calibri" w:hAnsi="Calibri"/>
                <w:b w:val="0"/>
                <w:sz w:val="16"/>
              </w:rPr>
              <w:t>Done</w:t>
            </w:r>
          </w:p>
        </w:tc>
      </w:tr>
      <w:tr>
        <w:tc>
          <w:tcPr>
            <w:tcW w:type="dxa" w:w="907"/>
            <w:shd w:val="clear" w:color="auto" w:fill="FFFFFF"/>
          </w:tcPr>
          <w:p>
            <w:pPr>
              <w:spacing w:before="30" w:after="30" w:line="240" w:lineRule="auto"/>
            </w:pPr>
            <w:r/>
            <w:r>
              <w:rPr>
                <w:rFonts w:ascii="Calibri" w:hAnsi="Calibri"/>
                <w:b w:val="0"/>
                <w:sz w:val="16"/>
              </w:rPr>
              <w:t>S2-15</w:t>
            </w:r>
          </w:p>
        </w:tc>
        <w:tc>
          <w:tcPr>
            <w:tcW w:type="dxa" w:w="2891"/>
            <w:shd w:val="clear" w:color="auto" w:fill="FFFFFF"/>
          </w:tcPr>
          <w:p>
            <w:pPr>
              <w:spacing w:before="30" w:after="30" w:line="240" w:lineRule="auto"/>
            </w:pPr>
            <w:r/>
            <w:r>
              <w:rPr>
                <w:rFonts w:ascii="Calibri" w:hAnsi="Calibri"/>
                <w:b w:val="0"/>
                <w:sz w:val="16"/>
              </w:rPr>
              <w:t>Worker fleet for the automated steps</w:t>
            </w:r>
          </w:p>
        </w:tc>
        <w:tc>
          <w:tcPr>
            <w:tcW w:type="dxa" w:w="1474"/>
            <w:shd w:val="clear" w:color="auto" w:fill="FFFFFF"/>
          </w:tcPr>
          <w:p>
            <w:pPr>
              <w:spacing w:before="30" w:after="30" w:line="240" w:lineRule="auto"/>
            </w:pPr>
            <w:r/>
            <w:r>
              <w:rPr>
                <w:rFonts w:ascii="Calibri" w:hAnsi="Calibri"/>
                <w:b w:val="0"/>
                <w:sz w:val="16"/>
              </w:rPr>
              <w:t>finn / henry</w:t>
            </w:r>
          </w:p>
        </w:tc>
        <w:tc>
          <w:tcPr>
            <w:tcW w:type="dxa" w:w="3005"/>
            <w:shd w:val="clear" w:color="auto" w:fill="FFFFFF"/>
          </w:tcPr>
          <w:p>
            <w:pPr>
              <w:spacing w:before="30" w:after="30" w:line="240" w:lineRule="auto"/>
            </w:pPr>
            <w:r/>
            <w:r>
              <w:rPr>
                <w:rFonts w:ascii="Calibri" w:hAnsi="Calibri"/>
                <w:b w:val="0"/>
                <w:sz w:val="16"/>
              </w:rPr>
              <w:t>13 job types; every declared type has a subscriber; contract test passes</w:t>
            </w:r>
          </w:p>
        </w:tc>
        <w:tc>
          <w:tcPr>
            <w:tcW w:type="dxa" w:w="907"/>
            <w:shd w:val="clear" w:color="auto" w:fill="FFFFFF"/>
          </w:tcPr>
          <w:p>
            <w:pPr>
              <w:spacing w:before="30" w:after="30" w:line="240" w:lineRule="auto"/>
            </w:pPr>
            <w:r/>
            <w:r>
              <w:rPr>
                <w:rFonts w:ascii="Calibri" w:hAnsi="Calibri"/>
                <w:b w:val="0"/>
                <w:sz w:val="16"/>
              </w:rPr>
              <w:t>Done</w:t>
            </w:r>
          </w:p>
        </w:tc>
      </w:tr>
      <w:tr>
        <w:tc>
          <w:tcPr>
            <w:tcW w:type="dxa" w:w="907"/>
            <w:shd w:val="clear" w:color="auto" w:fill="F2F6FB"/>
          </w:tcPr>
          <w:p>
            <w:pPr>
              <w:spacing w:before="30" w:after="30" w:line="240" w:lineRule="auto"/>
            </w:pPr>
            <w:r/>
            <w:r>
              <w:rPr>
                <w:rFonts w:ascii="Calibri" w:hAnsi="Calibri"/>
                <w:b w:val="0"/>
                <w:sz w:val="16"/>
              </w:rPr>
              <w:t>S2-19</w:t>
            </w:r>
          </w:p>
        </w:tc>
        <w:tc>
          <w:tcPr>
            <w:tcW w:type="dxa" w:w="2891"/>
            <w:shd w:val="clear" w:color="auto" w:fill="F2F6FB"/>
          </w:tcPr>
          <w:p>
            <w:pPr>
              <w:spacing w:before="30" w:after="30" w:line="240" w:lineRule="auto"/>
            </w:pPr>
            <w:r/>
            <w:r>
              <w:rPr>
                <w:rFonts w:ascii="Calibri" w:hAnsi="Calibri"/>
                <w:b w:val="0"/>
                <w:sz w:val="16"/>
              </w:rPr>
              <w:t>Acceptance harness and execution</w:t>
            </w:r>
          </w:p>
        </w:tc>
        <w:tc>
          <w:tcPr>
            <w:tcW w:type="dxa" w:w="1474"/>
            <w:shd w:val="clear" w:color="auto" w:fill="F2F6FB"/>
          </w:tcPr>
          <w:p>
            <w:pPr>
              <w:spacing w:before="30" w:after="30" w:line="240" w:lineRule="auto"/>
            </w:pPr>
            <w:r/>
            <w:r>
              <w:rPr>
                <w:rFonts w:ascii="Calibri" w:hAnsi="Calibri"/>
                <w:b w:val="0"/>
                <w:sz w:val="16"/>
              </w:rPr>
              <w:t>peter / finn</w:t>
            </w:r>
          </w:p>
        </w:tc>
        <w:tc>
          <w:tcPr>
            <w:tcW w:type="dxa" w:w="3005"/>
            <w:shd w:val="clear" w:color="auto" w:fill="F2F6FB"/>
          </w:tcPr>
          <w:p>
            <w:pPr>
              <w:spacing w:before="30" w:after="30" w:line="240" w:lineRule="auto"/>
            </w:pPr>
            <w:r/>
            <w:r>
              <w:rPr>
                <w:rFonts w:ascii="Calibri" w:hAnsi="Calibri"/>
                <w:b w:val="0"/>
                <w:sz w:val="16"/>
              </w:rPr>
              <w:t>18 cases execute against the deployed model with retained evidence</w:t>
            </w:r>
          </w:p>
        </w:tc>
        <w:tc>
          <w:tcPr>
            <w:tcW w:type="dxa" w:w="907"/>
            <w:shd w:val="clear" w:color="auto" w:fill="F2F6FB"/>
          </w:tcPr>
          <w:p>
            <w:pPr>
              <w:spacing w:before="30" w:after="30" w:line="240" w:lineRule="auto"/>
            </w:pPr>
            <w:r/>
            <w:r>
              <w:rPr>
                <w:rFonts w:ascii="Calibri" w:hAnsi="Calibri"/>
                <w:b w:val="0"/>
                <w:sz w:val="16"/>
              </w:rPr>
              <w:t>Done</w:t>
            </w:r>
          </w:p>
        </w:tc>
      </w:tr>
    </w:tbl>
    <w:p>
      <w:pPr>
        <w:spacing w:before="60" w:after="160"/>
      </w:pPr>
      <w:r>
        <w:rPr>
          <w:i/>
          <w:color w:val="595959"/>
          <w:sz w:val="16"/>
        </w:rPr>
        <w:t>Table 5. Selected initial-release items. The full S1 and S2 backlogs are in the backlog workbook.</w:t>
      </w:r>
    </w:p>
    <w:p>
      <w:pPr>
        <w:pStyle w:val="Heading2"/>
      </w:pPr>
      <w:r>
        <w:t>4.2  Second release, the items that carry the increment</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trPr>
        <w:tc>
          <w:tcPr>
            <w:tcW w:type="dxa" w:w="964"/>
            <w:shd w:val="clear" w:color="auto" w:fill="2E74B5"/>
          </w:tcPr>
          <w:p>
            <w:pPr>
              <w:spacing w:before="30" w:after="30" w:line="240" w:lineRule="auto"/>
            </w:pPr>
            <w:r/>
            <w:r>
              <w:rPr>
                <w:rFonts w:ascii="Calibri" w:hAnsi="Calibri"/>
                <w:b/>
                <w:color w:val="FFFFFF"/>
                <w:sz w:val="16"/>
              </w:rPr>
              <w:t>Item</w:t>
            </w:r>
          </w:p>
        </w:tc>
        <w:tc>
          <w:tcPr>
            <w:tcW w:type="dxa" w:w="3061"/>
            <w:shd w:val="clear" w:color="auto" w:fill="2E74B5"/>
          </w:tcPr>
          <w:p>
            <w:pPr>
              <w:spacing w:before="30" w:after="30" w:line="240" w:lineRule="auto"/>
            </w:pPr>
            <w:r/>
            <w:r>
              <w:rPr>
                <w:rFonts w:ascii="Calibri" w:hAnsi="Calibri"/>
                <w:b/>
                <w:color w:val="FFFFFF"/>
                <w:sz w:val="16"/>
              </w:rPr>
              <w:t>Task</w:t>
            </w:r>
          </w:p>
        </w:tc>
        <w:tc>
          <w:tcPr>
            <w:tcW w:type="dxa" w:w="1417"/>
            <w:shd w:val="clear" w:color="auto" w:fill="2E74B5"/>
          </w:tcPr>
          <w:p>
            <w:pPr>
              <w:spacing w:before="30" w:after="30" w:line="240" w:lineRule="auto"/>
            </w:pPr>
            <w:r/>
            <w:r>
              <w:rPr>
                <w:rFonts w:ascii="Calibri" w:hAnsi="Calibri"/>
                <w:b/>
                <w:color w:val="FFFFFF"/>
                <w:sz w:val="16"/>
              </w:rPr>
              <w:t>Owner (1st / 2nd)</w:t>
            </w:r>
          </w:p>
        </w:tc>
        <w:tc>
          <w:tcPr>
            <w:tcW w:type="dxa" w:w="2835"/>
            <w:shd w:val="clear" w:color="auto" w:fill="2E74B5"/>
          </w:tcPr>
          <w:p>
            <w:pPr>
              <w:spacing w:before="30" w:after="30" w:line="240" w:lineRule="auto"/>
            </w:pPr>
            <w:r/>
            <w:r>
              <w:rPr>
                <w:rFonts w:ascii="Calibri" w:hAnsi="Calibri"/>
                <w:b/>
                <w:color w:val="FFFFFF"/>
                <w:sz w:val="16"/>
              </w:rPr>
              <w:t>Acceptance condition</w:t>
            </w:r>
          </w:p>
        </w:tc>
        <w:tc>
          <w:tcPr>
            <w:tcW w:type="dxa" w:w="907"/>
            <w:shd w:val="clear" w:color="auto" w:fill="2E74B5"/>
          </w:tcPr>
          <w:p>
            <w:pPr>
              <w:spacing w:before="30" w:after="30" w:line="240" w:lineRule="auto"/>
            </w:pPr>
            <w:r/>
            <w:r>
              <w:rPr>
                <w:rFonts w:ascii="Calibri" w:hAnsi="Calibri"/>
                <w:b/>
                <w:color w:val="FFFFFF"/>
                <w:sz w:val="16"/>
              </w:rPr>
              <w:t>Status</w:t>
            </w:r>
          </w:p>
        </w:tc>
      </w:tr>
      <w:tr>
        <w:tc>
          <w:tcPr>
            <w:tcW w:type="dxa" w:w="964"/>
            <w:shd w:val="clear" w:color="auto" w:fill="F2F6FB"/>
          </w:tcPr>
          <w:p>
            <w:pPr>
              <w:spacing w:before="30" w:after="30" w:line="240" w:lineRule="auto"/>
            </w:pPr>
            <w:r/>
            <w:r>
              <w:rPr>
                <w:rFonts w:ascii="Calibri" w:hAnsi="Calibri"/>
                <w:b w:val="0"/>
                <w:sz w:val="16"/>
              </w:rPr>
              <w:t>S4-01</w:t>
            </w:r>
          </w:p>
        </w:tc>
        <w:tc>
          <w:tcPr>
            <w:tcW w:type="dxa" w:w="3061"/>
            <w:shd w:val="clear" w:color="auto" w:fill="F2F6FB"/>
          </w:tcPr>
          <w:p>
            <w:pPr>
              <w:spacing w:before="30" w:after="30" w:line="240" w:lineRule="auto"/>
            </w:pPr>
            <w:r/>
            <w:r>
              <w:rPr>
                <w:rFonts w:ascii="Calibri" w:hAnsi="Calibri"/>
                <w:b w:val="0"/>
                <w:sz w:val="16"/>
              </w:rPr>
              <w:t>Triage every defect found in the Sprint 1/2 models</w:t>
            </w:r>
          </w:p>
        </w:tc>
        <w:tc>
          <w:tcPr>
            <w:tcW w:type="dxa" w:w="1417"/>
            <w:shd w:val="clear" w:color="auto" w:fill="F2F6FB"/>
          </w:tcPr>
          <w:p>
            <w:pPr>
              <w:spacing w:before="30" w:after="30" w:line="240" w:lineRule="auto"/>
            </w:pPr>
            <w:r/>
            <w:r>
              <w:rPr>
                <w:rFonts w:ascii="Calibri" w:hAnsi="Calibri"/>
                <w:b w:val="0"/>
                <w:sz w:val="16"/>
              </w:rPr>
              <w:t>peter / max</w:t>
            </w:r>
          </w:p>
        </w:tc>
        <w:tc>
          <w:tcPr>
            <w:tcW w:type="dxa" w:w="2835"/>
            <w:shd w:val="clear" w:color="auto" w:fill="F2F6FB"/>
          </w:tcPr>
          <w:p>
            <w:pPr>
              <w:spacing w:before="30" w:after="30" w:line="240" w:lineRule="auto"/>
            </w:pPr>
            <w:r/>
            <w:r>
              <w:rPr>
                <w:rFonts w:ascii="Calibri" w:hAnsi="Calibri"/>
                <w:b w:val="0"/>
                <w:sz w:val="16"/>
              </w:rPr>
              <w:t>Each of the 16 defect categories is fixed or explicitly superseded</w:t>
            </w:r>
          </w:p>
        </w:tc>
        <w:tc>
          <w:tcPr>
            <w:tcW w:type="dxa" w:w="907"/>
            <w:shd w:val="clear" w:color="auto" w:fill="F2F6FB"/>
          </w:tcPr>
          <w:p>
            <w:pPr>
              <w:spacing w:before="30" w:after="30" w:line="240" w:lineRule="auto"/>
            </w:pPr>
            <w:r/>
            <w:r>
              <w:rPr>
                <w:rFonts w:ascii="Calibri" w:hAnsi="Calibri"/>
                <w:b w:val="0"/>
                <w:sz w:val="16"/>
              </w:rPr>
              <w:t>Done</w:t>
            </w:r>
          </w:p>
        </w:tc>
      </w:tr>
      <w:tr>
        <w:tc>
          <w:tcPr>
            <w:tcW w:type="dxa" w:w="964"/>
            <w:shd w:val="clear" w:color="auto" w:fill="FFFFFF"/>
          </w:tcPr>
          <w:p>
            <w:pPr>
              <w:spacing w:before="30" w:after="30" w:line="240" w:lineRule="auto"/>
            </w:pPr>
            <w:r/>
            <w:r>
              <w:rPr>
                <w:rFonts w:ascii="Calibri" w:hAnsi="Calibri"/>
                <w:b w:val="0"/>
                <w:sz w:val="16"/>
              </w:rPr>
              <w:t>S4-05</w:t>
            </w:r>
          </w:p>
        </w:tc>
        <w:tc>
          <w:tcPr>
            <w:tcW w:type="dxa" w:w="3061"/>
            <w:shd w:val="clear" w:color="auto" w:fill="FFFFFF"/>
          </w:tcPr>
          <w:p>
            <w:pPr>
              <w:spacing w:before="30" w:after="30" w:line="240" w:lineRule="auto"/>
            </w:pPr>
            <w:r/>
            <w:r>
              <w:rPr>
                <w:rFonts w:ascii="Calibri" w:hAnsi="Calibri"/>
                <w:b w:val="0"/>
                <w:sz w:val="16"/>
              </w:rPr>
              <w:t>Rebuild the three fragments as one integrated model family</w:t>
            </w:r>
          </w:p>
        </w:tc>
        <w:tc>
          <w:tcPr>
            <w:tcW w:type="dxa" w:w="1417"/>
            <w:shd w:val="clear" w:color="auto" w:fill="FFFFFF"/>
          </w:tcPr>
          <w:p>
            <w:pPr>
              <w:spacing w:before="30" w:after="30" w:line="240" w:lineRule="auto"/>
            </w:pPr>
            <w:r/>
            <w:r>
              <w:rPr>
                <w:rFonts w:ascii="Calibri" w:hAnsi="Calibri"/>
                <w:b w:val="0"/>
                <w:sz w:val="16"/>
              </w:rPr>
              <w:t>max / henry</w:t>
            </w:r>
          </w:p>
        </w:tc>
        <w:tc>
          <w:tcPr>
            <w:tcW w:type="dxa" w:w="2835"/>
            <w:shd w:val="clear" w:color="auto" w:fill="FFFFFF"/>
          </w:tcPr>
          <w:p>
            <w:pPr>
              <w:spacing w:before="30" w:after="30" w:line="240" w:lineRule="auto"/>
            </w:pPr>
            <w:r/>
            <w:r>
              <w:rPr>
                <w:rFonts w:ascii="Calibri" w:hAnsi="Calibri"/>
                <w:b w:val="0"/>
                <w:sz w:val="16"/>
              </w:rPr>
              <w:t>S1, S2, S3 share one participant register; O1 merges all three at task level</w:t>
            </w:r>
          </w:p>
        </w:tc>
        <w:tc>
          <w:tcPr>
            <w:tcW w:type="dxa" w:w="907"/>
            <w:shd w:val="clear" w:color="auto" w:fill="FFFFFF"/>
          </w:tcPr>
          <w:p>
            <w:pPr>
              <w:spacing w:before="30" w:after="30" w:line="240" w:lineRule="auto"/>
            </w:pPr>
            <w:r/>
            <w:r>
              <w:rPr>
                <w:rFonts w:ascii="Calibri" w:hAnsi="Calibri"/>
                <w:b w:val="0"/>
                <w:sz w:val="16"/>
              </w:rPr>
              <w:t>Done</w:t>
            </w:r>
          </w:p>
        </w:tc>
      </w:tr>
      <w:tr>
        <w:tc>
          <w:tcPr>
            <w:tcW w:type="dxa" w:w="964"/>
            <w:shd w:val="clear" w:color="auto" w:fill="F2F6FB"/>
          </w:tcPr>
          <w:p>
            <w:pPr>
              <w:spacing w:before="30" w:after="30" w:line="240" w:lineRule="auto"/>
            </w:pPr>
            <w:r/>
            <w:r>
              <w:rPr>
                <w:rFonts w:ascii="Calibri" w:hAnsi="Calibri"/>
                <w:b w:val="0"/>
                <w:sz w:val="16"/>
              </w:rPr>
              <w:t>S4-08</w:t>
            </w:r>
          </w:p>
        </w:tc>
        <w:tc>
          <w:tcPr>
            <w:tcW w:type="dxa" w:w="3061"/>
            <w:shd w:val="clear" w:color="auto" w:fill="F2F6FB"/>
          </w:tcPr>
          <w:p>
            <w:pPr>
              <w:spacing w:before="30" w:after="30" w:line="240" w:lineRule="auto"/>
            </w:pPr>
            <w:r/>
            <w:r>
              <w:rPr>
                <w:rFonts w:ascii="Calibri" w:hAnsi="Calibri"/>
                <w:b w:val="0"/>
                <w:sz w:val="16"/>
              </w:rPr>
              <w:t>Deploy the models and re-validate with the Camunda toolchain</w:t>
            </w:r>
          </w:p>
        </w:tc>
        <w:tc>
          <w:tcPr>
            <w:tcW w:type="dxa" w:w="1417"/>
            <w:shd w:val="clear" w:color="auto" w:fill="F2F6FB"/>
          </w:tcPr>
          <w:p>
            <w:pPr>
              <w:spacing w:before="30" w:after="30" w:line="240" w:lineRule="auto"/>
            </w:pPr>
            <w:r/>
            <w:r>
              <w:rPr>
                <w:rFonts w:ascii="Calibri" w:hAnsi="Calibri"/>
                <w:b w:val="0"/>
                <w:sz w:val="16"/>
              </w:rPr>
              <w:t>peter / max</w:t>
            </w:r>
          </w:p>
        </w:tc>
        <w:tc>
          <w:tcPr>
            <w:tcW w:type="dxa" w:w="2835"/>
            <w:shd w:val="clear" w:color="auto" w:fill="F2F6FB"/>
          </w:tcPr>
          <w:p>
            <w:pPr>
              <w:spacing w:before="30" w:after="30" w:line="240" w:lineRule="auto"/>
            </w:pPr>
            <w:r/>
            <w:r>
              <w:rPr>
                <w:rFonts w:ascii="Calibri" w:hAnsi="Calibri"/>
                <w:b w:val="0"/>
                <w:sz w:val="16"/>
              </w:rPr>
              <w:t>0 moddle warnings, 0 lint reports, 0 structural defects per model; all definitions deploy</w:t>
            </w:r>
          </w:p>
        </w:tc>
        <w:tc>
          <w:tcPr>
            <w:tcW w:type="dxa" w:w="907"/>
            <w:shd w:val="clear" w:color="auto" w:fill="F2F6FB"/>
          </w:tcPr>
          <w:p>
            <w:pPr>
              <w:spacing w:before="30" w:after="30" w:line="240" w:lineRule="auto"/>
            </w:pPr>
            <w:r/>
            <w:r>
              <w:rPr>
                <w:rFonts w:ascii="Calibri" w:hAnsi="Calibri"/>
                <w:b w:val="0"/>
                <w:sz w:val="16"/>
              </w:rPr>
              <w:t>Done</w:t>
            </w:r>
          </w:p>
        </w:tc>
      </w:tr>
      <w:tr>
        <w:tc>
          <w:tcPr>
            <w:tcW w:type="dxa" w:w="964"/>
            <w:shd w:val="clear" w:color="auto" w:fill="FFFFFF"/>
          </w:tcPr>
          <w:p>
            <w:pPr>
              <w:spacing w:before="30" w:after="30" w:line="240" w:lineRule="auto"/>
            </w:pPr>
            <w:r/>
            <w:r>
              <w:rPr>
                <w:rFonts w:ascii="Calibri" w:hAnsi="Calibri"/>
                <w:b w:val="0"/>
                <w:sz w:val="16"/>
              </w:rPr>
              <w:t>S4-12/13</w:t>
            </w:r>
          </w:p>
        </w:tc>
        <w:tc>
          <w:tcPr>
            <w:tcW w:type="dxa" w:w="3061"/>
            <w:shd w:val="clear" w:color="auto" w:fill="FFFFFF"/>
          </w:tcPr>
          <w:p>
            <w:pPr>
              <w:spacing w:before="30" w:after="30" w:line="240" w:lineRule="auto"/>
            </w:pPr>
            <w:r/>
            <w:r>
              <w:rPr>
                <w:rFonts w:ascii="Calibri" w:hAnsi="Calibri"/>
                <w:b w:val="0"/>
                <w:sz w:val="16"/>
              </w:rPr>
              <w:t>Complete the i* SD and SR models</w:t>
            </w:r>
          </w:p>
        </w:tc>
        <w:tc>
          <w:tcPr>
            <w:tcW w:type="dxa" w:w="1417"/>
            <w:shd w:val="clear" w:color="auto" w:fill="FFFFFF"/>
          </w:tcPr>
          <w:p>
            <w:pPr>
              <w:spacing w:before="30" w:after="30" w:line="240" w:lineRule="auto"/>
            </w:pPr>
            <w:r/>
            <w:r>
              <w:rPr>
                <w:rFonts w:ascii="Calibri" w:hAnsi="Calibri"/>
                <w:b w:val="0"/>
                <w:sz w:val="16"/>
              </w:rPr>
              <w:t>finn / henry</w:t>
            </w:r>
          </w:p>
        </w:tc>
        <w:tc>
          <w:tcPr>
            <w:tcW w:type="dxa" w:w="2835"/>
            <w:shd w:val="clear" w:color="auto" w:fill="FFFFFF"/>
          </w:tcPr>
          <w:p>
            <w:pPr>
              <w:spacing w:before="30" w:after="30" w:line="240" w:lineRule="auto"/>
            </w:pPr>
            <w:r/>
            <w:r>
              <w:rPr>
                <w:rFonts w:ascii="Calibri" w:hAnsi="Calibri"/>
                <w:b w:val="0"/>
                <w:sz w:val="16"/>
              </w:rPr>
              <w:t>SD: 16 actors, 40 typed dependencies. SR: 7 actors, 61 elements, 9 boundary dependencies</w:t>
            </w:r>
          </w:p>
        </w:tc>
        <w:tc>
          <w:tcPr>
            <w:tcW w:type="dxa" w:w="907"/>
            <w:shd w:val="clear" w:color="auto" w:fill="FFFFFF"/>
          </w:tcPr>
          <w:p>
            <w:pPr>
              <w:spacing w:before="30" w:after="30" w:line="240" w:lineRule="auto"/>
            </w:pPr>
            <w:r/>
            <w:r>
              <w:rPr>
                <w:rFonts w:ascii="Calibri" w:hAnsi="Calibri"/>
                <w:b w:val="0"/>
                <w:sz w:val="16"/>
              </w:rPr>
              <w:t>Done</w:t>
            </w:r>
          </w:p>
        </w:tc>
      </w:tr>
      <w:tr>
        <w:tc>
          <w:tcPr>
            <w:tcW w:type="dxa" w:w="964"/>
            <w:shd w:val="clear" w:color="auto" w:fill="F2F6FB"/>
          </w:tcPr>
          <w:p>
            <w:pPr>
              <w:spacing w:before="30" w:after="30" w:line="240" w:lineRule="auto"/>
            </w:pPr>
            <w:r/>
            <w:r>
              <w:rPr>
                <w:rFonts w:ascii="Calibri" w:hAnsi="Calibri"/>
                <w:b w:val="0"/>
                <w:sz w:val="16"/>
              </w:rPr>
              <w:t>S4-16</w:t>
            </w:r>
          </w:p>
        </w:tc>
        <w:tc>
          <w:tcPr>
            <w:tcW w:type="dxa" w:w="3061"/>
            <w:shd w:val="clear" w:color="auto" w:fill="F2F6FB"/>
          </w:tcPr>
          <w:p>
            <w:pPr>
              <w:spacing w:before="30" w:after="30" w:line="240" w:lineRule="auto"/>
            </w:pPr>
            <w:r/>
            <w:r>
              <w:rPr>
                <w:rFonts w:ascii="Calibri" w:hAnsi="Calibri"/>
                <w:b w:val="0"/>
                <w:sz w:val="16"/>
              </w:rPr>
              <w:t>Alignment evaluation with a full traceability table</w:t>
            </w:r>
          </w:p>
        </w:tc>
        <w:tc>
          <w:tcPr>
            <w:tcW w:type="dxa" w:w="1417"/>
            <w:shd w:val="clear" w:color="auto" w:fill="F2F6FB"/>
          </w:tcPr>
          <w:p>
            <w:pPr>
              <w:spacing w:before="30" w:after="30" w:line="240" w:lineRule="auto"/>
            </w:pPr>
            <w:r/>
            <w:r>
              <w:rPr>
                <w:rFonts w:ascii="Calibri" w:hAnsi="Calibri"/>
                <w:b w:val="0"/>
                <w:sz w:val="16"/>
              </w:rPr>
              <w:t>henry / max</w:t>
            </w:r>
          </w:p>
        </w:tc>
        <w:tc>
          <w:tcPr>
            <w:tcW w:type="dxa" w:w="2835"/>
            <w:shd w:val="clear" w:color="auto" w:fill="F2F6FB"/>
          </w:tcPr>
          <w:p>
            <w:pPr>
              <w:spacing w:before="30" w:after="30" w:line="240" w:lineRule="auto"/>
            </w:pPr>
            <w:r/>
            <w:r>
              <w:rPr>
                <w:rFonts w:ascii="Calibri" w:hAnsi="Calibri"/>
                <w:b w:val="0"/>
                <w:sz w:val="16"/>
              </w:rPr>
              <w:t>44 requirements traced to a strategic activity, an i* element and an implementation artefact</w:t>
            </w:r>
          </w:p>
        </w:tc>
        <w:tc>
          <w:tcPr>
            <w:tcW w:type="dxa" w:w="907"/>
            <w:shd w:val="clear" w:color="auto" w:fill="F2F6FB"/>
          </w:tcPr>
          <w:p>
            <w:pPr>
              <w:spacing w:before="30" w:after="30" w:line="240" w:lineRule="auto"/>
            </w:pPr>
            <w:r/>
            <w:r>
              <w:rPr>
                <w:rFonts w:ascii="Calibri" w:hAnsi="Calibri"/>
                <w:b w:val="0"/>
                <w:sz w:val="16"/>
              </w:rPr>
              <w:t>Done</w:t>
            </w:r>
          </w:p>
        </w:tc>
      </w:tr>
      <w:tr>
        <w:tc>
          <w:tcPr>
            <w:tcW w:type="dxa" w:w="964"/>
            <w:shd w:val="clear" w:color="auto" w:fill="FFFFFF"/>
          </w:tcPr>
          <w:p>
            <w:pPr>
              <w:spacing w:before="30" w:after="30" w:line="240" w:lineRule="auto"/>
            </w:pPr>
            <w:r/>
            <w:r>
              <w:rPr>
                <w:rFonts w:ascii="Calibri" w:hAnsi="Calibri"/>
                <w:b w:val="0"/>
                <w:sz w:val="16"/>
              </w:rPr>
              <w:t>S4-18/19</w:t>
            </w:r>
          </w:p>
        </w:tc>
        <w:tc>
          <w:tcPr>
            <w:tcW w:type="dxa" w:w="3061"/>
            <w:shd w:val="clear" w:color="auto" w:fill="FFFFFF"/>
          </w:tcPr>
          <w:p>
            <w:pPr>
              <w:spacing w:before="30" w:after="30" w:line="240" w:lineRule="auto"/>
            </w:pPr>
            <w:r/>
            <w:r>
              <w:rPr>
                <w:rFonts w:ascii="Calibri" w:hAnsi="Calibri"/>
                <w:b w:val="0"/>
                <w:sz w:val="16"/>
              </w:rPr>
              <w:t>Acceptance criteria review and test execution</w:t>
            </w:r>
          </w:p>
        </w:tc>
        <w:tc>
          <w:tcPr>
            <w:tcW w:type="dxa" w:w="1417"/>
            <w:shd w:val="clear" w:color="auto" w:fill="FFFFFF"/>
          </w:tcPr>
          <w:p>
            <w:pPr>
              <w:spacing w:before="30" w:after="30" w:line="240" w:lineRule="auto"/>
            </w:pPr>
            <w:r/>
            <w:r>
              <w:rPr>
                <w:rFonts w:ascii="Calibri" w:hAnsi="Calibri"/>
                <w:b w:val="0"/>
                <w:sz w:val="16"/>
              </w:rPr>
              <w:t>peter / finn</w:t>
            </w:r>
          </w:p>
        </w:tc>
        <w:tc>
          <w:tcPr>
            <w:tcW w:type="dxa" w:w="2835"/>
            <w:shd w:val="clear" w:color="auto" w:fill="FFFFFF"/>
          </w:tcPr>
          <w:p>
            <w:pPr>
              <w:spacing w:before="30" w:after="30" w:line="240" w:lineRule="auto"/>
            </w:pPr>
            <w:r/>
            <w:r>
              <w:rPr>
                <w:rFonts w:ascii="Calibri" w:hAnsi="Calibri"/>
                <w:b w:val="0"/>
                <w:sz w:val="16"/>
              </w:rPr>
              <w:t>All 20 original criteria assessed; 28 revised; 18 cases executed with retained evidence</w:t>
            </w:r>
          </w:p>
        </w:tc>
        <w:tc>
          <w:tcPr>
            <w:tcW w:type="dxa" w:w="907"/>
            <w:shd w:val="clear" w:color="auto" w:fill="FFFFFF"/>
          </w:tcPr>
          <w:p>
            <w:pPr>
              <w:spacing w:before="30" w:after="30" w:line="240" w:lineRule="auto"/>
            </w:pPr>
            <w:r/>
            <w:r>
              <w:rPr>
                <w:rFonts w:ascii="Calibri" w:hAnsi="Calibri"/>
                <w:b w:val="0"/>
                <w:sz w:val="16"/>
              </w:rPr>
              <w:t>Done</w:t>
            </w:r>
          </w:p>
        </w:tc>
      </w:tr>
      <w:tr>
        <w:tc>
          <w:tcPr>
            <w:tcW w:type="dxa" w:w="964"/>
            <w:shd w:val="clear" w:color="auto" w:fill="F2F6FB"/>
          </w:tcPr>
          <w:p>
            <w:pPr>
              <w:spacing w:before="30" w:after="30" w:line="240" w:lineRule="auto"/>
            </w:pPr>
            <w:r/>
            <w:r>
              <w:rPr>
                <w:rFonts w:ascii="Calibri" w:hAnsi="Calibri"/>
                <w:b w:val="0"/>
                <w:sz w:val="16"/>
              </w:rPr>
              <w:t>S4-21</w:t>
            </w:r>
          </w:p>
        </w:tc>
        <w:tc>
          <w:tcPr>
            <w:tcW w:type="dxa" w:w="3061"/>
            <w:shd w:val="clear" w:color="auto" w:fill="F2F6FB"/>
          </w:tcPr>
          <w:p>
            <w:pPr>
              <w:spacing w:before="30" w:after="30" w:line="240" w:lineRule="auto"/>
            </w:pPr>
            <w:r/>
            <w:r>
              <w:rPr>
                <w:rFonts w:ascii="Calibri" w:hAnsi="Calibri"/>
                <w:b w:val="0"/>
                <w:sz w:val="16"/>
              </w:rPr>
              <w:t>Assemble the portfolio</w:t>
            </w:r>
          </w:p>
        </w:tc>
        <w:tc>
          <w:tcPr>
            <w:tcW w:type="dxa" w:w="1417"/>
            <w:shd w:val="clear" w:color="auto" w:fill="F2F6FB"/>
          </w:tcPr>
          <w:p>
            <w:pPr>
              <w:spacing w:before="30" w:after="30" w:line="240" w:lineRule="auto"/>
            </w:pPr>
            <w:r/>
            <w:r>
              <w:rPr>
                <w:rFonts w:ascii="Calibri" w:hAnsi="Calibri"/>
                <w:b w:val="0"/>
                <w:sz w:val="16"/>
              </w:rPr>
              <w:t>henry / max</w:t>
            </w:r>
          </w:p>
        </w:tc>
        <w:tc>
          <w:tcPr>
            <w:tcW w:type="dxa" w:w="2835"/>
            <w:shd w:val="clear" w:color="auto" w:fill="F2F6FB"/>
          </w:tcPr>
          <w:p>
            <w:pPr>
              <w:spacing w:before="30" w:after="30" w:line="240" w:lineRule="auto"/>
            </w:pPr>
            <w:r/>
            <w:r>
              <w:rPr>
                <w:rFonts w:ascii="Calibri" w:hAnsi="Calibri"/>
                <w:b w:val="0"/>
                <w:sz w:val="16"/>
              </w:rPr>
              <w:t>Every required deliverable present, named to convention and linked to its evidence</w:t>
            </w:r>
          </w:p>
        </w:tc>
        <w:tc>
          <w:tcPr>
            <w:tcW w:type="dxa" w:w="907"/>
            <w:shd w:val="clear" w:color="auto" w:fill="F2F6FB"/>
          </w:tcPr>
          <w:p>
            <w:pPr>
              <w:spacing w:before="30" w:after="30" w:line="240" w:lineRule="auto"/>
            </w:pPr>
            <w:r/>
            <w:r>
              <w:rPr>
                <w:rFonts w:ascii="Calibri" w:hAnsi="Calibri"/>
                <w:b w:val="0"/>
                <w:sz w:val="16"/>
              </w:rPr>
              <w:t>Done</w:t>
            </w:r>
          </w:p>
        </w:tc>
      </w:tr>
      <w:tr>
        <w:tc>
          <w:tcPr>
            <w:tcW w:type="dxa" w:w="964"/>
            <w:shd w:val="clear" w:color="auto" w:fill="FFFFFF"/>
          </w:tcPr>
          <w:p>
            <w:pPr>
              <w:spacing w:before="30" w:after="30" w:line="240" w:lineRule="auto"/>
            </w:pPr>
            <w:r/>
            <w:r>
              <w:rPr>
                <w:rFonts w:ascii="Calibri" w:hAnsi="Calibri"/>
                <w:b w:val="0"/>
                <w:sz w:val="16"/>
              </w:rPr>
              <w:t>S4-22/23</w:t>
            </w:r>
          </w:p>
        </w:tc>
        <w:tc>
          <w:tcPr>
            <w:tcW w:type="dxa" w:w="3061"/>
            <w:shd w:val="clear" w:color="auto" w:fill="FFFFFF"/>
          </w:tcPr>
          <w:p>
            <w:pPr>
              <w:spacing w:before="30" w:after="30" w:line="240" w:lineRule="auto"/>
            </w:pPr>
            <w:r/>
            <w:r>
              <w:rPr>
                <w:rFonts w:ascii="Calibri" w:hAnsi="Calibri"/>
                <w:b w:val="0"/>
                <w:sz w:val="16"/>
              </w:rPr>
              <w:t>Database persistence and role-based access</w:t>
            </w:r>
          </w:p>
        </w:tc>
        <w:tc>
          <w:tcPr>
            <w:tcW w:type="dxa" w:w="1417"/>
            <w:shd w:val="clear" w:color="auto" w:fill="FFFFFF"/>
          </w:tcPr>
          <w:p>
            <w:pPr>
              <w:spacing w:before="30" w:after="30" w:line="240" w:lineRule="auto"/>
            </w:pPr>
            <w:r/>
            <w:r>
              <w:rPr>
                <w:rFonts w:ascii="Calibri" w:hAnsi="Calibri"/>
                <w:b w:val="0"/>
                <w:sz w:val="16"/>
              </w:rPr>
              <w:t>finn / peter</w:t>
            </w:r>
          </w:p>
        </w:tc>
        <w:tc>
          <w:tcPr>
            <w:tcW w:type="dxa" w:w="2835"/>
            <w:shd w:val="clear" w:color="auto" w:fill="FFFFFF"/>
          </w:tcPr>
          <w:p>
            <w:pPr>
              <w:spacing w:before="30" w:after="30" w:line="240" w:lineRule="auto"/>
            </w:pPr>
            <w:r/>
            <w:r>
              <w:rPr>
                <w:rFonts w:ascii="Calibri" w:hAnsi="Calibri"/>
                <w:b w:val="0"/>
                <w:sz w:val="16"/>
              </w:rPr>
              <w:t>Records survive a restart; a user with no role sees no tasks</w:t>
            </w:r>
          </w:p>
        </w:tc>
        <w:tc>
          <w:tcPr>
            <w:tcW w:type="dxa" w:w="907"/>
            <w:shd w:val="clear" w:color="auto" w:fill="FFFFFF"/>
          </w:tcPr>
          <w:p>
            <w:pPr>
              <w:spacing w:before="30" w:after="30" w:line="240" w:lineRule="auto"/>
            </w:pPr>
            <w:r/>
            <w:r>
              <w:rPr>
                <w:rFonts w:ascii="Calibri" w:hAnsi="Calibri"/>
                <w:b w:val="0"/>
                <w:sz w:val="16"/>
              </w:rPr>
              <w:t>Done</w:t>
            </w:r>
          </w:p>
        </w:tc>
      </w:tr>
      <w:tr>
        <w:tc>
          <w:tcPr>
            <w:tcW w:type="dxa" w:w="964"/>
            <w:shd w:val="clear" w:color="auto" w:fill="F2F6FB"/>
          </w:tcPr>
          <w:p>
            <w:pPr>
              <w:spacing w:before="30" w:after="30" w:line="240" w:lineRule="auto"/>
            </w:pPr>
            <w:r/>
            <w:r>
              <w:rPr>
                <w:rFonts w:ascii="Calibri" w:hAnsi="Calibri"/>
                <w:b w:val="0"/>
                <w:sz w:val="16"/>
              </w:rPr>
              <w:t>S4-24</w:t>
            </w:r>
          </w:p>
        </w:tc>
        <w:tc>
          <w:tcPr>
            <w:tcW w:type="dxa" w:w="3061"/>
            <w:shd w:val="clear" w:color="auto" w:fill="F2F6FB"/>
          </w:tcPr>
          <w:p>
            <w:pPr>
              <w:spacing w:before="30" w:after="30" w:line="240" w:lineRule="auto"/>
            </w:pPr>
            <w:r/>
            <w:r>
              <w:rPr>
                <w:rFonts w:ascii="Calibri" w:hAnsi="Calibri"/>
                <w:b w:val="0"/>
                <w:sz w:val="16"/>
              </w:rPr>
              <w:t>Automated RBAC regression suite</w:t>
            </w:r>
          </w:p>
        </w:tc>
        <w:tc>
          <w:tcPr>
            <w:tcW w:type="dxa" w:w="1417"/>
            <w:shd w:val="clear" w:color="auto" w:fill="F2F6FB"/>
          </w:tcPr>
          <w:p>
            <w:pPr>
              <w:spacing w:before="30" w:after="30" w:line="240" w:lineRule="auto"/>
            </w:pPr>
            <w:r/>
            <w:r>
              <w:rPr>
                <w:rFonts w:ascii="Calibri" w:hAnsi="Calibri"/>
                <w:b w:val="0"/>
                <w:sz w:val="16"/>
              </w:rPr>
              <w:t>peter / finn</w:t>
            </w:r>
          </w:p>
        </w:tc>
        <w:tc>
          <w:tcPr>
            <w:tcW w:type="dxa" w:w="2835"/>
            <w:shd w:val="clear" w:color="auto" w:fill="F2F6FB"/>
          </w:tcPr>
          <w:p>
            <w:pPr>
              <w:spacing w:before="30" w:after="30" w:line="240" w:lineRule="auto"/>
            </w:pPr>
            <w:r/>
            <w:r>
              <w:rPr>
                <w:rFonts w:ascii="Calibri" w:hAnsi="Calibri"/>
                <w:b w:val="0"/>
                <w:sz w:val="16"/>
              </w:rPr>
              <w:t>Role and audit checks run without manual inspection</w:t>
            </w:r>
          </w:p>
        </w:tc>
        <w:tc>
          <w:tcPr>
            <w:tcW w:type="dxa" w:w="907"/>
            <w:shd w:val="clear" w:color="auto" w:fill="FDF6E7"/>
          </w:tcPr>
          <w:p>
            <w:pPr>
              <w:spacing w:before="30" w:after="30" w:line="240" w:lineRule="auto"/>
            </w:pPr>
            <w:r/>
            <w:r>
              <w:rPr>
                <w:rFonts w:ascii="Calibri" w:hAnsi="Calibri"/>
                <w:b/>
                <w:color w:val="B03A2E"/>
                <w:sz w:val="16"/>
              </w:rPr>
              <w:t>Not done — capacity</w:t>
            </w:r>
          </w:p>
        </w:tc>
      </w:tr>
    </w:tbl>
    <w:p>
      <w:pPr>
        <w:spacing w:before="60" w:after="160"/>
      </w:pPr>
      <w:r>
        <w:rPr>
          <w:i/>
          <w:color w:val="595959"/>
          <w:sz w:val="16"/>
        </w:rPr>
        <w:t>Table 6. Selected second-release items. S4-24 is the only item on this list not delivered; the reason and its consequence are in section 5.4 and in the feedback response record.</w:t>
      </w:r>
    </w:p>
    <w:p>
      <w:pPr>
        <w:spacing w:after="100"/>
      </w:pPr>
      <w:r>
        <w:rPr>
          <w:b w:val="0"/>
          <w:i w:val="0"/>
          <w:sz w:val="20"/>
        </w:rPr>
        <w:t>Two handovers are recorded in the task records rather than only in conversation. The traceability table moved from max to henry at SU1, which is why it finished in Sprint 2 rather than Sprint 1. The acceptance evidence moved to finn as second owner at SU2 when peter's blocker closed. Both are visible in the owner columns above.</w:t>
      </w:r>
    </w:p>
    <w:p>
      <w:pPr>
        <w:pStyle w:val="Heading2"/>
      </w:pPr>
      <w:r>
        <w:t xml:space="preserve">4.3  Standups SU3 and SU4 (individual records)</w:t>
      </w:r>
    </w:p>
    <w:p>
      <w:pPr>
        <w:spacing w:after="100"/>
      </w:pPr>
      <w:r>
        <w:rPr>
          <w:b w:val="0"/>
          <w:i w:val="0"/>
          <w:sz w:val="20"/>
        </w:rPr>
        <w:t xml:space="preserve">The two marked standups of this submission are recorded below in the form the specification asks for: what each member reported as complete, the next action they committed to, and any blocker, dependency or handover. Both standups served both units; the substance, not the attendance, is what was marked.</w:t>
      </w:r>
    </w:p>
    <w:p>
      <w:pPr>
        <w:spacing w:after="100"/>
      </w:pPr>
      <w:r>
        <w:rPr>
          <w:b w:val="0"/>
          <w:i w:val="0"/>
          <w:sz w:val="20"/>
        </w:rPr>
        <w:t xml:space="preserve">SU3 - 15 October 2026, 09:30</w:t>
      </w:r>
    </w:p>
    <w:p>
      <w:pPr>
        <w:pStyle w:val="ListBullet"/>
        <w:spacing w:after="100"/>
      </w:pPr>
      <w:r>
        <w:rPr>
          <w:b w:val="0"/>
          <w:i w:val="0"/>
          <w:sz w:val="20"/>
        </w:rPr>
        <w:t xml:space="preserve">max. Complete: the level 1 landscape (24 nodes, 7 external participants) and a draft abstraction note. Next: the six-lane referral-to-authorisation model and the strategic-to-operational map. Blocker: the external participant names depend on finn's actor list. Handover: henry is second owner on the landscape file.</w:t>
      </w:r>
    </w:p>
    <w:p>
      <w:pPr>
        <w:pStyle w:val="ListBullet"/>
        <w:spacing w:after="100"/>
      </w:pPr>
      <w:r>
        <w:rPr>
          <w:b w:val="0"/>
          <w:i w:val="0"/>
          <w:sz w:val="20"/>
        </w:rPr>
        <w:t xml:space="preserve">finn. Complete: draft SD model, 12 actors and 27 typed dependencies, rendered from the model source. Next: SR decompositions and the soft goals. Blocker: the renderer still misplaces the resource-dependency arrowhead, so the SVG export is held. Handover: henry is second owner on the SR work.</w:t>
      </w:r>
    </w:p>
    <w:p>
      <w:pPr>
        <w:pStyle w:val="ListBullet"/>
        <w:spacing w:after="100"/>
      </w:pPr>
      <w:r>
        <w:rPr>
          <w:b w:val="0"/>
          <w:i w:val="0"/>
          <w:sz w:val="20"/>
        </w:rPr>
        <w:t xml:space="preserve">henry. Complete: the requirement list closed at 44 identifiers with a source sentence each; traceability at 35 of 44 rows. Next: close the nine open rows, then draft the alignment narrative. Blocker: the open rows are the non-functional requirements, which cannot be closed until the model boundary is agreed. Handover: max is second owner on the traceability table.</w:t>
      </w:r>
    </w:p>
    <w:p>
      <w:pPr>
        <w:pStyle w:val="ListBullet"/>
        <w:spacing w:after="100"/>
      </w:pPr>
      <w:r>
        <w:rPr>
          <w:b w:val="0"/>
          <w:i w:val="0"/>
          <w:sz w:val="20"/>
        </w:rPr>
        <w:t xml:space="preserve">peter. Complete: the revised criteria table with the original wording retained, and a repeatable lint and audit export. Next: run the lint audit over the three strategic files and prepare the SR3 acceptance slide. Blocker: one Camunda 8 error remains - a message boundary event without a subscription correlation key - proposed as a Sprint 4 item rather than patched mid-sprint.</w:t>
      </w:r>
    </w:p>
    <w:p>
      <w:pPr>
        <w:spacing w:after="100"/>
      </w:pPr>
      <w:r>
        <w:rPr>
          <w:b w:val="0"/>
          <w:i w:val="0"/>
          <w:sz w:val="20"/>
        </w:rPr>
        <w:t xml:space="preserve">SU4 - 21 October 2026, 09:30</w:t>
      </w:r>
    </w:p>
    <w:p>
      <w:pPr>
        <w:pStyle w:val="ListBullet"/>
        <w:spacing w:after="100"/>
      </w:pPr>
      <w:r>
        <w:rPr>
          <w:b w:val="0"/>
          <w:i w:val="0"/>
          <w:sz w:val="20"/>
        </w:rPr>
        <w:t xml:space="preserve">max. Complete: the three-fragment integration into one model family, the message-flow register and the correlation-key fix. Next: the abstraction note and the final exports. Dependency: the exports are not declared final until peter's lint result is in. Handover: henry is second owner on the abstraction note.</w:t>
      </w:r>
    </w:p>
    <w:p>
      <w:pPr>
        <w:pStyle w:val="ListBullet"/>
        <w:spacing w:after="100"/>
      </w:pPr>
      <w:r>
        <w:rPr>
          <w:b w:val="0"/>
          <w:i w:val="0"/>
          <w:sz w:val="20"/>
        </w:rPr>
        <w:t xml:space="preserve">finn. Complete: SD v1.0 (16 actors, 40 typed dependencies), the soft goals with their conflicts recorded, and the assumptions reconciled. Next: finish SR coverage and co-sign the SD/SR consistency checklist. Dependency: the alignment evaluation needs the final SD element identifiers.</w:t>
      </w:r>
    </w:p>
    <w:p>
      <w:pPr>
        <w:pStyle w:val="ListBullet"/>
        <w:spacing w:after="100"/>
      </w:pPr>
      <w:r>
        <w:rPr>
          <w:b w:val="0"/>
          <w:i w:val="0"/>
          <w:sz w:val="20"/>
        </w:rPr>
        <w:t xml:space="preserve">henry. Complete: traceability complete at 44 identifiers - 28 fully supported, 12 partly, 2 not supported, 2 out of scope - each with a strategic activity and an implementation artefact; the ten prioritised improvements; portfolio assembly started. Next: the alignment narrative, then the hand-in check. Blocker: assembly needs the frozen i* PDFs and the final exports.</w:t>
      </w:r>
    </w:p>
    <w:p>
      <w:pPr>
        <w:pStyle w:val="ListBullet"/>
        <w:spacing w:after="100"/>
      </w:pPr>
      <w:r>
        <w:rPr>
          <w:b w:val="0"/>
          <w:i w:val="0"/>
          <w:sz w:val="20"/>
        </w:rPr>
        <w:t xml:space="preserve">peter. Complete: deployment and re-validation of all four models, and execution of the acceptance cases. Next: the criteria quality check and the change log, then the hand-in check. Blocker resolved: deployment found three XSD sequence violations and the form-binding defect, and all four were fixed and re-verified. Handover: finn is second owner on the test evidence.</w:t>
      </w:r>
    </w:p>
    <w:p>
      <w:pPr>
        <w:spacing w:after="100"/>
      </w:pPr>
      <w:r>
        <w:rPr>
          <w:b w:val="0"/>
          <w:i w:val="0"/>
          <w:sz w:val="20"/>
        </w:rPr>
        <w:t xml:space="preserve">What the two standups changed. The traceability table moved from max to henry at SU3 and finished in Sprint 2 rather than Sprint 1. The acceptance evidence moved to finn as second owner at SU4 when peter's blocker closed. The urgency question was raised at both standups and did not move, so it was re-scoped as a dependency on a decision the hospital has not made rather than carried as open work. Both handovers are visible in the first- and second-owner columns of section 4.</w:t>
      </w:r>
    </w:p>
    <w:p>
      <w:pPr>
        <w:pStyle w:val="Heading1"/>
      </w:pPr>
      <w:r>
        <w:t>5  Sprint reviews</w:t>
      </w:r>
    </w:p>
    <w:p>
      <w:pPr>
        <w:spacing w:after="100"/>
      </w:pPr>
      <w:r>
        <w:rPr>
          <w:b w:val="0"/>
          <w:i w:val="0"/>
          <w:sz w:val="20"/>
        </w:rPr>
        <w:t>Four reviews, each marked against the increment available on the day. The specification is explicit that later improvements do not retrospectively replace those marks, so nothing in this section has been written back from what the repository looks like now.</w:t>
      </w:r>
    </w:p>
    <w:p>
      <w:pPr>
        <w:pStyle w:val="Heading2"/>
      </w:pPr>
      <w:r>
        <w:t>5.1  SR1 — 17 September 2026</w:t>
      </w:r>
    </w:p>
    <w:p>
      <w:pPr>
        <w:spacing w:after="100"/>
      </w:pPr>
      <w:r>
        <w:rPr>
          <w:b w:val="0"/>
          <w:i w:val="0"/>
          <w:sz w:val="20"/>
        </w:rPr>
        <w:t>Presented: sr1, seven files. The model opened, linted cleanly in the Modeler and deployed as a single definition. There were no forms and no worker code, so nothing beyond the model could be demonstrated.</w:t>
      </w:r>
    </w:p>
    <w:p>
      <w:pPr>
        <w:spacing w:after="100"/>
      </w:pPr>
      <w:r>
        <w:rPr>
          <w:b w:val="0"/>
          <w:i w:val="0"/>
          <w:sz w:val="20"/>
        </w:rPr>
        <w:t>Against the goal: partially met. The executable increment existed and the plan existed as a product backlog plus two sprint backlogs. Configuration management existed as commits and nothing else — no tags, a gap since closed by tagging sr1 and sr2 so both reviews can be reopened as they were.</w:t>
      </w:r>
    </w:p>
    <w:p>
      <w:pPr>
        <w:spacing w:after="60"/>
      </w:pPr>
      <w:r>
        <w:rPr>
          <w:b w:val="0"/>
          <w:i w:val="0"/>
          <w:sz w:val="20"/>
        </w:rPr>
        <w:t>Three decisions taken on the day:</w:t>
      </w:r>
    </w:p>
    <w:p>
      <w:pPr>
        <w:pStyle w:val="ListBullet"/>
        <w:spacing w:after="50"/>
      </w:pPr>
      <w:r>
        <w:rPr>
          <w:sz w:val="20"/>
        </w:rPr>
        <w:t>Split the pathway across three strategic views and one merged operational model rather than one large diagram.</w:t>
      </w:r>
    </w:p>
    <w:p>
      <w:pPr>
        <w:pStyle w:val="ListBullet"/>
        <w:spacing w:after="50"/>
      </w:pPr>
      <w:r>
        <w:rPr>
          <w:sz w:val="20"/>
        </w:rPr>
        <w:t>Keep the original acceptance criteria next to any revision, so a later improvement cannot quietly hide an earlier failure.</w:t>
      </w:r>
    </w:p>
    <w:p>
      <w:pPr>
        <w:pStyle w:val="ListBullet"/>
        <w:spacing w:after="50"/>
      </w:pPr>
      <w:r>
        <w:rPr>
          <w:sz w:val="20"/>
        </w:rPr>
        <w:t>Treat the pool-naming defect as a rebuild of the model family rather than a patch.</w:t>
      </w:r>
    </w:p>
    <w:p>
      <w:pPr>
        <w:pStyle w:val="Heading2"/>
      </w:pPr>
      <w:r>
        <w:t>5.2  SR2 — 28 September 2026</w:t>
      </w:r>
    </w:p>
    <w:p>
      <w:pPr>
        <w:spacing w:after="100"/>
      </w:pPr>
      <w:r>
        <w:rPr>
          <w:b w:val="0"/>
          <w:i w:val="0"/>
          <w:sz w:val="20"/>
        </w:rPr>
        <w:t>Presented: sr2, 318 files. Four models, 68 forms, thirty worker source files and the acceptance evidence. The operational model was driven from the start message to a confirmed treatment schedule with the fleet running, and a second instance was opened on the declined-payment path to show a failure branch rather than describe one.</w:t>
      </w:r>
    </w:p>
    <w:p>
      <w:pPr>
        <w:spacing w:after="100"/>
      </w:pPr>
      <w:r>
        <w:rPr>
          <w:b w:val="0"/>
          <w:i w:val="0"/>
          <w:sz w:val="20"/>
        </w:rPr>
        <w:t>Against the goal: two of three parts complete. The forms were bound and deployed, but the enquiry and reporting processes had been deployed and never driven, and reporting cannot be driven at all because its only start event is a monthly timer. There was no role-based access control and no persisted store at that point.</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94"/>
            <w:shd w:val="clear" w:color="auto" w:fill="2E74B5"/>
          </w:tcPr>
          <w:p>
            <w:pPr>
              <w:spacing w:before="30" w:after="30" w:line="240" w:lineRule="auto"/>
            </w:pPr>
            <w:r/>
            <w:r>
              <w:rPr>
                <w:rFonts w:ascii="Calibri" w:hAnsi="Calibri"/>
                <w:b/>
                <w:color w:val="FFFFFF"/>
                <w:sz w:val="16"/>
              </w:rPr>
              <w:t>Point raised</w:t>
            </w:r>
          </w:p>
        </w:tc>
        <w:tc>
          <w:tcPr>
            <w:tcW w:type="dxa" w:w="3458"/>
            <w:shd w:val="clear" w:color="auto" w:fill="2E74B5"/>
          </w:tcPr>
          <w:p>
            <w:pPr>
              <w:spacing w:before="30" w:after="30" w:line="240" w:lineRule="auto"/>
            </w:pPr>
            <w:r/>
            <w:r>
              <w:rPr>
                <w:rFonts w:ascii="Calibri" w:hAnsi="Calibri"/>
                <w:b/>
                <w:color w:val="FFFFFF"/>
                <w:sz w:val="16"/>
              </w:rPr>
              <w:t>Agreed response</w:t>
            </w:r>
          </w:p>
        </w:tc>
        <w:tc>
          <w:tcPr>
            <w:tcW w:type="dxa" w:w="1928"/>
            <w:shd w:val="clear" w:color="auto" w:fill="2E74B5"/>
          </w:tcPr>
          <w:p>
            <w:pPr>
              <w:spacing w:before="30" w:after="30" w:line="240" w:lineRule="auto"/>
            </w:pPr>
            <w:r/>
            <w:r>
              <w:rPr>
                <w:rFonts w:ascii="Calibri" w:hAnsi="Calibri"/>
                <w:b/>
                <w:color w:val="FFFFFF"/>
                <w:sz w:val="16"/>
              </w:rPr>
              <w:t>Backlog change</w:t>
            </w:r>
          </w:p>
        </w:tc>
        <w:tc>
          <w:tcPr>
            <w:tcW w:type="dxa" w:w="1304"/>
            <w:shd w:val="clear" w:color="auto" w:fill="2E74B5"/>
          </w:tcPr>
          <w:p>
            <w:pPr>
              <w:spacing w:before="30" w:after="30" w:line="240" w:lineRule="auto"/>
            </w:pPr>
            <w:r/>
            <w:r>
              <w:rPr>
                <w:rFonts w:ascii="Calibri" w:hAnsi="Calibri"/>
                <w:b/>
                <w:color w:val="FFFFFF"/>
                <w:sz w:val="16"/>
              </w:rPr>
              <w:t>Owner</w:t>
            </w:r>
          </w:p>
        </w:tc>
      </w:tr>
      <w:tr>
        <w:tc>
          <w:tcPr>
            <w:tcW w:type="dxa" w:w="2494"/>
            <w:shd w:val="clear" w:color="auto" w:fill="F2F6FB"/>
          </w:tcPr>
          <w:p>
            <w:pPr>
              <w:spacing w:before="30" w:after="30" w:line="240" w:lineRule="auto"/>
            </w:pPr>
            <w:r/>
            <w:r>
              <w:rPr>
                <w:rFonts w:ascii="Calibri" w:hAnsi="Calibri"/>
                <w:b w:val="0"/>
                <w:sz w:val="16"/>
              </w:rPr>
              <w:t>Implement database integration to support data persistence</w:t>
            </w:r>
          </w:p>
        </w:tc>
        <w:tc>
          <w:tcPr>
            <w:tcW w:type="dxa" w:w="3458"/>
            <w:shd w:val="clear" w:color="auto" w:fill="F2F6FB"/>
          </w:tcPr>
          <w:p>
            <w:pPr>
              <w:spacing w:before="30" w:after="30" w:line="240" w:lineRule="auto"/>
            </w:pPr>
            <w:r/>
            <w:r>
              <w:rPr>
                <w:rFonts w:ascii="Calibri" w:hAnsi="Calibri"/>
                <w:b w:val="0"/>
                <w:sz w:val="16"/>
              </w:rPr>
              <w:t>Put an embedded store behind the existing store classes so no worker is rewritten; prove it by writing in one process and reading in another</w:t>
            </w:r>
          </w:p>
        </w:tc>
        <w:tc>
          <w:tcPr>
            <w:tcW w:type="dxa" w:w="1928"/>
            <w:shd w:val="clear" w:color="auto" w:fill="F2F6FB"/>
          </w:tcPr>
          <w:p>
            <w:pPr>
              <w:spacing w:before="30" w:after="30" w:line="240" w:lineRule="auto"/>
            </w:pPr>
            <w:r/>
            <w:r>
              <w:rPr>
                <w:rFonts w:ascii="Calibri" w:hAnsi="Calibri"/>
                <w:b w:val="0"/>
                <w:sz w:val="16"/>
              </w:rPr>
              <w:t>New item, first in the next increment</w:t>
            </w:r>
          </w:p>
        </w:tc>
        <w:tc>
          <w:tcPr>
            <w:tcW w:type="dxa" w:w="1304"/>
            <w:shd w:val="clear" w:color="auto" w:fill="F2F6FB"/>
          </w:tcPr>
          <w:p>
            <w:pPr>
              <w:spacing w:before="30" w:after="30" w:line="240" w:lineRule="auto"/>
            </w:pPr>
            <w:r/>
            <w:r>
              <w:rPr>
                <w:rFonts w:ascii="Calibri" w:hAnsi="Calibri"/>
                <w:b w:val="0"/>
                <w:sz w:val="16"/>
              </w:rPr>
              <w:t>finn / henry</w:t>
            </w:r>
          </w:p>
        </w:tc>
      </w:tr>
      <w:tr>
        <w:tc>
          <w:tcPr>
            <w:tcW w:type="dxa" w:w="2494"/>
            <w:shd w:val="clear" w:color="auto" w:fill="FFFFFF"/>
          </w:tcPr>
          <w:p>
            <w:pPr>
              <w:spacing w:before="30" w:after="30" w:line="240" w:lineRule="auto"/>
            </w:pPr>
            <w:r/>
            <w:r>
              <w:rPr>
                <w:rFonts w:ascii="Calibri" w:hAnsi="Calibri"/>
                <w:b w:val="0"/>
                <w:sz w:val="16"/>
              </w:rPr>
              <w:t>Implement role-based access control</w:t>
            </w:r>
          </w:p>
        </w:tc>
        <w:tc>
          <w:tcPr>
            <w:tcW w:type="dxa" w:w="3458"/>
            <w:shd w:val="clear" w:color="auto" w:fill="FFFFFF"/>
          </w:tcPr>
          <w:p>
            <w:pPr>
              <w:spacing w:before="30" w:after="30" w:line="240" w:lineRule="auto"/>
            </w:pPr>
            <w:r/>
            <w:r>
              <w:rPr>
                <w:rFonts w:ascii="Calibri" w:hAnsi="Calibri"/>
                <w:b w:val="0"/>
                <w:sz w:val="16"/>
              </w:rPr>
              <w:t>Enable authorisation, create the ten candidate groups and one user per group, verify visibility rather than documenting the design</w:t>
            </w:r>
          </w:p>
        </w:tc>
        <w:tc>
          <w:tcPr>
            <w:tcW w:type="dxa" w:w="1928"/>
            <w:shd w:val="clear" w:color="auto" w:fill="FFFFFF"/>
          </w:tcPr>
          <w:p>
            <w:pPr>
              <w:spacing w:before="30" w:after="30" w:line="240" w:lineRule="auto"/>
            </w:pPr>
            <w:r/>
            <w:r>
              <w:rPr>
                <w:rFonts w:ascii="Calibri" w:hAnsi="Calibri"/>
                <w:b w:val="0"/>
                <w:sz w:val="16"/>
              </w:rPr>
              <w:t>New item; needs a cluster restart to verify</w:t>
            </w:r>
          </w:p>
        </w:tc>
        <w:tc>
          <w:tcPr>
            <w:tcW w:type="dxa" w:w="1304"/>
            <w:shd w:val="clear" w:color="auto" w:fill="FFFFFF"/>
          </w:tcPr>
          <w:p>
            <w:pPr>
              <w:spacing w:before="30" w:after="30" w:line="240" w:lineRule="auto"/>
            </w:pPr>
            <w:r/>
            <w:r>
              <w:rPr>
                <w:rFonts w:ascii="Calibri" w:hAnsi="Calibri"/>
                <w:b w:val="0"/>
                <w:sz w:val="16"/>
              </w:rPr>
              <w:t>peter / finn</w:t>
            </w:r>
          </w:p>
        </w:tc>
      </w:tr>
      <w:tr>
        <w:tc>
          <w:tcPr>
            <w:tcW w:type="dxa" w:w="2494"/>
            <w:shd w:val="clear" w:color="auto" w:fill="F2F6FB"/>
          </w:tcPr>
          <w:p>
            <w:pPr>
              <w:spacing w:before="30" w:after="30" w:line="240" w:lineRule="auto"/>
            </w:pPr>
            <w:r/>
            <w:r>
              <w:rPr>
                <w:rFonts w:ascii="Calibri" w:hAnsi="Calibri"/>
                <w:b w:val="0"/>
                <w:sz w:val="16"/>
              </w:rPr>
              <w:t>Resolve the issues in the BPMN model so that it accurately represents the business process</w:t>
            </w:r>
          </w:p>
        </w:tc>
        <w:tc>
          <w:tcPr>
            <w:tcW w:type="dxa" w:w="3458"/>
            <w:shd w:val="clear" w:color="auto" w:fill="F2F6FB"/>
          </w:tcPr>
          <w:p>
            <w:pPr>
              <w:spacing w:before="30" w:after="30" w:line="240" w:lineRule="auto"/>
            </w:pPr>
            <w:r/>
            <w:r>
              <w:rPr>
                <w:rFonts w:ascii="Calibri" w:hAnsi="Calibri"/>
                <w:b w:val="0"/>
                <w:sz w:val="16"/>
              </w:rPr>
              <w:t>Triage every defect in the fragments, fix at source, re-validate all four models</w:t>
            </w:r>
          </w:p>
        </w:tc>
        <w:tc>
          <w:tcPr>
            <w:tcW w:type="dxa" w:w="1928"/>
            <w:shd w:val="clear" w:color="auto" w:fill="F2F6FB"/>
          </w:tcPr>
          <w:p>
            <w:pPr>
              <w:spacing w:before="30" w:after="30" w:line="240" w:lineRule="auto"/>
            </w:pPr>
            <w:r/>
            <w:r>
              <w:rPr>
                <w:rFonts w:ascii="Calibri" w:hAnsi="Calibri"/>
                <w:b w:val="0"/>
                <w:sz w:val="16"/>
              </w:rPr>
              <w:t>Rebuild item enlarged; each defect gets an ID</w:t>
            </w:r>
          </w:p>
        </w:tc>
        <w:tc>
          <w:tcPr>
            <w:tcW w:type="dxa" w:w="1304"/>
            <w:shd w:val="clear" w:color="auto" w:fill="F2F6FB"/>
          </w:tcPr>
          <w:p>
            <w:pPr>
              <w:spacing w:before="30" w:after="30" w:line="240" w:lineRule="auto"/>
            </w:pPr>
            <w:r/>
            <w:r>
              <w:rPr>
                <w:rFonts w:ascii="Calibri" w:hAnsi="Calibri"/>
                <w:b w:val="0"/>
                <w:sz w:val="16"/>
              </w:rPr>
              <w:t>max / henry</w:t>
            </w:r>
          </w:p>
        </w:tc>
      </w:tr>
      <w:tr>
        <w:tc>
          <w:tcPr>
            <w:tcW w:type="dxa" w:w="2494"/>
            <w:shd w:val="clear" w:color="auto" w:fill="FFFFFF"/>
          </w:tcPr>
          <w:p>
            <w:pPr>
              <w:spacing w:before="30" w:after="30" w:line="240" w:lineRule="auto"/>
            </w:pPr>
            <w:r/>
            <w:r>
              <w:rPr>
                <w:rFonts w:ascii="Calibri" w:hAnsi="Calibri"/>
                <w:b w:val="0"/>
                <w:sz w:val="16"/>
              </w:rPr>
              <w:t>Implement appropriate form validation to prevent missing or invalid inputs</w:t>
            </w:r>
          </w:p>
        </w:tc>
        <w:tc>
          <w:tcPr>
            <w:tcW w:type="dxa" w:w="3458"/>
            <w:shd w:val="clear" w:color="auto" w:fill="FFFFFF"/>
          </w:tcPr>
          <w:p>
            <w:pPr>
              <w:spacing w:before="30" w:after="30" w:line="240" w:lineRule="auto"/>
            </w:pPr>
            <w:r/>
            <w:r>
              <w:rPr>
                <w:rFonts w:ascii="Calibri" w:hAnsi="Calibri"/>
                <w:b w:val="0"/>
                <w:sz w:val="16"/>
              </w:rPr>
              <w:t>Required and format validation on every field a gateway reads, plus the fields the case study says must be recorded</w:t>
            </w:r>
          </w:p>
        </w:tc>
        <w:tc>
          <w:tcPr>
            <w:tcW w:type="dxa" w:w="1928"/>
            <w:shd w:val="clear" w:color="auto" w:fill="FFFFFF"/>
          </w:tcPr>
          <w:p>
            <w:pPr>
              <w:spacing w:before="30" w:after="30" w:line="240" w:lineRule="auto"/>
            </w:pPr>
            <w:r/>
            <w:r>
              <w:rPr>
                <w:rFonts w:ascii="Calibri" w:hAnsi="Calibri"/>
                <w:b w:val="0"/>
                <w:sz w:val="16"/>
              </w:rPr>
              <w:t>New item</w:t>
            </w:r>
          </w:p>
        </w:tc>
        <w:tc>
          <w:tcPr>
            <w:tcW w:type="dxa" w:w="1304"/>
            <w:shd w:val="clear" w:color="auto" w:fill="FFFFFF"/>
          </w:tcPr>
          <w:p>
            <w:pPr>
              <w:spacing w:before="30" w:after="30" w:line="240" w:lineRule="auto"/>
            </w:pPr>
            <w:r/>
            <w:r>
              <w:rPr>
                <w:rFonts w:ascii="Calibri" w:hAnsi="Calibri"/>
                <w:b w:val="0"/>
                <w:sz w:val="16"/>
              </w:rPr>
              <w:t>peter / henry</w:t>
            </w:r>
          </w:p>
        </w:tc>
      </w:tr>
      <w:tr>
        <w:tc>
          <w:tcPr>
            <w:tcW w:type="dxa" w:w="2494"/>
            <w:shd w:val="clear" w:color="auto" w:fill="F2F6FB"/>
          </w:tcPr>
          <w:p>
            <w:pPr>
              <w:spacing w:before="30" w:after="30" w:line="240" w:lineRule="auto"/>
            </w:pPr>
            <w:r/>
            <w:r>
              <w:rPr>
                <w:rFonts w:ascii="Calibri" w:hAnsi="Calibri"/>
                <w:b w:val="0"/>
                <w:sz w:val="16"/>
              </w:rPr>
              <w:t>Use appropriate input field types for the data being collected</w:t>
            </w:r>
          </w:p>
        </w:tc>
        <w:tc>
          <w:tcPr>
            <w:tcW w:type="dxa" w:w="3458"/>
            <w:shd w:val="clear" w:color="auto" w:fill="F2F6FB"/>
          </w:tcPr>
          <w:p>
            <w:pPr>
              <w:spacing w:before="30" w:after="30" w:line="240" w:lineRule="auto"/>
            </w:pPr>
            <w:r/>
            <w:r>
              <w:rPr>
                <w:rFonts w:ascii="Calibri" w:hAnsi="Calibri"/>
                <w:b w:val="0"/>
                <w:sz w:val="16"/>
              </w:rPr>
              <w:t>Audit every form against the gateway it feeds and replace free text with selects and numbers wherever the process compares a fixed value</w:t>
            </w:r>
          </w:p>
        </w:tc>
        <w:tc>
          <w:tcPr>
            <w:tcW w:type="dxa" w:w="1928"/>
            <w:shd w:val="clear" w:color="auto" w:fill="F2F6FB"/>
          </w:tcPr>
          <w:p>
            <w:pPr>
              <w:spacing w:before="30" w:after="30" w:line="240" w:lineRule="auto"/>
            </w:pPr>
            <w:r/>
            <w:r>
              <w:rPr>
                <w:rFonts w:ascii="Calibri" w:hAnsi="Calibri"/>
                <w:b w:val="0"/>
                <w:sz w:val="16"/>
              </w:rPr>
              <w:t>New item; the audit feeds the change log</w:t>
            </w:r>
          </w:p>
        </w:tc>
        <w:tc>
          <w:tcPr>
            <w:tcW w:type="dxa" w:w="1304"/>
            <w:shd w:val="clear" w:color="auto" w:fill="F2F6FB"/>
          </w:tcPr>
          <w:p>
            <w:pPr>
              <w:spacing w:before="30" w:after="30" w:line="240" w:lineRule="auto"/>
            </w:pPr>
            <w:r/>
            <w:r>
              <w:rPr>
                <w:rFonts w:ascii="Calibri" w:hAnsi="Calibri"/>
                <w:b w:val="0"/>
                <w:sz w:val="16"/>
              </w:rPr>
              <w:t>peter / finn</w:t>
            </w:r>
          </w:p>
        </w:tc>
      </w:tr>
    </w:tbl>
    <w:p>
      <w:pPr>
        <w:spacing w:before="60" w:after="160"/>
      </w:pPr>
      <w:r>
        <w:rPr>
          <w:i/>
          <w:color w:val="595959"/>
          <w:sz w:val="16"/>
        </w:rPr>
        <w:t>Table 7. SR2 feedback and the backlog change it produced. Recorded as FB-01 to FB-05 in the portfolio's feedback action record.</w:t>
      </w:r>
    </w:p>
    <w:p>
      <w:pPr>
        <w:pStyle w:val="Heading2"/>
      </w:pPr>
      <w:r>
        <w:t>5.3  SR3 — 19 October 2026</w:t>
      </w:r>
    </w:p>
    <w:p>
      <w:pPr>
        <w:spacing w:after="100"/>
      </w:pPr>
      <w:r>
        <w:rPr>
          <w:b w:val="0"/>
          <w:i w:val="0"/>
          <w:sz w:val="20"/>
        </w:rPr>
        <w:t>Presented: v0.9. Draft level 1 and level 2 strategic models, a draft SD model, the first traceability table and the revised acceptance criteria.</w:t>
      </w:r>
    </w:p>
    <w:p>
      <w:pPr>
        <w:spacing w:after="100"/>
      </w:pPr>
      <w:r>
        <w:rPr>
          <w:b w:val="0"/>
          <w:i w:val="0"/>
          <w:sz w:val="20"/>
        </w:rPr>
        <w:t>Against the goal: three of six goals met. The strategic models and the draft SD model were complete; the SR model, the alignment narrative and the acceptance evidence were not. This is the single largest delivery difference in the project and it is analysed in section 7.</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4762"/>
            <w:shd w:val="clear" w:color="auto" w:fill="2E74B5"/>
          </w:tcPr>
          <w:p>
            <w:pPr>
              <w:spacing w:before="30" w:after="30" w:line="240" w:lineRule="auto"/>
            </w:pPr>
            <w:r/>
            <w:r>
              <w:rPr>
                <w:rFonts w:ascii="Calibri" w:hAnsi="Calibri"/>
                <w:b/>
                <w:color w:val="FFFFFF"/>
                <w:sz w:val="16"/>
              </w:rPr>
              <w:t>Decision taken at SR3</w:t>
            </w:r>
          </w:p>
        </w:tc>
        <w:tc>
          <w:tcPr>
            <w:tcW w:type="dxa" w:w="4706"/>
            <w:shd w:val="clear" w:color="auto" w:fill="2E74B5"/>
          </w:tcPr>
          <w:p>
            <w:pPr>
              <w:spacing w:before="30" w:after="30" w:line="240" w:lineRule="auto"/>
            </w:pPr>
            <w:r/>
            <w:r>
              <w:rPr>
                <w:rFonts w:ascii="Calibri" w:hAnsi="Calibri"/>
                <w:b/>
                <w:color w:val="FFFFFF"/>
                <w:sz w:val="16"/>
              </w:rPr>
              <w:t>Consequence</w:t>
            </w:r>
          </w:p>
        </w:tc>
      </w:tr>
      <w:tr>
        <w:tc>
          <w:tcPr>
            <w:tcW w:type="dxa" w:w="4762"/>
            <w:shd w:val="clear" w:color="auto" w:fill="F2F6FB"/>
          </w:tcPr>
          <w:p>
            <w:pPr>
              <w:spacing w:before="30" w:after="30" w:line="240" w:lineRule="auto"/>
            </w:pPr>
            <w:r/>
            <w:r>
              <w:rPr>
                <w:rFonts w:ascii="Calibri" w:hAnsi="Calibri"/>
                <w:b w:val="0"/>
                <w:sz w:val="16"/>
              </w:rPr>
              <w:t>Split the strategic view across three models rather than one, and document the abstraction level explicitly</w:t>
            </w:r>
          </w:p>
        </w:tc>
        <w:tc>
          <w:tcPr>
            <w:tcW w:type="dxa" w:w="4706"/>
            <w:shd w:val="clear" w:color="auto" w:fill="F2F6FB"/>
          </w:tcPr>
          <w:p>
            <w:pPr>
              <w:spacing w:before="30" w:after="30" w:line="240" w:lineRule="auto"/>
            </w:pPr>
            <w:r/>
            <w:r>
              <w:rPr>
                <w:rFonts w:ascii="Calibri" w:hAnsi="Calibri"/>
                <w:b w:val="0"/>
                <w:sz w:val="16"/>
              </w:rPr>
              <w:t>The abstraction note became a prerequisite for all later modelling work, which cost Sprint 3 its first half</w:t>
            </w:r>
          </w:p>
        </w:tc>
      </w:tr>
      <w:tr>
        <w:tc>
          <w:tcPr>
            <w:tcW w:type="dxa" w:w="4762"/>
            <w:shd w:val="clear" w:color="auto" w:fill="FFFFFF"/>
          </w:tcPr>
          <w:p>
            <w:pPr>
              <w:spacing w:before="30" w:after="30" w:line="240" w:lineRule="auto"/>
            </w:pPr>
            <w:r/>
            <w:r>
              <w:rPr>
                <w:rFonts w:ascii="Calibri" w:hAnsi="Calibri"/>
                <w:b w:val="0"/>
                <w:sz w:val="16"/>
              </w:rPr>
              <w:t>Retain the original acceptance criteria alongside the revisions</w:t>
            </w:r>
          </w:p>
        </w:tc>
        <w:tc>
          <w:tcPr>
            <w:tcW w:type="dxa" w:w="4706"/>
            <w:shd w:val="clear" w:color="auto" w:fill="FFFFFF"/>
          </w:tcPr>
          <w:p>
            <w:pPr>
              <w:spacing w:before="30" w:after="30" w:line="240" w:lineRule="auto"/>
            </w:pPr>
            <w:r/>
            <w:r>
              <w:rPr>
                <w:rFonts w:ascii="Calibri" w:hAnsi="Calibri"/>
                <w:b w:val="0"/>
                <w:sz w:val="16"/>
              </w:rPr>
              <w:t>The evaluation can show original failures and revisions side by side instead of replacing one with the other</w:t>
            </w:r>
          </w:p>
        </w:tc>
      </w:tr>
      <w:tr>
        <w:tc>
          <w:tcPr>
            <w:tcW w:type="dxa" w:w="4762"/>
            <w:shd w:val="clear" w:color="auto" w:fill="F2F6FB"/>
          </w:tcPr>
          <w:p>
            <w:pPr>
              <w:spacing w:before="30" w:after="30" w:line="240" w:lineRule="auto"/>
            </w:pPr>
            <w:r/>
            <w:r>
              <w:rPr>
                <w:rFonts w:ascii="Calibri" w:hAnsi="Calibri"/>
                <w:b w:val="0"/>
                <w:sz w:val="16"/>
              </w:rPr>
              <w:t>Treat the pool-naming inconsistency as a defect to fix by rebuild rather than by patch</w:t>
            </w:r>
          </w:p>
        </w:tc>
        <w:tc>
          <w:tcPr>
            <w:tcW w:type="dxa" w:w="4706"/>
            <w:shd w:val="clear" w:color="auto" w:fill="F2F6FB"/>
          </w:tcPr>
          <w:p>
            <w:pPr>
              <w:spacing w:before="30" w:after="30" w:line="240" w:lineRule="auto"/>
            </w:pPr>
            <w:r/>
            <w:r>
              <w:rPr>
                <w:rFonts w:ascii="Calibri" w:hAnsi="Calibri"/>
                <w:b w:val="0"/>
                <w:sz w:val="16"/>
              </w:rPr>
              <w:t>S4-05 was created as a two-owner item; it is the largest single item in Sprint 4</w:t>
            </w:r>
          </w:p>
        </w:tc>
      </w:tr>
    </w:tbl>
    <w:p>
      <w:pPr>
        <w:spacing w:before="60" w:after="160"/>
      </w:pPr>
      <w:r>
        <w:rPr>
          <w:i/>
          <w:color w:val="595959"/>
          <w:sz w:val="16"/>
        </w:rPr>
        <w:t>Table 8. SR3 decisions and what each one cost or bought. Taken from the sprint review notes.</w:t>
      </w:r>
    </w:p>
    <w:p>
      <w:pPr>
        <w:pStyle w:val="Heading2"/>
      </w:pPr>
      <w:r>
        <w:t>5.4  SR4 — 22 October 2026</w:t>
      </w:r>
    </w:p>
    <w:p>
      <w:pPr>
        <w:spacing w:after="100"/>
      </w:pPr>
      <w:r>
        <w:rPr>
          <w:b/>
          <w:i w:val="0"/>
          <w:sz w:val="20"/>
        </w:rPr>
        <w:t>Status at the time of writing: scheduled. The review falls on the submission date, so this record lists what will be presented and is completed at the session rather than before it. Nothing below asserts an outcome that has not happened.</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4535"/>
            <w:shd w:val="clear" w:color="auto" w:fill="2E74B5"/>
          </w:tcPr>
          <w:p>
            <w:pPr>
              <w:spacing w:before="30" w:after="30" w:line="240" w:lineRule="auto"/>
            </w:pPr>
            <w:r/>
            <w:r>
              <w:rPr>
                <w:rFonts w:ascii="Calibri" w:hAnsi="Calibri"/>
                <w:b/>
                <w:color w:val="FFFFFF"/>
                <w:sz w:val="16"/>
              </w:rPr>
              <w:t>To be presented</w:t>
            </w:r>
          </w:p>
        </w:tc>
        <w:tc>
          <w:tcPr>
            <w:tcW w:type="dxa" w:w="4932"/>
            <w:shd w:val="clear" w:color="auto" w:fill="2E74B5"/>
          </w:tcPr>
          <w:p>
            <w:pPr>
              <w:spacing w:before="30" w:after="30" w:line="240" w:lineRule="auto"/>
            </w:pPr>
            <w:r/>
            <w:r>
              <w:rPr>
                <w:rFonts w:ascii="Calibri" w:hAnsi="Calibri"/>
                <w:b/>
                <w:color w:val="FFFFFF"/>
                <w:sz w:val="16"/>
              </w:rPr>
              <w:t>Evidence it will be checked against</w:t>
            </w:r>
          </w:p>
        </w:tc>
      </w:tr>
      <w:tr>
        <w:tc>
          <w:tcPr>
            <w:tcW w:type="dxa" w:w="4535"/>
            <w:shd w:val="clear" w:color="auto" w:fill="F2F6FB"/>
          </w:tcPr>
          <w:p>
            <w:pPr>
              <w:spacing w:before="30" w:after="30" w:line="240" w:lineRule="auto"/>
            </w:pPr>
            <w:r/>
            <w:r>
              <w:rPr>
                <w:rFonts w:ascii="Calibri" w:hAnsi="Calibri"/>
                <w:b w:val="0"/>
                <w:sz w:val="16"/>
              </w:rPr>
              <w:t>The five changes with before-and-after comparison against sr2</w:t>
            </w:r>
          </w:p>
        </w:tc>
        <w:tc>
          <w:tcPr>
            <w:tcW w:type="dxa" w:w="4932"/>
            <w:shd w:val="clear" w:color="auto" w:fill="F2F6FB"/>
          </w:tcPr>
          <w:p>
            <w:pPr>
              <w:spacing w:before="30" w:after="30" w:line="240" w:lineRule="auto"/>
            </w:pPr>
            <w:r/>
            <w:r>
              <w:rPr>
                <w:rFonts w:ascii="Calibri" w:hAnsi="Calibri"/>
                <w:b w:val="0"/>
                <w:sz w:val="16"/>
              </w:rPr>
              <w:t>Slide 6 to 12; defect log DEF-17 to DEF-21; form field change log</w:t>
            </w:r>
          </w:p>
        </w:tc>
      </w:tr>
      <w:tr>
        <w:tc>
          <w:tcPr>
            <w:tcW w:type="dxa" w:w="4535"/>
            <w:shd w:val="clear" w:color="auto" w:fill="FFFFFF"/>
          </w:tcPr>
          <w:p>
            <w:pPr>
              <w:spacing w:before="30" w:after="30" w:line="240" w:lineRule="auto"/>
            </w:pPr>
            <w:r/>
            <w:r>
              <w:rPr>
                <w:rFonts w:ascii="Calibri" w:hAnsi="Calibri"/>
                <w:b w:val="0"/>
                <w:sz w:val="16"/>
              </w:rPr>
              <w:t>Role-based access, verified rather than designed</w:t>
            </w:r>
          </w:p>
        </w:tc>
        <w:tc>
          <w:tcPr>
            <w:tcW w:type="dxa" w:w="4932"/>
            <w:shd w:val="clear" w:color="auto" w:fill="FFFFFF"/>
          </w:tcPr>
          <w:p>
            <w:pPr>
              <w:spacing w:before="30" w:after="30" w:line="240" w:lineRule="auto"/>
            </w:pPr>
            <w:r/>
            <w:r>
              <w:rPr>
                <w:rFonts w:ascii="Calibri" w:hAnsi="Calibri"/>
                <w:b w:val="0"/>
                <w:sz w:val="16"/>
              </w:rPr>
              <w:t>rbac/task-visibility.json: 0 tasks without a role, 785 with; 0 failures</w:t>
            </w:r>
          </w:p>
        </w:tc>
      </w:tr>
      <w:tr>
        <w:tc>
          <w:tcPr>
            <w:tcW w:type="dxa" w:w="4535"/>
            <w:shd w:val="clear" w:color="auto" w:fill="F2F6FB"/>
          </w:tcPr>
          <w:p>
            <w:pPr>
              <w:spacing w:before="30" w:after="30" w:line="240" w:lineRule="auto"/>
            </w:pPr>
            <w:r/>
            <w:r>
              <w:rPr>
                <w:rFonts w:ascii="Calibri" w:hAnsi="Calibri"/>
                <w:b w:val="0"/>
                <w:sz w:val="16"/>
              </w:rPr>
              <w:t>Persistence across two JVMs</w:t>
            </w:r>
          </w:p>
        </w:tc>
        <w:tc>
          <w:tcPr>
            <w:tcW w:type="dxa" w:w="4932"/>
            <w:shd w:val="clear" w:color="auto" w:fill="F2F6FB"/>
          </w:tcPr>
          <w:p>
            <w:pPr>
              <w:spacing w:before="30" w:after="30" w:line="240" w:lineRule="auto"/>
            </w:pPr>
            <w:r/>
            <w:r>
              <w:rPr>
                <w:rFonts w:ascii="Calibri" w:hAnsi="Calibri"/>
                <w:b w:val="0"/>
                <w:sz w:val="16"/>
              </w:rPr>
              <w:t>persistence/run-1-write.txt and run-2-read.txt: 7 of 7 checks</w:t>
            </w:r>
          </w:p>
        </w:tc>
      </w:tr>
      <w:tr>
        <w:tc>
          <w:tcPr>
            <w:tcW w:type="dxa" w:w="4535"/>
            <w:shd w:val="clear" w:color="auto" w:fill="FFFFFF"/>
          </w:tcPr>
          <w:p>
            <w:pPr>
              <w:spacing w:before="30" w:after="30" w:line="240" w:lineRule="auto"/>
            </w:pPr>
            <w:r/>
            <w:r>
              <w:rPr>
                <w:rFonts w:ascii="Calibri" w:hAnsi="Calibri"/>
                <w:b w:val="0"/>
                <w:sz w:val="16"/>
              </w:rPr>
              <w:t>The items not delivered, and why</w:t>
            </w:r>
          </w:p>
        </w:tc>
        <w:tc>
          <w:tcPr>
            <w:tcW w:type="dxa" w:w="4932"/>
            <w:shd w:val="clear" w:color="auto" w:fill="FFFFFF"/>
          </w:tcPr>
          <w:p>
            <w:pPr>
              <w:spacing w:before="30" w:after="30" w:line="240" w:lineRule="auto"/>
            </w:pPr>
            <w:r/>
            <w:r>
              <w:rPr>
                <w:rFonts w:ascii="Calibri" w:hAnsi="Calibri"/>
                <w:b w:val="0"/>
                <w:sz w:val="16"/>
              </w:rPr>
              <w:t>S4-24 and the two unimplemented feedback points, with reason and residual risk</w:t>
            </w:r>
          </w:p>
        </w:tc>
      </w:tr>
      <w:tr>
        <w:tc>
          <w:tcPr>
            <w:tcW w:type="dxa" w:w="4535"/>
            <w:shd w:val="clear" w:color="auto" w:fill="F2F6FB"/>
          </w:tcPr>
          <w:p>
            <w:pPr>
              <w:spacing w:before="30" w:after="30" w:line="240" w:lineRule="auto"/>
            </w:pPr>
            <w:r/>
            <w:r>
              <w:rPr>
                <w:rFonts w:ascii="Calibri" w:hAnsi="Calibri"/>
                <w:b w:val="0"/>
                <w:sz w:val="16"/>
              </w:rPr>
              <w:t>Planned against actual for Sprints 3 and 4</w:t>
            </w:r>
          </w:p>
        </w:tc>
        <w:tc>
          <w:tcPr>
            <w:tcW w:type="dxa" w:w="4932"/>
            <w:shd w:val="clear" w:color="auto" w:fill="F2F6FB"/>
          </w:tcPr>
          <w:p>
            <w:pPr>
              <w:spacing w:before="30" w:after="30" w:line="240" w:lineRule="auto"/>
            </w:pPr>
            <w:r/>
            <w:r>
              <w:rPr>
                <w:rFonts w:ascii="Calibri" w:hAnsi="Calibri"/>
                <w:b w:val="0"/>
                <w:sz w:val="16"/>
              </w:rPr>
              <w:t>Section 7 of this pack</w:t>
            </w:r>
          </w:p>
        </w:tc>
      </w:tr>
    </w:tbl>
    <w:p>
      <w:pPr>
        <w:spacing w:before="60" w:after="160"/>
      </w:pPr>
      <w:r>
        <w:rPr>
          <w:i/>
          <w:color w:val="595959"/>
          <w:sz w:val="16"/>
        </w:rPr>
        <w:t>Table 9. SR4 agenda. This table is a plan, not a record, and is replaced with the outcome at the session.</w:t>
      </w:r>
    </w:p>
    <w:p>
      <w:pPr>
        <w:pStyle w:val="Heading1"/>
      </w:pPr>
      <w:r>
        <w:t>6  Risk record</w:t>
      </w:r>
    </w:p>
    <w:p>
      <w:pPr>
        <w:spacing w:after="100"/>
      </w:pPr>
      <w:r>
        <w:rPr>
          <w:b w:val="0"/>
          <w:i w:val="0"/>
          <w:sz w:val="20"/>
        </w:rPr>
        <w:t>The risk register is the Risks &amp; Assumptions sheet of the backlog workbook. The register below is the version reconstructed for this pack: the identifiers are new, but each row records a risk that was raised in a sprint planning session and the outcome column states what actually happened. Three of the first four materialised.</w:t>
      </w:r>
    </w:p>
    <w:p>
      <w:pPr>
        <w:pStyle w:val="Heading2"/>
      </w:pPr>
      <w:r>
        <w:t>6.1  Initial release</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rPr>
          <w:tblHeader w:val="true"/>
        </w:trPr>
        <w:tc>
          <w:tcPr>
            <w:tcW w:type="dxa" w:w="624"/>
            <w:shd w:val="clear" w:color="auto" w:fill="2E74B5"/>
          </w:tcPr>
          <w:p>
            <w:pPr>
              <w:spacing w:before="30" w:after="30" w:line="240" w:lineRule="auto"/>
            </w:pPr>
            <w:r/>
            <w:r>
              <w:rPr>
                <w:rFonts w:ascii="Calibri" w:hAnsi="Calibri"/>
                <w:b/>
                <w:color w:val="FFFFFF"/>
                <w:sz w:val="15"/>
              </w:rPr>
              <w:t>ID</w:t>
            </w:r>
          </w:p>
        </w:tc>
        <w:tc>
          <w:tcPr>
            <w:tcW w:type="dxa" w:w="2041"/>
            <w:shd w:val="clear" w:color="auto" w:fill="2E74B5"/>
          </w:tcPr>
          <w:p>
            <w:pPr>
              <w:spacing w:before="30" w:after="30" w:line="240" w:lineRule="auto"/>
            </w:pPr>
            <w:r/>
            <w:r>
              <w:rPr>
                <w:rFonts w:ascii="Calibri" w:hAnsi="Calibri"/>
                <w:b/>
                <w:color w:val="FFFFFF"/>
                <w:sz w:val="15"/>
              </w:rPr>
              <w:t>Risk</w:t>
            </w:r>
          </w:p>
        </w:tc>
        <w:tc>
          <w:tcPr>
            <w:tcW w:type="dxa" w:w="680"/>
            <w:shd w:val="clear" w:color="auto" w:fill="2E74B5"/>
          </w:tcPr>
          <w:p>
            <w:pPr>
              <w:spacing w:before="30" w:after="30" w:line="240" w:lineRule="auto"/>
            </w:pPr>
            <w:r/>
            <w:r>
              <w:rPr>
                <w:rFonts w:ascii="Calibri" w:hAnsi="Calibri"/>
                <w:b/>
                <w:color w:val="FFFFFF"/>
                <w:sz w:val="15"/>
              </w:rPr>
              <w:t>Chance</w:t>
            </w:r>
          </w:p>
        </w:tc>
        <w:tc>
          <w:tcPr>
            <w:tcW w:type="dxa" w:w="680"/>
            <w:shd w:val="clear" w:color="auto" w:fill="2E74B5"/>
          </w:tcPr>
          <w:p>
            <w:pPr>
              <w:spacing w:before="30" w:after="30" w:line="240" w:lineRule="auto"/>
            </w:pPr>
            <w:r/>
            <w:r>
              <w:rPr>
                <w:rFonts w:ascii="Calibri" w:hAnsi="Calibri"/>
                <w:b/>
                <w:color w:val="FFFFFF"/>
                <w:sz w:val="15"/>
              </w:rPr>
              <w:t>Effect</w:t>
            </w:r>
          </w:p>
        </w:tc>
        <w:tc>
          <w:tcPr>
            <w:tcW w:type="dxa" w:w="2381"/>
            <w:shd w:val="clear" w:color="auto" w:fill="2E74B5"/>
          </w:tcPr>
          <w:p>
            <w:pPr>
              <w:spacing w:before="30" w:after="30" w:line="240" w:lineRule="auto"/>
            </w:pPr>
            <w:r/>
            <w:r>
              <w:rPr>
                <w:rFonts w:ascii="Calibri" w:hAnsi="Calibri"/>
                <w:b/>
                <w:color w:val="FFFFFF"/>
                <w:sz w:val="15"/>
              </w:rPr>
              <w:t>Response</w:t>
            </w:r>
          </w:p>
        </w:tc>
        <w:tc>
          <w:tcPr>
            <w:tcW w:type="dxa" w:w="624"/>
            <w:shd w:val="clear" w:color="auto" w:fill="2E74B5"/>
          </w:tcPr>
          <w:p>
            <w:pPr>
              <w:spacing w:before="30" w:after="30" w:line="240" w:lineRule="auto"/>
            </w:pPr>
            <w:r/>
            <w:r>
              <w:rPr>
                <w:rFonts w:ascii="Calibri" w:hAnsi="Calibri"/>
                <w:b/>
                <w:color w:val="FFFFFF"/>
                <w:sz w:val="15"/>
              </w:rPr>
              <w:t>Owner</w:t>
            </w:r>
          </w:p>
        </w:tc>
        <w:tc>
          <w:tcPr>
            <w:tcW w:type="dxa" w:w="2438"/>
            <w:shd w:val="clear" w:color="auto" w:fill="2E74B5"/>
          </w:tcPr>
          <w:p>
            <w:pPr>
              <w:spacing w:before="30" w:after="30" w:line="240" w:lineRule="auto"/>
            </w:pPr>
            <w:r/>
            <w:r>
              <w:rPr>
                <w:rFonts w:ascii="Calibri" w:hAnsi="Calibri"/>
                <w:b/>
                <w:color w:val="FFFFFF"/>
                <w:sz w:val="15"/>
              </w:rPr>
              <w:t>Outcome</w:t>
            </w:r>
          </w:p>
        </w:tc>
      </w:tr>
      <w:tr>
        <w:tc>
          <w:tcPr>
            <w:tcW w:type="dxa" w:w="624"/>
            <w:shd w:val="clear" w:color="auto" w:fill="F2F6FB"/>
          </w:tcPr>
          <w:p>
            <w:pPr>
              <w:spacing w:before="30" w:after="30" w:line="240" w:lineRule="auto"/>
            </w:pPr>
            <w:r/>
            <w:r>
              <w:rPr>
                <w:rFonts w:ascii="Calibri" w:hAnsi="Calibri"/>
                <w:b w:val="0"/>
                <w:sz w:val="15"/>
              </w:rPr>
              <w:t>R-01</w:t>
            </w:r>
          </w:p>
        </w:tc>
        <w:tc>
          <w:tcPr>
            <w:tcW w:type="dxa" w:w="2041"/>
            <w:shd w:val="clear" w:color="auto" w:fill="F2F6FB"/>
          </w:tcPr>
          <w:p>
            <w:pPr>
              <w:spacing w:before="30" w:after="30" w:line="240" w:lineRule="auto"/>
            </w:pPr>
            <w:r/>
            <w:r>
              <w:rPr>
                <w:rFonts w:ascii="Calibri" w:hAnsi="Calibri"/>
                <w:b w:val="0"/>
                <w:sz w:val="15"/>
              </w:rPr>
              <w:t>The Sprint 1 and 2 fragments were written at different times and will not merge cleanly</w:t>
            </w:r>
          </w:p>
        </w:tc>
        <w:tc>
          <w:tcPr>
            <w:tcW w:type="dxa" w:w="680"/>
            <w:shd w:val="clear" w:color="auto" w:fill="F2F6FB"/>
          </w:tcPr>
          <w:p>
            <w:pPr>
              <w:spacing w:before="30" w:after="30" w:line="240" w:lineRule="auto"/>
            </w:pPr>
            <w:r/>
            <w:r>
              <w:rPr>
                <w:rFonts w:ascii="Calibri" w:hAnsi="Calibri"/>
                <w:b w:val="0"/>
                <w:sz w:val="15"/>
              </w:rPr>
              <w:t>High</w:t>
            </w:r>
          </w:p>
        </w:tc>
        <w:tc>
          <w:tcPr>
            <w:tcW w:type="dxa" w:w="680"/>
            <w:shd w:val="clear" w:color="auto" w:fill="F2F6FB"/>
          </w:tcPr>
          <w:p>
            <w:pPr>
              <w:spacing w:before="30" w:after="30" w:line="240" w:lineRule="auto"/>
            </w:pPr>
            <w:r/>
            <w:r>
              <w:rPr>
                <w:rFonts w:ascii="Calibri" w:hAnsi="Calibri"/>
                <w:b w:val="0"/>
                <w:sz w:val="15"/>
              </w:rPr>
              <w:t>High</w:t>
            </w:r>
          </w:p>
        </w:tc>
        <w:tc>
          <w:tcPr>
            <w:tcW w:type="dxa" w:w="2381"/>
            <w:shd w:val="clear" w:color="auto" w:fill="F2F6FB"/>
          </w:tcPr>
          <w:p>
            <w:pPr>
              <w:spacing w:before="30" w:after="30" w:line="240" w:lineRule="auto"/>
            </w:pPr>
            <w:r/>
            <w:r>
              <w:rPr>
                <w:rFonts w:ascii="Calibri" w:hAnsi="Calibri"/>
                <w:b w:val="0"/>
                <w:sz w:val="15"/>
              </w:rPr>
              <w:t>Rebuild rather than patch, with an item and an estimate of its own</w:t>
            </w:r>
          </w:p>
        </w:tc>
        <w:tc>
          <w:tcPr>
            <w:tcW w:type="dxa" w:w="624"/>
            <w:shd w:val="clear" w:color="auto" w:fill="F2F6FB"/>
          </w:tcPr>
          <w:p>
            <w:pPr>
              <w:spacing w:before="30" w:after="30" w:line="240" w:lineRule="auto"/>
            </w:pPr>
            <w:r/>
            <w:r>
              <w:rPr>
                <w:rFonts w:ascii="Calibri" w:hAnsi="Calibri"/>
                <w:b w:val="0"/>
                <w:sz w:val="15"/>
              </w:rPr>
              <w:t>max</w:t>
            </w:r>
          </w:p>
        </w:tc>
        <w:tc>
          <w:tcPr>
            <w:tcW w:type="dxa" w:w="2438"/>
            <w:shd w:val="clear" w:color="auto" w:fill="F2F6FB"/>
          </w:tcPr>
          <w:p>
            <w:pPr>
              <w:spacing w:before="30" w:after="30" w:line="240" w:lineRule="auto"/>
            </w:pPr>
            <w:r/>
            <w:r>
              <w:rPr>
                <w:rFonts w:ascii="Calibri" w:hAnsi="Calibri"/>
                <w:b w:val="0"/>
                <w:sz w:val="15"/>
              </w:rPr>
              <w:t>Materialised. Two files used Zeebe, the third Camunda 7 attributes; identifiers were reused with different meanings. The merge consumed the first half of Sprint 2</w:t>
            </w:r>
          </w:p>
        </w:tc>
      </w:tr>
      <w:tr>
        <w:tc>
          <w:tcPr>
            <w:tcW w:type="dxa" w:w="624"/>
            <w:shd w:val="clear" w:color="auto" w:fill="FFFFFF"/>
          </w:tcPr>
          <w:p>
            <w:pPr>
              <w:spacing w:before="30" w:after="30" w:line="240" w:lineRule="auto"/>
            </w:pPr>
            <w:r/>
            <w:r>
              <w:rPr>
                <w:rFonts w:ascii="Calibri" w:hAnsi="Calibri"/>
                <w:b w:val="0"/>
                <w:sz w:val="15"/>
              </w:rPr>
              <w:t>R-02</w:t>
            </w:r>
          </w:p>
        </w:tc>
        <w:tc>
          <w:tcPr>
            <w:tcW w:type="dxa" w:w="2041"/>
            <w:shd w:val="clear" w:color="auto" w:fill="FFFFFF"/>
          </w:tcPr>
          <w:p>
            <w:pPr>
              <w:spacing w:before="30" w:after="30" w:line="240" w:lineRule="auto"/>
            </w:pPr>
            <w:r/>
            <w:r>
              <w:rPr>
                <w:rFonts w:ascii="Calibri" w:hAnsi="Calibri"/>
                <w:b w:val="0"/>
                <w:sz w:val="15"/>
              </w:rPr>
              <w:t>A form is not part of the model and must be deployed separately</w:t>
            </w:r>
          </w:p>
        </w:tc>
        <w:tc>
          <w:tcPr>
            <w:tcW w:type="dxa" w:w="680"/>
            <w:shd w:val="clear" w:color="auto" w:fill="FFFFFF"/>
          </w:tcPr>
          <w:p>
            <w:pPr>
              <w:spacing w:before="30" w:after="30" w:line="240" w:lineRule="auto"/>
            </w:pPr>
            <w:r/>
            <w:r>
              <w:rPr>
                <w:rFonts w:ascii="Calibri" w:hAnsi="Calibri"/>
                <w:b w:val="0"/>
                <w:sz w:val="15"/>
              </w:rPr>
              <w:t>Medium</w:t>
            </w:r>
          </w:p>
        </w:tc>
        <w:tc>
          <w:tcPr>
            <w:tcW w:type="dxa" w:w="680"/>
            <w:shd w:val="clear" w:color="auto" w:fill="FFFFFF"/>
          </w:tcPr>
          <w:p>
            <w:pPr>
              <w:spacing w:before="30" w:after="30" w:line="240" w:lineRule="auto"/>
            </w:pPr>
            <w:r/>
            <w:r>
              <w:rPr>
                <w:rFonts w:ascii="Calibri" w:hAnsi="Calibri"/>
                <w:b w:val="0"/>
                <w:sz w:val="15"/>
              </w:rPr>
              <w:t>High</w:t>
            </w:r>
          </w:p>
        </w:tc>
        <w:tc>
          <w:tcPr>
            <w:tcW w:type="dxa" w:w="2381"/>
            <w:shd w:val="clear" w:color="auto" w:fill="FFFFFF"/>
          </w:tcPr>
          <w:p>
            <w:pPr>
              <w:spacing w:before="30" w:after="30" w:line="240" w:lineRule="auto"/>
            </w:pPr>
            <w:r/>
            <w:r>
              <w:rPr>
                <w:rFonts w:ascii="Calibri" w:hAnsi="Calibri"/>
                <w:b w:val="0"/>
                <w:sz w:val="15"/>
              </w:rPr>
              <w:t>Deploy model and forms in one deployment; verify the binding in a test rather than by eye</w:t>
            </w:r>
          </w:p>
        </w:tc>
        <w:tc>
          <w:tcPr>
            <w:tcW w:type="dxa" w:w="624"/>
            <w:shd w:val="clear" w:color="auto" w:fill="FFFFFF"/>
          </w:tcPr>
          <w:p>
            <w:pPr>
              <w:spacing w:before="30" w:after="30" w:line="240" w:lineRule="auto"/>
            </w:pPr>
            <w:r/>
            <w:r>
              <w:rPr>
                <w:rFonts w:ascii="Calibri" w:hAnsi="Calibri"/>
                <w:b w:val="0"/>
                <w:sz w:val="15"/>
              </w:rPr>
              <w:t>peter</w:t>
            </w:r>
          </w:p>
        </w:tc>
        <w:tc>
          <w:tcPr>
            <w:tcW w:type="dxa" w:w="2438"/>
            <w:shd w:val="clear" w:color="auto" w:fill="FFFFFF"/>
          </w:tcPr>
          <w:p>
            <w:pPr>
              <w:spacing w:before="30" w:after="30" w:line="240" w:lineRule="auto"/>
            </w:pPr>
            <w:r/>
            <w:r>
              <w:rPr>
                <w:rFonts w:ascii="Calibri" w:hAnsi="Calibri"/>
                <w:b w:val="0"/>
                <w:sz w:val="15"/>
              </w:rPr>
              <w:t>Materialised. A misspelt form reference was silently ignored and every instance raised FORM_NOT_FOUND — a day lost</w:t>
            </w:r>
          </w:p>
        </w:tc>
      </w:tr>
      <w:tr>
        <w:tc>
          <w:tcPr>
            <w:tcW w:type="dxa" w:w="624"/>
            <w:shd w:val="clear" w:color="auto" w:fill="F2F6FB"/>
          </w:tcPr>
          <w:p>
            <w:pPr>
              <w:spacing w:before="30" w:after="30" w:line="240" w:lineRule="auto"/>
            </w:pPr>
            <w:r/>
            <w:r>
              <w:rPr>
                <w:rFonts w:ascii="Calibri" w:hAnsi="Calibri"/>
                <w:b w:val="0"/>
                <w:sz w:val="15"/>
              </w:rPr>
              <w:t>R-03</w:t>
            </w:r>
          </w:p>
        </w:tc>
        <w:tc>
          <w:tcPr>
            <w:tcW w:type="dxa" w:w="2041"/>
            <w:shd w:val="clear" w:color="auto" w:fill="F2F6FB"/>
          </w:tcPr>
          <w:p>
            <w:pPr>
              <w:spacing w:before="30" w:after="30" w:line="240" w:lineRule="auto"/>
            </w:pPr>
            <w:r/>
            <w:r>
              <w:rPr>
                <w:rFonts w:ascii="Calibri" w:hAnsi="Calibri"/>
                <w:b w:val="0"/>
                <w:sz w:val="15"/>
              </w:rPr>
              <w:t>The cluster is not available when the review needs it</w:t>
            </w:r>
          </w:p>
        </w:tc>
        <w:tc>
          <w:tcPr>
            <w:tcW w:type="dxa" w:w="680"/>
            <w:shd w:val="clear" w:color="auto" w:fill="F2F6FB"/>
          </w:tcPr>
          <w:p>
            <w:pPr>
              <w:spacing w:before="30" w:after="30" w:line="240" w:lineRule="auto"/>
            </w:pPr>
            <w:r/>
            <w:r>
              <w:rPr>
                <w:rFonts w:ascii="Calibri" w:hAnsi="Calibri"/>
                <w:b w:val="0"/>
                <w:sz w:val="15"/>
              </w:rPr>
              <w:t>Medium</w:t>
            </w:r>
          </w:p>
        </w:tc>
        <w:tc>
          <w:tcPr>
            <w:tcW w:type="dxa" w:w="680"/>
            <w:shd w:val="clear" w:color="auto" w:fill="F2F6FB"/>
          </w:tcPr>
          <w:p>
            <w:pPr>
              <w:spacing w:before="30" w:after="30" w:line="240" w:lineRule="auto"/>
            </w:pPr>
            <w:r/>
            <w:r>
              <w:rPr>
                <w:rFonts w:ascii="Calibri" w:hAnsi="Calibri"/>
                <w:b w:val="0"/>
                <w:sz w:val="15"/>
              </w:rPr>
              <w:t>High</w:t>
            </w:r>
          </w:p>
        </w:tc>
        <w:tc>
          <w:tcPr>
            <w:tcW w:type="dxa" w:w="2381"/>
            <w:shd w:val="clear" w:color="auto" w:fill="F2F6FB"/>
          </w:tcPr>
          <w:p>
            <w:pPr>
              <w:spacing w:before="30" w:after="30" w:line="240" w:lineRule="auto"/>
            </w:pPr>
            <w:r/>
            <w:r>
              <w:rPr>
                <w:rFonts w:ascii="Calibri" w:hAnsi="Calibri"/>
                <w:b w:val="0"/>
                <w:sz w:val="15"/>
              </w:rPr>
              <w:t>Rehearse the run the day before and retain the log; present the recorded run if the cluster refuses to start</w:t>
            </w:r>
          </w:p>
        </w:tc>
        <w:tc>
          <w:tcPr>
            <w:tcW w:type="dxa" w:w="624"/>
            <w:shd w:val="clear" w:color="auto" w:fill="F2F6FB"/>
          </w:tcPr>
          <w:p>
            <w:pPr>
              <w:spacing w:before="30" w:after="30" w:line="240" w:lineRule="auto"/>
            </w:pPr>
            <w:r/>
            <w:r>
              <w:rPr>
                <w:rFonts w:ascii="Calibri" w:hAnsi="Calibri"/>
                <w:b w:val="0"/>
                <w:sz w:val="15"/>
              </w:rPr>
              <w:t>peter</w:t>
            </w:r>
          </w:p>
        </w:tc>
        <w:tc>
          <w:tcPr>
            <w:tcW w:type="dxa" w:w="2438"/>
            <w:shd w:val="clear" w:color="auto" w:fill="F2F6FB"/>
          </w:tcPr>
          <w:p>
            <w:pPr>
              <w:spacing w:before="30" w:after="30" w:line="240" w:lineRule="auto"/>
            </w:pPr>
            <w:r/>
            <w:r>
              <w:rPr>
                <w:rFonts w:ascii="Calibri" w:hAnsi="Calibri"/>
                <w:b w:val="0"/>
                <w:sz w:val="15"/>
              </w:rPr>
              <w:t>Materialised twice. The contingency was used both times, which is why the acceptance evidence is a recorded run</w:t>
            </w:r>
          </w:p>
        </w:tc>
      </w:tr>
      <w:tr>
        <w:tc>
          <w:tcPr>
            <w:tcW w:type="dxa" w:w="624"/>
            <w:shd w:val="clear" w:color="auto" w:fill="FFFFFF"/>
          </w:tcPr>
          <w:p>
            <w:pPr>
              <w:spacing w:before="30" w:after="30" w:line="240" w:lineRule="auto"/>
            </w:pPr>
            <w:r/>
            <w:r>
              <w:rPr>
                <w:rFonts w:ascii="Calibri" w:hAnsi="Calibri"/>
                <w:b w:val="0"/>
                <w:sz w:val="15"/>
              </w:rPr>
              <w:t>R-04</w:t>
            </w:r>
          </w:p>
        </w:tc>
        <w:tc>
          <w:tcPr>
            <w:tcW w:type="dxa" w:w="2041"/>
            <w:shd w:val="clear" w:color="auto" w:fill="FFFFFF"/>
          </w:tcPr>
          <w:p>
            <w:pPr>
              <w:spacing w:before="30" w:after="30" w:line="240" w:lineRule="auto"/>
            </w:pPr>
            <w:r/>
            <w:r>
              <w:rPr>
                <w:rFonts w:ascii="Calibri" w:hAnsi="Calibri"/>
                <w:b w:val="0"/>
                <w:sz w:val="15"/>
              </w:rPr>
              <w:t>The urgency rules are never agreed</w:t>
            </w:r>
          </w:p>
        </w:tc>
        <w:tc>
          <w:tcPr>
            <w:tcW w:type="dxa" w:w="680"/>
            <w:shd w:val="clear" w:color="auto" w:fill="FFFFFF"/>
          </w:tcPr>
          <w:p>
            <w:pPr>
              <w:spacing w:before="30" w:after="30" w:line="240" w:lineRule="auto"/>
            </w:pPr>
            <w:r/>
            <w:r>
              <w:rPr>
                <w:rFonts w:ascii="Calibri" w:hAnsi="Calibri"/>
                <w:b w:val="0"/>
                <w:sz w:val="15"/>
              </w:rPr>
              <w:t>High</w:t>
            </w:r>
          </w:p>
        </w:tc>
        <w:tc>
          <w:tcPr>
            <w:tcW w:type="dxa" w:w="680"/>
            <w:shd w:val="clear" w:color="auto" w:fill="FFFFFF"/>
          </w:tcPr>
          <w:p>
            <w:pPr>
              <w:spacing w:before="30" w:after="30" w:line="240" w:lineRule="auto"/>
            </w:pPr>
            <w:r/>
            <w:r>
              <w:rPr>
                <w:rFonts w:ascii="Calibri" w:hAnsi="Calibri"/>
                <w:b w:val="0"/>
                <w:sz w:val="15"/>
              </w:rPr>
              <w:t>Medium</w:t>
            </w:r>
          </w:p>
        </w:tc>
        <w:tc>
          <w:tcPr>
            <w:tcW w:type="dxa" w:w="2381"/>
            <w:shd w:val="clear" w:color="auto" w:fill="FFFFFF"/>
          </w:tcPr>
          <w:p>
            <w:pPr>
              <w:spacing w:before="30" w:after="30" w:line="240" w:lineRule="auto"/>
            </w:pPr>
            <w:r/>
            <w:r>
              <w:rPr>
                <w:rFonts w:ascii="Calibri" w:hAnsi="Calibri"/>
                <w:b w:val="0"/>
                <w:sz w:val="15"/>
              </w:rPr>
              <w:t>Model urgency as a soft goal and carry the rule set as a dependency on a decision the hospital has not made</w:t>
            </w:r>
          </w:p>
        </w:tc>
        <w:tc>
          <w:tcPr>
            <w:tcW w:type="dxa" w:w="624"/>
            <w:shd w:val="clear" w:color="auto" w:fill="FFFFFF"/>
          </w:tcPr>
          <w:p>
            <w:pPr>
              <w:spacing w:before="30" w:after="30" w:line="240" w:lineRule="auto"/>
            </w:pPr>
            <w:r/>
            <w:r>
              <w:rPr>
                <w:rFonts w:ascii="Calibri" w:hAnsi="Calibri"/>
                <w:b w:val="0"/>
                <w:sz w:val="15"/>
              </w:rPr>
              <w:t>henry</w:t>
            </w:r>
          </w:p>
        </w:tc>
        <w:tc>
          <w:tcPr>
            <w:tcW w:type="dxa" w:w="2438"/>
            <w:shd w:val="clear" w:color="auto" w:fill="FFFFFF"/>
          </w:tcPr>
          <w:p>
            <w:pPr>
              <w:spacing w:before="30" w:after="30" w:line="240" w:lineRule="auto"/>
            </w:pPr>
            <w:r/>
            <w:r>
              <w:rPr>
                <w:rFonts w:ascii="Calibri" w:hAnsi="Calibri"/>
                <w:b w:val="0"/>
                <w:sz w:val="15"/>
              </w:rPr>
              <w:t>Materialised and still open. No rule set was issued before hand-in</w:t>
            </w:r>
          </w:p>
        </w:tc>
      </w:tr>
    </w:tbl>
    <w:p>
      <w:pPr>
        <w:spacing w:before="60" w:after="160"/>
      </w:pPr>
      <w:r>
        <w:rPr>
          <w:i/>
          <w:color w:val="595959"/>
          <w:sz w:val="16"/>
        </w:rPr>
        <w:t>Table 10. Initial-release risks and outcomes. Three of four materialised; R-04 remains open.</w:t>
      </w:r>
    </w:p>
    <w:p>
      <w:pPr>
        <w:pStyle w:val="Heading2"/>
      </w:pPr>
      <w:r>
        <w:t>6.2  Second release</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rPr>
          <w:tblHeader w:val="true"/>
        </w:trPr>
        <w:tc>
          <w:tcPr>
            <w:tcW w:type="dxa" w:w="624"/>
            <w:shd w:val="clear" w:color="auto" w:fill="2E74B5"/>
          </w:tcPr>
          <w:p>
            <w:pPr>
              <w:spacing w:before="30" w:after="30" w:line="240" w:lineRule="auto"/>
            </w:pPr>
            <w:r/>
            <w:r>
              <w:rPr>
                <w:rFonts w:ascii="Calibri" w:hAnsi="Calibri"/>
                <w:b/>
                <w:color w:val="FFFFFF"/>
                <w:sz w:val="15"/>
              </w:rPr>
              <w:t>ID</w:t>
            </w:r>
          </w:p>
        </w:tc>
        <w:tc>
          <w:tcPr>
            <w:tcW w:type="dxa" w:w="2041"/>
            <w:shd w:val="clear" w:color="auto" w:fill="2E74B5"/>
          </w:tcPr>
          <w:p>
            <w:pPr>
              <w:spacing w:before="30" w:after="30" w:line="240" w:lineRule="auto"/>
            </w:pPr>
            <w:r/>
            <w:r>
              <w:rPr>
                <w:rFonts w:ascii="Calibri" w:hAnsi="Calibri"/>
                <w:b/>
                <w:color w:val="FFFFFF"/>
                <w:sz w:val="15"/>
              </w:rPr>
              <w:t>Risk</w:t>
            </w:r>
          </w:p>
        </w:tc>
        <w:tc>
          <w:tcPr>
            <w:tcW w:type="dxa" w:w="680"/>
            <w:shd w:val="clear" w:color="auto" w:fill="2E74B5"/>
          </w:tcPr>
          <w:p>
            <w:pPr>
              <w:spacing w:before="30" w:after="30" w:line="240" w:lineRule="auto"/>
            </w:pPr>
            <w:r/>
            <w:r>
              <w:rPr>
                <w:rFonts w:ascii="Calibri" w:hAnsi="Calibri"/>
                <w:b/>
                <w:color w:val="FFFFFF"/>
                <w:sz w:val="15"/>
              </w:rPr>
              <w:t>Chance</w:t>
            </w:r>
          </w:p>
        </w:tc>
        <w:tc>
          <w:tcPr>
            <w:tcW w:type="dxa" w:w="680"/>
            <w:shd w:val="clear" w:color="auto" w:fill="2E74B5"/>
          </w:tcPr>
          <w:p>
            <w:pPr>
              <w:spacing w:before="30" w:after="30" w:line="240" w:lineRule="auto"/>
            </w:pPr>
            <w:r/>
            <w:r>
              <w:rPr>
                <w:rFonts w:ascii="Calibri" w:hAnsi="Calibri"/>
                <w:b/>
                <w:color w:val="FFFFFF"/>
                <w:sz w:val="15"/>
              </w:rPr>
              <w:t>Effect</w:t>
            </w:r>
          </w:p>
        </w:tc>
        <w:tc>
          <w:tcPr>
            <w:tcW w:type="dxa" w:w="2381"/>
            <w:shd w:val="clear" w:color="auto" w:fill="2E74B5"/>
          </w:tcPr>
          <w:p>
            <w:pPr>
              <w:spacing w:before="30" w:after="30" w:line="240" w:lineRule="auto"/>
            </w:pPr>
            <w:r/>
            <w:r>
              <w:rPr>
                <w:rFonts w:ascii="Calibri" w:hAnsi="Calibri"/>
                <w:b/>
                <w:color w:val="FFFFFF"/>
                <w:sz w:val="15"/>
              </w:rPr>
              <w:t>Response</w:t>
            </w:r>
          </w:p>
        </w:tc>
        <w:tc>
          <w:tcPr>
            <w:tcW w:type="dxa" w:w="624"/>
            <w:shd w:val="clear" w:color="auto" w:fill="2E74B5"/>
          </w:tcPr>
          <w:p>
            <w:pPr>
              <w:spacing w:before="30" w:after="30" w:line="240" w:lineRule="auto"/>
            </w:pPr>
            <w:r/>
            <w:r>
              <w:rPr>
                <w:rFonts w:ascii="Calibri" w:hAnsi="Calibri"/>
                <w:b/>
                <w:color w:val="FFFFFF"/>
                <w:sz w:val="15"/>
              </w:rPr>
              <w:t>Owner</w:t>
            </w:r>
          </w:p>
        </w:tc>
        <w:tc>
          <w:tcPr>
            <w:tcW w:type="dxa" w:w="2438"/>
            <w:shd w:val="clear" w:color="auto" w:fill="2E74B5"/>
          </w:tcPr>
          <w:p>
            <w:pPr>
              <w:spacing w:before="30" w:after="30" w:line="240" w:lineRule="auto"/>
            </w:pPr>
            <w:r/>
            <w:r>
              <w:rPr>
                <w:rFonts w:ascii="Calibri" w:hAnsi="Calibri"/>
                <w:b/>
                <w:color w:val="FFFFFF"/>
                <w:sz w:val="15"/>
              </w:rPr>
              <w:t>Outcome</w:t>
            </w:r>
          </w:p>
        </w:tc>
      </w:tr>
      <w:tr>
        <w:tc>
          <w:tcPr>
            <w:tcW w:type="dxa" w:w="624"/>
            <w:shd w:val="clear" w:color="auto" w:fill="F2F6FB"/>
          </w:tcPr>
          <w:p>
            <w:pPr>
              <w:spacing w:before="30" w:after="30" w:line="240" w:lineRule="auto"/>
            </w:pPr>
            <w:r/>
            <w:r>
              <w:rPr>
                <w:rFonts w:ascii="Calibri" w:hAnsi="Calibri"/>
                <w:b w:val="0"/>
                <w:sz w:val="15"/>
              </w:rPr>
              <w:t>R-05</w:t>
            </w:r>
          </w:p>
        </w:tc>
        <w:tc>
          <w:tcPr>
            <w:tcW w:type="dxa" w:w="2041"/>
            <w:shd w:val="clear" w:color="auto" w:fill="F2F6FB"/>
          </w:tcPr>
          <w:p>
            <w:pPr>
              <w:spacing w:before="30" w:after="30" w:line="240" w:lineRule="auto"/>
            </w:pPr>
            <w:r/>
            <w:r>
              <w:rPr>
                <w:rFonts w:ascii="Calibri" w:hAnsi="Calibri"/>
                <w:b w:val="0"/>
                <w:sz w:val="15"/>
              </w:rPr>
              <w:t>Defects that no review finds are only visible at deployment</w:t>
            </w:r>
          </w:p>
        </w:tc>
        <w:tc>
          <w:tcPr>
            <w:tcW w:type="dxa" w:w="680"/>
            <w:shd w:val="clear" w:color="auto" w:fill="F2F6FB"/>
          </w:tcPr>
          <w:p>
            <w:pPr>
              <w:spacing w:before="30" w:after="30" w:line="240" w:lineRule="auto"/>
            </w:pPr>
            <w:r/>
            <w:r>
              <w:rPr>
                <w:rFonts w:ascii="Calibri" w:hAnsi="Calibri"/>
                <w:b w:val="0"/>
                <w:sz w:val="15"/>
              </w:rPr>
              <w:t>High</w:t>
            </w:r>
          </w:p>
        </w:tc>
        <w:tc>
          <w:tcPr>
            <w:tcW w:type="dxa" w:w="680"/>
            <w:shd w:val="clear" w:color="auto" w:fill="F2F6FB"/>
          </w:tcPr>
          <w:p>
            <w:pPr>
              <w:spacing w:before="30" w:after="30" w:line="240" w:lineRule="auto"/>
            </w:pPr>
            <w:r/>
            <w:r>
              <w:rPr>
                <w:rFonts w:ascii="Calibri" w:hAnsi="Calibri"/>
                <w:b w:val="0"/>
                <w:sz w:val="15"/>
              </w:rPr>
              <w:t>High</w:t>
            </w:r>
          </w:p>
        </w:tc>
        <w:tc>
          <w:tcPr>
            <w:tcW w:type="dxa" w:w="2381"/>
            <w:shd w:val="clear" w:color="auto" w:fill="F2F6FB"/>
          </w:tcPr>
          <w:p>
            <w:pPr>
              <w:spacing w:before="30" w:after="30" w:line="240" w:lineRule="auto"/>
            </w:pPr>
            <w:r/>
            <w:r>
              <w:rPr>
                <w:rFonts w:ascii="Calibri" w:hAnsi="Calibri"/>
                <w:b w:val="0"/>
                <w:sz w:val="15"/>
              </w:rPr>
              <w:t>Deploy to a real cluster every sprint; treat deployment as a review step, not a release step</w:t>
            </w:r>
          </w:p>
        </w:tc>
        <w:tc>
          <w:tcPr>
            <w:tcW w:type="dxa" w:w="624"/>
            <w:shd w:val="clear" w:color="auto" w:fill="F2F6FB"/>
          </w:tcPr>
          <w:p>
            <w:pPr>
              <w:spacing w:before="30" w:after="30" w:line="240" w:lineRule="auto"/>
            </w:pPr>
            <w:r/>
            <w:r>
              <w:rPr>
                <w:rFonts w:ascii="Calibri" w:hAnsi="Calibri"/>
                <w:b w:val="0"/>
                <w:sz w:val="15"/>
              </w:rPr>
              <w:t>peter</w:t>
            </w:r>
          </w:p>
        </w:tc>
        <w:tc>
          <w:tcPr>
            <w:tcW w:type="dxa" w:w="2438"/>
            <w:shd w:val="clear" w:color="auto" w:fill="F2F6FB"/>
          </w:tcPr>
          <w:p>
            <w:pPr>
              <w:spacing w:before="30" w:after="30" w:line="240" w:lineRule="auto"/>
            </w:pPr>
            <w:r/>
            <w:r>
              <w:rPr>
                <w:rFonts w:ascii="Calibri" w:hAnsi="Calibri"/>
                <w:b w:val="0"/>
                <w:sz w:val="15"/>
              </w:rPr>
              <w:t>Materialised. Three XSD sequence violations and a form-binding defect appeared only when an instance started</w:t>
            </w:r>
          </w:p>
        </w:tc>
      </w:tr>
      <w:tr>
        <w:tc>
          <w:tcPr>
            <w:tcW w:type="dxa" w:w="624"/>
            <w:shd w:val="clear" w:color="auto" w:fill="FFFFFF"/>
          </w:tcPr>
          <w:p>
            <w:pPr>
              <w:spacing w:before="30" w:after="30" w:line="240" w:lineRule="auto"/>
            </w:pPr>
            <w:r/>
            <w:r>
              <w:rPr>
                <w:rFonts w:ascii="Calibri" w:hAnsi="Calibri"/>
                <w:b w:val="0"/>
                <w:sz w:val="15"/>
              </w:rPr>
              <w:t>R-06</w:t>
            </w:r>
          </w:p>
        </w:tc>
        <w:tc>
          <w:tcPr>
            <w:tcW w:type="dxa" w:w="2041"/>
            <w:shd w:val="clear" w:color="auto" w:fill="FFFFFF"/>
          </w:tcPr>
          <w:p>
            <w:pPr>
              <w:spacing w:before="30" w:after="30" w:line="240" w:lineRule="auto"/>
            </w:pPr>
            <w:r/>
            <w:r>
              <w:rPr>
                <w:rFonts w:ascii="Calibri" w:hAnsi="Calibri"/>
                <w:b w:val="0"/>
                <w:sz w:val="15"/>
              </w:rPr>
              <w:t>Sprint 4 is planned above the capacity that exists</w:t>
            </w:r>
          </w:p>
        </w:tc>
        <w:tc>
          <w:tcPr>
            <w:tcW w:type="dxa" w:w="680"/>
            <w:shd w:val="clear" w:color="auto" w:fill="FFFFFF"/>
          </w:tcPr>
          <w:p>
            <w:pPr>
              <w:spacing w:before="30" w:after="30" w:line="240" w:lineRule="auto"/>
            </w:pPr>
            <w:r/>
            <w:r>
              <w:rPr>
                <w:rFonts w:ascii="Calibri" w:hAnsi="Calibri"/>
                <w:b w:val="0"/>
                <w:sz w:val="15"/>
              </w:rPr>
              <w:t>Certain</w:t>
            </w:r>
          </w:p>
        </w:tc>
        <w:tc>
          <w:tcPr>
            <w:tcW w:type="dxa" w:w="680"/>
            <w:shd w:val="clear" w:color="auto" w:fill="FFFFFF"/>
          </w:tcPr>
          <w:p>
            <w:pPr>
              <w:spacing w:before="30" w:after="30" w:line="240" w:lineRule="auto"/>
            </w:pPr>
            <w:r/>
            <w:r>
              <w:rPr>
                <w:rFonts w:ascii="Calibri" w:hAnsi="Calibri"/>
                <w:b w:val="0"/>
                <w:sz w:val="15"/>
              </w:rPr>
              <w:t>High</w:t>
            </w:r>
          </w:p>
        </w:tc>
        <w:tc>
          <w:tcPr>
            <w:tcW w:type="dxa" w:w="2381"/>
            <w:shd w:val="clear" w:color="auto" w:fill="FFFFFF"/>
          </w:tcPr>
          <w:p>
            <w:pPr>
              <w:spacing w:before="30" w:after="30" w:line="240" w:lineRule="auto"/>
            </w:pPr>
            <w:r/>
            <w:r>
              <w:rPr>
                <w:rFonts w:ascii="Calibri" w:hAnsi="Calibri"/>
                <w:b w:val="0"/>
                <w:sz w:val="15"/>
              </w:rPr>
              <w:t>Prioritise; accept that the lowest-value items will be dropped rather than partially built</w:t>
            </w:r>
          </w:p>
        </w:tc>
        <w:tc>
          <w:tcPr>
            <w:tcW w:type="dxa" w:w="624"/>
            <w:shd w:val="clear" w:color="auto" w:fill="FFFFFF"/>
          </w:tcPr>
          <w:p>
            <w:pPr>
              <w:spacing w:before="30" w:after="30" w:line="240" w:lineRule="auto"/>
            </w:pPr>
            <w:r/>
            <w:r>
              <w:rPr>
                <w:rFonts w:ascii="Calibri" w:hAnsi="Calibri"/>
                <w:b w:val="0"/>
                <w:sz w:val="15"/>
              </w:rPr>
              <w:t>henry</w:t>
            </w:r>
          </w:p>
        </w:tc>
        <w:tc>
          <w:tcPr>
            <w:tcW w:type="dxa" w:w="2438"/>
            <w:shd w:val="clear" w:color="auto" w:fill="FFFFFF"/>
          </w:tcPr>
          <w:p>
            <w:pPr>
              <w:spacing w:before="30" w:after="30" w:line="240" w:lineRule="auto"/>
            </w:pPr>
            <w:r/>
            <w:r>
              <w:rPr>
                <w:rFonts w:ascii="Calibri" w:hAnsi="Calibri"/>
                <w:b w:val="0"/>
                <w:sz w:val="15"/>
              </w:rPr>
              <w:t>Materialised. 80 hours were planned against 48 nominal; S4-24 was dropped rather than half-built</w:t>
            </w:r>
          </w:p>
        </w:tc>
      </w:tr>
      <w:tr>
        <w:tc>
          <w:tcPr>
            <w:tcW w:type="dxa" w:w="624"/>
            <w:shd w:val="clear" w:color="auto" w:fill="F2F6FB"/>
          </w:tcPr>
          <w:p>
            <w:pPr>
              <w:spacing w:before="30" w:after="30" w:line="240" w:lineRule="auto"/>
            </w:pPr>
            <w:r/>
            <w:r>
              <w:rPr>
                <w:rFonts w:ascii="Calibri" w:hAnsi="Calibri"/>
                <w:b w:val="0"/>
                <w:sz w:val="15"/>
              </w:rPr>
              <w:t>R-07</w:t>
            </w:r>
          </w:p>
        </w:tc>
        <w:tc>
          <w:tcPr>
            <w:tcW w:type="dxa" w:w="2041"/>
            <w:shd w:val="clear" w:color="auto" w:fill="F2F6FB"/>
          </w:tcPr>
          <w:p>
            <w:pPr>
              <w:spacing w:before="30" w:after="30" w:line="240" w:lineRule="auto"/>
            </w:pPr>
            <w:r/>
            <w:r>
              <w:rPr>
                <w:rFonts w:ascii="Calibri" w:hAnsi="Calibri"/>
                <w:b w:val="0"/>
                <w:sz w:val="15"/>
              </w:rPr>
              <w:t>The embedded database will not permit concurrent writers in the sandboxed environment</w:t>
            </w:r>
          </w:p>
        </w:tc>
        <w:tc>
          <w:tcPr>
            <w:tcW w:type="dxa" w:w="680"/>
            <w:shd w:val="clear" w:color="auto" w:fill="F2F6FB"/>
          </w:tcPr>
          <w:p>
            <w:pPr>
              <w:spacing w:before="30" w:after="30" w:line="240" w:lineRule="auto"/>
            </w:pPr>
            <w:r/>
            <w:r>
              <w:rPr>
                <w:rFonts w:ascii="Calibri" w:hAnsi="Calibri"/>
                <w:b w:val="0"/>
                <w:sz w:val="15"/>
              </w:rPr>
              <w:t>Medium</w:t>
            </w:r>
          </w:p>
        </w:tc>
        <w:tc>
          <w:tcPr>
            <w:tcW w:type="dxa" w:w="680"/>
            <w:shd w:val="clear" w:color="auto" w:fill="F2F6FB"/>
          </w:tcPr>
          <w:p>
            <w:pPr>
              <w:spacing w:before="30" w:after="30" w:line="240" w:lineRule="auto"/>
            </w:pPr>
            <w:r/>
            <w:r>
              <w:rPr>
                <w:rFonts w:ascii="Calibri" w:hAnsi="Calibri"/>
                <w:b w:val="0"/>
                <w:sz w:val="15"/>
              </w:rPr>
              <w:t>Medium</w:t>
            </w:r>
          </w:p>
        </w:tc>
        <w:tc>
          <w:tcPr>
            <w:tcW w:type="dxa" w:w="2381"/>
            <w:shd w:val="clear" w:color="auto" w:fill="F2F6FB"/>
          </w:tcPr>
          <w:p>
            <w:pPr>
              <w:spacing w:before="30" w:after="30" w:line="240" w:lineRule="auto"/>
            </w:pPr>
            <w:r/>
            <w:r>
              <w:rPr>
                <w:rFonts w:ascii="Calibri" w:hAnsi="Calibri"/>
                <w:b w:val="0"/>
                <w:sz w:val="15"/>
              </w:rPr>
              <w:t>Verify persistence by write-then-exit-then-read in two JVMs rather than by two concurrent writers; record the limit</w:t>
            </w:r>
          </w:p>
        </w:tc>
        <w:tc>
          <w:tcPr>
            <w:tcW w:type="dxa" w:w="624"/>
            <w:shd w:val="clear" w:color="auto" w:fill="F2F6FB"/>
          </w:tcPr>
          <w:p>
            <w:pPr>
              <w:spacing w:before="30" w:after="30" w:line="240" w:lineRule="auto"/>
            </w:pPr>
            <w:r/>
            <w:r>
              <w:rPr>
                <w:rFonts w:ascii="Calibri" w:hAnsi="Calibri"/>
                <w:b w:val="0"/>
                <w:sz w:val="15"/>
              </w:rPr>
              <w:t>finn</w:t>
            </w:r>
          </w:p>
        </w:tc>
        <w:tc>
          <w:tcPr>
            <w:tcW w:type="dxa" w:w="2438"/>
            <w:shd w:val="clear" w:color="auto" w:fill="F2F6FB"/>
          </w:tcPr>
          <w:p>
            <w:pPr>
              <w:spacing w:before="30" w:after="30" w:line="240" w:lineRule="auto"/>
            </w:pPr>
            <w:r/>
            <w:r>
              <w:rPr>
                <w:rFonts w:ascii="Calibri" w:hAnsi="Calibri"/>
                <w:b w:val="0"/>
                <w:sz w:val="15"/>
              </w:rPr>
              <w:t>Materialised. The H2 file lock cannot be acquired here; the database opens read-only for a second process. Recorded as a stated limit, not hidden</w:t>
            </w:r>
          </w:p>
        </w:tc>
      </w:tr>
    </w:tbl>
    <w:p>
      <w:pPr>
        <w:spacing w:before="60" w:after="160"/>
      </w:pPr>
      <w:r>
        <w:rPr>
          <w:i/>
          <w:color w:val="595959"/>
          <w:sz w:val="16"/>
        </w:rPr>
        <w:t>Table 11. Second-release risks and outcomes. The common thread is that the expensive defects were the ones only execution could find.</w:t>
      </w:r>
    </w:p>
    <w:p>
      <w:pPr>
        <w:spacing w:after="100"/>
      </w:pPr>
      <w:r>
        <w:rPr>
          <w:b w:val="0"/>
          <w:i w:val="0"/>
          <w:sz w:val="20"/>
        </w:rPr>
        <w:t>One risk was deliberately not taken: the i* modelling sat outside the critical path by design, because it depends on nothing the operational model needs. That decision is why it could be completed at the end of the project without moving the release date — and it is also why the i* models cannot be presented as having informed the original design. They were developed afterwards and are used as an evaluation lens.</w:t>
      </w:r>
    </w:p>
    <w:p>
      <w:pPr>
        <w:pStyle w:val="Heading1"/>
      </w:pPr>
      <w:r>
        <w:t>7  Planned against actual</w:t>
      </w:r>
    </w:p>
    <w:p>
      <w:pPr>
        <w:spacing w:after="100"/>
      </w:pPr>
      <w:r>
        <w:rPr>
          <w:b w:val="0"/>
          <w:i w:val="0"/>
          <w:sz w:val="20"/>
        </w:rPr>
        <w:t>The table below is the numeric basis for slide 13. Both sprints were planned above the capacity that existed, and both delivered by using the last two days for integration rather than for new work.</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gridCol w:w="1587"/>
      </w:tblGrid>
      <w:tr>
        <w:trPr>
          <w:tblHeader w:val="true"/>
        </w:trPr>
        <w:tc>
          <w:tcPr>
            <w:tcW w:type="dxa" w:w="1247"/>
            <w:shd w:val="clear" w:color="auto" w:fill="2E74B5"/>
          </w:tcPr>
          <w:p>
            <w:pPr>
              <w:spacing w:before="30" w:after="30" w:line="240" w:lineRule="auto"/>
            </w:pPr>
            <w:r/>
            <w:r>
              <w:rPr>
                <w:rFonts w:ascii="Calibri" w:hAnsi="Calibri"/>
                <w:b/>
                <w:color w:val="FFFFFF"/>
                <w:sz w:val="17"/>
              </w:rPr>
              <w:t>Sprint</w:t>
            </w:r>
          </w:p>
        </w:tc>
        <w:tc>
          <w:tcPr>
            <w:tcW w:type="dxa" w:w="1474"/>
            <w:shd w:val="clear" w:color="auto" w:fill="2E74B5"/>
          </w:tcPr>
          <w:p>
            <w:pPr>
              <w:spacing w:before="30" w:after="30" w:line="240" w:lineRule="auto"/>
            </w:pPr>
            <w:r/>
            <w:r>
              <w:rPr>
                <w:rFonts w:ascii="Calibri" w:hAnsi="Calibri"/>
                <w:b/>
                <w:color w:val="FFFFFF"/>
                <w:sz w:val="17"/>
              </w:rPr>
              <w:t>Planned</w:t>
            </w:r>
          </w:p>
        </w:tc>
        <w:tc>
          <w:tcPr>
            <w:tcW w:type="dxa" w:w="1701"/>
            <w:shd w:val="clear" w:color="auto" w:fill="2E74B5"/>
          </w:tcPr>
          <w:p>
            <w:pPr>
              <w:spacing w:before="30" w:after="30" w:line="240" w:lineRule="auto"/>
            </w:pPr>
            <w:r/>
            <w:r>
              <w:rPr>
                <w:rFonts w:ascii="Calibri" w:hAnsi="Calibri"/>
                <w:b/>
                <w:color w:val="FFFFFF"/>
                <w:sz w:val="17"/>
              </w:rPr>
              <w:t>Nominal capacity</w:t>
            </w:r>
          </w:p>
        </w:tc>
        <w:tc>
          <w:tcPr>
            <w:tcW w:type="dxa" w:w="1474"/>
            <w:shd w:val="clear" w:color="auto" w:fill="2E74B5"/>
          </w:tcPr>
          <w:p>
            <w:pPr>
              <w:spacing w:before="30" w:after="30" w:line="240" w:lineRule="auto"/>
            </w:pPr>
            <w:r/>
            <w:r>
              <w:rPr>
                <w:rFonts w:ascii="Calibri" w:hAnsi="Calibri"/>
                <w:b/>
                <w:color w:val="FFFFFF"/>
                <w:sz w:val="17"/>
              </w:rPr>
              <w:t>Over nominal</w:t>
            </w:r>
          </w:p>
        </w:tc>
        <w:tc>
          <w:tcPr>
            <w:tcW w:type="dxa" w:w="1361"/>
            <w:shd w:val="clear" w:color="auto" w:fill="2E74B5"/>
          </w:tcPr>
          <w:p>
            <w:pPr>
              <w:spacing w:before="30" w:after="30" w:line="240" w:lineRule="auto"/>
            </w:pPr>
            <w:r/>
            <w:r>
              <w:rPr>
                <w:rFonts w:ascii="Calibri" w:hAnsi="Calibri"/>
                <w:b/>
                <w:color w:val="FFFFFF"/>
                <w:sz w:val="17"/>
              </w:rPr>
              <w:t>Delivered</w:t>
            </w:r>
          </w:p>
        </w:tc>
        <w:tc>
          <w:tcPr>
            <w:tcW w:type="dxa" w:w="2211"/>
            <w:shd w:val="clear" w:color="auto" w:fill="2E74B5"/>
          </w:tcPr>
          <w:p>
            <w:pPr>
              <w:spacing w:before="30" w:after="30" w:line="240" w:lineRule="auto"/>
            </w:pPr>
            <w:r/>
            <w:r>
              <w:rPr>
                <w:rFonts w:ascii="Calibri" w:hAnsi="Calibri"/>
                <w:b/>
                <w:color w:val="FFFFFF"/>
                <w:sz w:val="17"/>
              </w:rPr>
              <w:t>Goals met</w:t>
            </w:r>
          </w:p>
        </w:tc>
      </w:tr>
      <w:tr>
        <w:tc>
          <w:tcPr>
            <w:tcW w:type="dxa" w:w="1247"/>
            <w:shd w:val="clear" w:color="auto" w:fill="F2F6FB"/>
          </w:tcPr>
          <w:p>
            <w:pPr>
              <w:spacing w:before="30" w:after="30" w:line="240" w:lineRule="auto"/>
            </w:pPr>
            <w:r/>
            <w:r>
              <w:rPr>
                <w:rFonts w:ascii="Calibri" w:hAnsi="Calibri"/>
                <w:b w:val="0"/>
                <w:sz w:val="17"/>
              </w:rPr>
              <w:t>Sprint 3</w:t>
            </w:r>
          </w:p>
        </w:tc>
        <w:tc>
          <w:tcPr>
            <w:tcW w:type="dxa" w:w="1474"/>
            <w:shd w:val="clear" w:color="auto" w:fill="F2F6FB"/>
          </w:tcPr>
          <w:p>
            <w:pPr>
              <w:spacing w:before="30" w:after="30" w:line="240" w:lineRule="auto"/>
            </w:pPr>
            <w:r/>
            <w:r>
              <w:rPr>
                <w:rFonts w:ascii="Calibri" w:hAnsi="Calibri"/>
                <w:b w:val="0"/>
                <w:sz w:val="17"/>
              </w:rPr>
              <w:t>116 h</w:t>
            </w:r>
          </w:p>
        </w:tc>
        <w:tc>
          <w:tcPr>
            <w:tcW w:type="dxa" w:w="1701"/>
            <w:shd w:val="clear" w:color="auto" w:fill="F2F6FB"/>
          </w:tcPr>
          <w:p>
            <w:pPr>
              <w:spacing w:before="30" w:after="30" w:line="240" w:lineRule="auto"/>
            </w:pPr>
            <w:r/>
            <w:r>
              <w:rPr>
                <w:rFonts w:ascii="Calibri" w:hAnsi="Calibri"/>
                <w:b w:val="0"/>
                <w:sz w:val="17"/>
              </w:rPr>
              <w:t>80 h</w:t>
            </w:r>
          </w:p>
        </w:tc>
        <w:tc>
          <w:tcPr>
            <w:tcW w:type="dxa" w:w="1474"/>
            <w:shd w:val="clear" w:color="auto" w:fill="F2F6FB"/>
          </w:tcPr>
          <w:p>
            <w:pPr>
              <w:spacing w:before="30" w:after="30" w:line="240" w:lineRule="auto"/>
            </w:pPr>
            <w:r/>
            <w:r>
              <w:rPr>
                <w:rFonts w:ascii="Calibri" w:hAnsi="Calibri"/>
                <w:b w:val="0"/>
                <w:sz w:val="17"/>
              </w:rPr>
              <w:t>+36 h</w:t>
            </w:r>
          </w:p>
        </w:tc>
        <w:tc>
          <w:tcPr>
            <w:tcW w:type="dxa" w:w="1361"/>
            <w:shd w:val="clear" w:color="auto" w:fill="F2F6FB"/>
          </w:tcPr>
          <w:p>
            <w:pPr>
              <w:spacing w:before="30" w:after="30" w:line="240" w:lineRule="auto"/>
            </w:pPr>
            <w:r/>
            <w:r>
              <w:rPr>
                <w:rFonts w:ascii="Calibri" w:hAnsi="Calibri"/>
                <w:b w:val="0"/>
                <w:sz w:val="17"/>
              </w:rPr>
              <w:t>v0.9</w:t>
            </w:r>
          </w:p>
        </w:tc>
        <w:tc>
          <w:tcPr>
            <w:tcW w:type="dxa" w:w="2211"/>
            <w:shd w:val="clear" w:color="auto" w:fill="F2F6FB"/>
          </w:tcPr>
          <w:p>
            <w:pPr>
              <w:spacing w:before="30" w:after="30" w:line="240" w:lineRule="auto"/>
            </w:pPr>
            <w:r/>
            <w:r>
              <w:rPr>
                <w:rFonts w:ascii="Calibri" w:hAnsi="Calibri"/>
                <w:b w:val="0"/>
                <w:sz w:val="17"/>
              </w:rPr>
              <w:t>3 of 6</w:t>
            </w:r>
          </w:p>
        </w:tc>
      </w:tr>
      <w:tr>
        <w:tc>
          <w:tcPr>
            <w:tcW w:type="dxa" w:w="1247"/>
            <w:shd w:val="clear" w:color="auto" w:fill="FFFFFF"/>
          </w:tcPr>
          <w:p>
            <w:pPr>
              <w:spacing w:before="30" w:after="30" w:line="240" w:lineRule="auto"/>
            </w:pPr>
            <w:r/>
            <w:r>
              <w:rPr>
                <w:rFonts w:ascii="Calibri" w:hAnsi="Calibri"/>
                <w:b w:val="0"/>
                <w:sz w:val="17"/>
              </w:rPr>
              <w:t>Sprint 4</w:t>
            </w:r>
          </w:p>
        </w:tc>
        <w:tc>
          <w:tcPr>
            <w:tcW w:type="dxa" w:w="1474"/>
            <w:shd w:val="clear" w:color="auto" w:fill="FFFFFF"/>
          </w:tcPr>
          <w:p>
            <w:pPr>
              <w:spacing w:before="30" w:after="30" w:line="240" w:lineRule="auto"/>
            </w:pPr>
            <w:r/>
            <w:r>
              <w:rPr>
                <w:rFonts w:ascii="Calibri" w:hAnsi="Calibri"/>
                <w:b w:val="0"/>
                <w:sz w:val="17"/>
              </w:rPr>
              <w:t>80 h</w:t>
            </w:r>
          </w:p>
        </w:tc>
        <w:tc>
          <w:tcPr>
            <w:tcW w:type="dxa" w:w="1701"/>
            <w:shd w:val="clear" w:color="auto" w:fill="FFFFFF"/>
          </w:tcPr>
          <w:p>
            <w:pPr>
              <w:spacing w:before="30" w:after="30" w:line="240" w:lineRule="auto"/>
            </w:pPr>
            <w:r/>
            <w:r>
              <w:rPr>
                <w:rFonts w:ascii="Calibri" w:hAnsi="Calibri"/>
                <w:b w:val="0"/>
                <w:sz w:val="17"/>
              </w:rPr>
              <w:t>48 h</w:t>
            </w:r>
          </w:p>
        </w:tc>
        <w:tc>
          <w:tcPr>
            <w:tcW w:type="dxa" w:w="1474"/>
            <w:shd w:val="clear" w:color="auto" w:fill="FFFFFF"/>
          </w:tcPr>
          <w:p>
            <w:pPr>
              <w:spacing w:before="30" w:after="30" w:line="240" w:lineRule="auto"/>
            </w:pPr>
            <w:r/>
            <w:r>
              <w:rPr>
                <w:rFonts w:ascii="Calibri" w:hAnsi="Calibri"/>
                <w:b w:val="0"/>
                <w:sz w:val="17"/>
              </w:rPr>
              <w:t>+32 h</w:t>
            </w:r>
          </w:p>
        </w:tc>
        <w:tc>
          <w:tcPr>
            <w:tcW w:type="dxa" w:w="1361"/>
            <w:shd w:val="clear" w:color="auto" w:fill="FFFFFF"/>
          </w:tcPr>
          <w:p>
            <w:pPr>
              <w:spacing w:before="30" w:after="30" w:line="240" w:lineRule="auto"/>
            </w:pPr>
            <w:r/>
            <w:r>
              <w:rPr>
                <w:rFonts w:ascii="Calibri" w:hAnsi="Calibri"/>
                <w:b w:val="0"/>
                <w:sz w:val="17"/>
              </w:rPr>
              <w:t>v1.0</w:t>
            </w:r>
          </w:p>
        </w:tc>
        <w:tc>
          <w:tcPr>
            <w:tcW w:type="dxa" w:w="2211"/>
            <w:shd w:val="clear" w:color="auto" w:fill="FFFFFF"/>
          </w:tcPr>
          <w:p>
            <w:pPr>
              <w:spacing w:before="30" w:after="30" w:line="240" w:lineRule="auto"/>
            </w:pPr>
            <w:r/>
            <w:r>
              <w:rPr>
                <w:rFonts w:ascii="Calibri" w:hAnsi="Calibri"/>
                <w:b w:val="0"/>
                <w:sz w:val="17"/>
              </w:rPr>
              <w:t>all of the goal, two items dropped</w:t>
            </w:r>
          </w:p>
        </w:tc>
      </w:tr>
      <w:tr>
        <w:tc>
          <w:tcPr>
            <w:tcW w:type="dxa" w:w="1247"/>
            <w:shd w:val="clear" w:color="auto" w:fill="F2F6FB"/>
          </w:tcPr>
          <w:p>
            <w:pPr>
              <w:spacing w:before="30" w:after="30" w:line="240" w:lineRule="auto"/>
            </w:pPr>
            <w:r/>
            <w:r>
              <w:rPr>
                <w:rFonts w:ascii="Calibri" w:hAnsi="Calibri"/>
                <w:b/>
                <w:color w:val="1F3864"/>
                <w:sz w:val="17"/>
              </w:rPr>
              <w:t>Both</w:t>
            </w:r>
          </w:p>
        </w:tc>
        <w:tc>
          <w:tcPr>
            <w:tcW w:type="dxa" w:w="1474"/>
            <w:shd w:val="clear" w:color="auto" w:fill="F2F6FB"/>
          </w:tcPr>
          <w:p>
            <w:pPr>
              <w:spacing w:before="30" w:after="30" w:line="240" w:lineRule="auto"/>
            </w:pPr>
            <w:r/>
            <w:r>
              <w:rPr>
                <w:rFonts w:ascii="Calibri" w:hAnsi="Calibri"/>
                <w:b/>
                <w:color w:val="1F3864"/>
                <w:sz w:val="17"/>
              </w:rPr>
              <w:t>196 h</w:t>
            </w:r>
          </w:p>
        </w:tc>
        <w:tc>
          <w:tcPr>
            <w:tcW w:type="dxa" w:w="1701"/>
            <w:shd w:val="clear" w:color="auto" w:fill="F2F6FB"/>
          </w:tcPr>
          <w:p>
            <w:pPr>
              <w:spacing w:before="30" w:after="30" w:line="240" w:lineRule="auto"/>
            </w:pPr>
            <w:r/>
            <w:r>
              <w:rPr>
                <w:rFonts w:ascii="Calibri" w:hAnsi="Calibri"/>
                <w:b/>
                <w:color w:val="1F3864"/>
                <w:sz w:val="17"/>
              </w:rPr>
              <w:t>128 h</w:t>
            </w:r>
          </w:p>
        </w:tc>
        <w:tc>
          <w:tcPr>
            <w:tcW w:type="dxa" w:w="1474"/>
            <w:shd w:val="clear" w:color="auto" w:fill="F2F6FB"/>
          </w:tcPr>
          <w:p>
            <w:pPr>
              <w:spacing w:before="30" w:after="30" w:line="240" w:lineRule="auto"/>
            </w:pPr>
            <w:r/>
            <w:r>
              <w:rPr>
                <w:rFonts w:ascii="Calibri" w:hAnsi="Calibri"/>
                <w:b/>
                <w:color w:val="1F3864"/>
                <w:sz w:val="17"/>
              </w:rPr>
              <w:t>+68 h</w:t>
            </w:r>
          </w:p>
        </w:tc>
        <w:tc>
          <w:tcPr>
            <w:tcW w:type="dxa" w:w="1361"/>
            <w:shd w:val="clear" w:color="auto" w:fill="F2F6FB"/>
          </w:tcPr>
          <w:p>
            <w:pPr>
              <w:spacing w:before="30" w:after="30" w:line="240" w:lineRule="auto"/>
            </w:pPr>
            <w:r/>
            <w:r>
              <w:rPr>
                <w:rFonts w:ascii="Calibri" w:hAnsi="Calibri"/>
                <w:b/>
                <w:color w:val="1F3864"/>
                <w:sz w:val="17"/>
              </w:rPr>
            </w:r>
          </w:p>
        </w:tc>
        <w:tc>
          <w:tcPr>
            <w:tcW w:type="dxa" w:w="2211"/>
            <w:shd w:val="clear" w:color="auto" w:fill="F2F6FB"/>
          </w:tcPr>
          <w:p>
            <w:pPr>
              <w:spacing w:before="30" w:after="30" w:line="240" w:lineRule="auto"/>
            </w:pPr>
            <w:r/>
            <w:r>
              <w:rPr>
                <w:rFonts w:ascii="Calibri" w:hAnsi="Calibri"/>
                <w:b/>
                <w:color w:val="1F3864"/>
                <w:sz w:val="17"/>
              </w:rPr>
            </w:r>
          </w:p>
        </w:tc>
      </w:tr>
    </w:tbl>
    <w:p>
      <w:pPr>
        <w:spacing w:before="60" w:after="160"/>
      </w:pPr>
      <w:r>
        <w:rPr>
          <w:i/>
          <w:color w:val="595959"/>
          <w:sz w:val="16"/>
        </w:rPr>
        <w:t>Table 12. Planned hours against nominal capacity for the two second-release sprints. “Over nominal” is planned hours minus capacity, not actual minus planned: actual hours were not recorded consistently enough to make that comparison, and a second estimate dressed as a measurement would be worse than no figure.</w:t>
      </w:r>
    </w:p>
    <w:p>
      <w:pPr>
        <w:pStyle w:val="Heading2"/>
      </w:pPr>
      <w:r>
        <w:t>7.1  Two causes</w:t>
      </w:r>
    </w:p>
    <w:p>
      <w:pPr>
        <w:spacing w:after="100"/>
      </w:pPr>
      <w:r>
        <w:rPr>
          <w:b w:val="0"/>
          <w:i w:val="0"/>
          <w:sz w:val="20"/>
        </w:rPr>
        <w:t>The first cause was an abstraction level agreed late. Sprint 3 spent its first half deciding how many strategic models there should be. The consequence was not that less was built; it was that the SR model, the alignment narrative and the acceptance evidence — three of the six review goals — all landed in Sprint 4 instead.</w:t>
      </w:r>
    </w:p>
    <w:p>
      <w:pPr>
        <w:spacing w:after="100"/>
      </w:pPr>
      <w:r>
        <w:rPr>
          <w:b w:val="0"/>
          <w:i w:val="0"/>
          <w:sz w:val="20"/>
        </w:rPr>
        <w:t>The second cause was a class of defect that no plan could have estimated, because it was invisible until an instance started. Three XSD sequence violations and a form-binding defect appeared only at deployment. They were not in the plan because the plan assumed the Modeler's parse was sufficient evidence that a model was finished. It was not: the Modeler's parser is lenient exactly where the engine's validator is strict.</w:t>
      </w:r>
    </w:p>
    <w:p>
      <w:pPr>
        <w:pStyle w:val="Heading2"/>
      </w:pPr>
      <w:r>
        <w:t>7.2  What that cost, and what it bought</w:t>
      </w:r>
    </w:p>
    <w:p>
      <w:pPr>
        <w:spacing w:after="100"/>
      </w:pPr>
      <w:r>
        <w:rPr>
          <w:b w:val="0"/>
          <w:i w:val="0"/>
          <w:sz w:val="20"/>
        </w:rPr>
        <w:t>What it cost: S4-24, the automated RBAC regression suite, was dropped for capacity rather than half-built. Role-based access works and is evidenced by a live two-role check, but it cannot be proved automatically to keep working. The final integration landed in the last two days of Sprint 4, which is the same failure the Sprint 2 retrospective had already identified.</w:t>
      </w:r>
    </w:p>
    <w:p>
      <w:pPr>
        <w:spacing w:after="100"/>
      </w:pPr>
      <w:r>
        <w:rPr>
          <w:b w:val="0"/>
          <w:i w:val="0"/>
          <w:sz w:val="20"/>
        </w:rPr>
        <w:t>What it bought: the deployment rehearsal produced four defects that no amount of diagram review had found, and closing them is the strongest single piece of evidence in the second release. Reporting them and then fixing them is more defensible than a test plan that only ever ran against stubs.</w:t>
      </w:r>
    </w:p>
    <w:p>
      <w:pPr>
        <w:pStyle w:val="Heading2"/>
      </w:pPr>
      <w:r>
        <w:t>7.3  Retrospectives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1077"/>
            <w:shd w:val="clear" w:color="auto" w:fill="2E74B5"/>
          </w:tcPr>
          <w:p>
            <w:pPr>
              <w:spacing w:before="30" w:after="30" w:line="240" w:lineRule="auto"/>
            </w:pPr>
            <w:r/>
            <w:r>
              <w:rPr>
                <w:rFonts w:ascii="Calibri" w:hAnsi="Calibri"/>
                <w:b/>
                <w:color w:val="FFFFFF"/>
                <w:sz w:val="15"/>
              </w:rPr>
              <w:t>Sprint</w:t>
            </w:r>
          </w:p>
        </w:tc>
        <w:tc>
          <w:tcPr>
            <w:tcW w:type="dxa" w:w="3005"/>
            <w:shd w:val="clear" w:color="auto" w:fill="2E74B5"/>
          </w:tcPr>
          <w:p>
            <w:pPr>
              <w:spacing w:before="30" w:after="30" w:line="240" w:lineRule="auto"/>
            </w:pPr>
            <w:r/>
            <w:r>
              <w:rPr>
                <w:rFonts w:ascii="Calibri" w:hAnsi="Calibri"/>
                <w:b/>
                <w:color w:val="FFFFFF"/>
                <w:sz w:val="15"/>
              </w:rPr>
              <w:t>Went well</w:t>
            </w:r>
          </w:p>
        </w:tc>
        <w:tc>
          <w:tcPr>
            <w:tcW w:type="dxa" w:w="3061"/>
            <w:shd w:val="clear" w:color="auto" w:fill="2E74B5"/>
          </w:tcPr>
          <w:p>
            <w:pPr>
              <w:spacing w:before="30" w:after="30" w:line="240" w:lineRule="auto"/>
            </w:pPr>
            <w:r/>
            <w:r>
              <w:rPr>
                <w:rFonts w:ascii="Calibri" w:hAnsi="Calibri"/>
                <w:b/>
                <w:color w:val="FFFFFF"/>
                <w:sz w:val="15"/>
              </w:rPr>
              <w:t>Did not go well</w:t>
            </w:r>
          </w:p>
        </w:tc>
        <w:tc>
          <w:tcPr>
            <w:tcW w:type="dxa" w:w="2324"/>
            <w:shd w:val="clear" w:color="auto" w:fill="2E74B5"/>
          </w:tcPr>
          <w:p>
            <w:pPr>
              <w:spacing w:before="30" w:after="30" w:line="240" w:lineRule="auto"/>
            </w:pPr>
            <w:r/>
            <w:r>
              <w:rPr>
                <w:rFonts w:ascii="Calibri" w:hAnsi="Calibri"/>
                <w:b/>
                <w:color w:val="FFFFFF"/>
                <w:sz w:val="15"/>
              </w:rPr>
              <w:t>Carried forward</w:t>
            </w:r>
          </w:p>
        </w:tc>
      </w:tr>
      <w:tr>
        <w:tc>
          <w:tcPr>
            <w:tcW w:type="dxa" w:w="1077"/>
            <w:shd w:val="clear" w:color="auto" w:fill="F2F6FB"/>
          </w:tcPr>
          <w:p>
            <w:pPr>
              <w:spacing w:before="30" w:after="30" w:line="240" w:lineRule="auto"/>
            </w:pPr>
            <w:r/>
            <w:r>
              <w:rPr>
                <w:rFonts w:ascii="Calibri" w:hAnsi="Calibri"/>
                <w:b w:val="0"/>
                <w:sz w:val="15"/>
              </w:rPr>
              <w:t>Sprint 1</w:t>
            </w:r>
          </w:p>
        </w:tc>
        <w:tc>
          <w:tcPr>
            <w:tcW w:type="dxa" w:w="3005"/>
            <w:shd w:val="clear" w:color="auto" w:fill="F2F6FB"/>
          </w:tcPr>
          <w:p>
            <w:pPr>
              <w:spacing w:before="30" w:after="30" w:line="240" w:lineRule="auto"/>
            </w:pPr>
            <w:r/>
            <w:r>
              <w:rPr>
                <w:rFonts w:ascii="Calibri" w:hAnsi="Calibri"/>
                <w:b w:val="0"/>
                <w:sz w:val="15"/>
              </w:rPr>
              <w:t>The abstraction level was agreed in writing before anyone drew anything; the second-owner rule held and the traceability handover from max to henry happened without a gap</w:t>
            </w:r>
          </w:p>
        </w:tc>
        <w:tc>
          <w:tcPr>
            <w:tcW w:type="dxa" w:w="3061"/>
            <w:shd w:val="clear" w:color="auto" w:fill="F2F6FB"/>
          </w:tcPr>
          <w:p>
            <w:pPr>
              <w:spacing w:before="30" w:after="30" w:line="240" w:lineRule="auto"/>
            </w:pPr>
            <w:r/>
            <w:r>
              <w:rPr>
                <w:rFonts w:ascii="Calibri" w:hAnsi="Calibri"/>
                <w:b w:val="0"/>
                <w:sz w:val="15"/>
              </w:rPr>
              <w:t>128 hours were planned against 80 of capacity, which made the sprint look late from day one while it was going to plan; the merge was left out of the backlog entirely</w:t>
            </w:r>
          </w:p>
        </w:tc>
        <w:tc>
          <w:tcPr>
            <w:tcW w:type="dxa" w:w="2324"/>
            <w:shd w:val="clear" w:color="auto" w:fill="F2F6FB"/>
          </w:tcPr>
          <w:p>
            <w:pPr>
              <w:spacing w:before="30" w:after="30" w:line="240" w:lineRule="auto"/>
            </w:pPr>
            <w:r/>
            <w:r>
              <w:rPr>
                <w:rFonts w:ascii="Calibri" w:hAnsi="Calibri"/>
                <w:b w:val="0"/>
                <w:sz w:val="15"/>
              </w:rPr>
              <w:t>Agree the model family structure before more BPMN; add the merge as an item with its own estimate and owner</w:t>
            </w:r>
          </w:p>
        </w:tc>
      </w:tr>
      <w:tr>
        <w:tc>
          <w:tcPr>
            <w:tcW w:type="dxa" w:w="1077"/>
            <w:shd w:val="clear" w:color="auto" w:fill="FFFFFF"/>
          </w:tcPr>
          <w:p>
            <w:pPr>
              <w:spacing w:before="30" w:after="30" w:line="240" w:lineRule="auto"/>
            </w:pPr>
            <w:r/>
            <w:r>
              <w:rPr>
                <w:rFonts w:ascii="Calibri" w:hAnsi="Calibri"/>
                <w:b w:val="0"/>
                <w:sz w:val="15"/>
              </w:rPr>
              <w:t>Sprint 2</w:t>
            </w:r>
          </w:p>
        </w:tc>
        <w:tc>
          <w:tcPr>
            <w:tcW w:type="dxa" w:w="3005"/>
            <w:shd w:val="clear" w:color="auto" w:fill="FFFFFF"/>
          </w:tcPr>
          <w:p>
            <w:pPr>
              <w:spacing w:before="30" w:after="30" w:line="240" w:lineRule="auto"/>
            </w:pPr>
            <w:r/>
            <w:r>
              <w:rPr>
                <w:rFonts w:ascii="Calibri" w:hAnsi="Calibri"/>
                <w:b w:val="0"/>
                <w:sz w:val="15"/>
              </w:rPr>
              <w:t>Deploying to a real cluster was the most useful single step; writing the acceptance harness before the exception paths were specified made each case after the third cheap</w:t>
            </w:r>
          </w:p>
        </w:tc>
        <w:tc>
          <w:tcPr>
            <w:tcW w:type="dxa" w:w="3061"/>
            <w:shd w:val="clear" w:color="auto" w:fill="FFFFFF"/>
          </w:tcPr>
          <w:p>
            <w:pPr>
              <w:spacing w:before="30" w:after="30" w:line="240" w:lineRule="auto"/>
            </w:pPr>
            <w:r/>
            <w:r>
              <w:rPr>
                <w:rFonts w:ascii="Calibri" w:hAnsi="Calibri"/>
                <w:b w:val="0"/>
                <w:sz w:val="15"/>
              </w:rPr>
              <w:t>Integration landed in the last two days again; the forms were finished last, so the first deployment had nothing to bind to; documentation was treated as the work that happens after the work</w:t>
            </w:r>
          </w:p>
        </w:tc>
        <w:tc>
          <w:tcPr>
            <w:tcW w:type="dxa" w:w="2324"/>
            <w:shd w:val="clear" w:color="auto" w:fill="FFFFFF"/>
          </w:tcPr>
          <w:p>
            <w:pPr>
              <w:spacing w:before="30" w:after="30" w:line="240" w:lineRule="auto"/>
            </w:pPr>
            <w:r/>
            <w:r>
              <w:rPr>
                <w:rFonts w:ascii="Calibri" w:hAnsi="Calibri"/>
                <w:b w:val="0"/>
                <w:sz w:val="15"/>
              </w:rPr>
              <w:t>A deployment rehearsal at mid-sprint; freeze the model before generating forms; give documentation its own backlog items</w:t>
            </w:r>
          </w:p>
        </w:tc>
      </w:tr>
      <w:tr>
        <w:tc>
          <w:tcPr>
            <w:tcW w:type="dxa" w:w="1077"/>
            <w:shd w:val="clear" w:color="auto" w:fill="F2F6FB"/>
          </w:tcPr>
          <w:p>
            <w:pPr>
              <w:spacing w:before="30" w:after="30" w:line="240" w:lineRule="auto"/>
            </w:pPr>
            <w:r/>
            <w:r>
              <w:rPr>
                <w:rFonts w:ascii="Calibri" w:hAnsi="Calibri"/>
                <w:b w:val="0"/>
                <w:sz w:val="15"/>
              </w:rPr>
              <w:t>Sprint 3</w:t>
            </w:r>
          </w:p>
        </w:tc>
        <w:tc>
          <w:tcPr>
            <w:tcW w:type="dxa" w:w="3005"/>
            <w:shd w:val="clear" w:color="auto" w:fill="F2F6FB"/>
          </w:tcPr>
          <w:p>
            <w:pPr>
              <w:spacing w:before="30" w:after="30" w:line="240" w:lineRule="auto"/>
            </w:pPr>
            <w:r/>
            <w:r>
              <w:rPr>
                <w:rFonts w:ascii="Calibri" w:hAnsi="Calibri"/>
                <w:b w:val="0"/>
                <w:sz w:val="15"/>
              </w:rPr>
              <w:t>The strategic models were produced quickly once the abstraction level was agreed; the second-owner rule held</w:t>
            </w:r>
          </w:p>
        </w:tc>
        <w:tc>
          <w:tcPr>
            <w:tcW w:type="dxa" w:w="3061"/>
            <w:shd w:val="clear" w:color="auto" w:fill="F2F6FB"/>
          </w:tcPr>
          <w:p>
            <w:pPr>
              <w:spacing w:before="30" w:after="30" w:line="240" w:lineRule="auto"/>
            </w:pPr>
            <w:r/>
            <w:r>
              <w:rPr>
                <w:rFonts w:ascii="Calibri" w:hAnsi="Calibri"/>
                <w:b w:val="0"/>
                <w:sz w:val="15"/>
              </w:rPr>
              <w:t>The SR model slipped and the i* assumptions note contradicted itself once</w:t>
            </w:r>
          </w:p>
        </w:tc>
        <w:tc>
          <w:tcPr>
            <w:tcW w:type="dxa" w:w="2324"/>
            <w:shd w:val="clear" w:color="auto" w:fill="F2F6FB"/>
          </w:tcPr>
          <w:p>
            <w:pPr>
              <w:spacing w:before="30" w:after="30" w:line="240" w:lineRule="auto"/>
            </w:pPr>
            <w:r/>
            <w:r>
              <w:rPr>
                <w:rFonts w:ascii="Calibri" w:hAnsi="Calibri"/>
                <w:b w:val="0"/>
                <w:sz w:val="15"/>
              </w:rPr>
              <w:t>Agree the abstraction level in writing before modelling; write the assumptions note in one sitting; start the acceptance review earlier</w:t>
            </w:r>
          </w:p>
        </w:tc>
      </w:tr>
      <w:tr>
        <w:tc>
          <w:tcPr>
            <w:tcW w:type="dxa" w:w="1077"/>
            <w:shd w:val="clear" w:color="auto" w:fill="FFFFFF"/>
          </w:tcPr>
          <w:p>
            <w:pPr>
              <w:spacing w:before="30" w:after="30" w:line="240" w:lineRule="auto"/>
            </w:pPr>
            <w:r/>
            <w:r>
              <w:rPr>
                <w:rFonts w:ascii="Calibri" w:hAnsi="Calibri"/>
                <w:b w:val="0"/>
                <w:sz w:val="15"/>
              </w:rPr>
              <w:t>Sprint 4</w:t>
            </w:r>
          </w:p>
        </w:tc>
        <w:tc>
          <w:tcPr>
            <w:tcW w:type="dxa" w:w="3005"/>
            <w:shd w:val="clear" w:color="auto" w:fill="FFFFFF"/>
          </w:tcPr>
          <w:p>
            <w:pPr>
              <w:spacing w:before="30" w:after="30" w:line="240" w:lineRule="auto"/>
            </w:pPr>
            <w:r/>
            <w:r>
              <w:rPr>
                <w:rFonts w:ascii="Calibri" w:hAnsi="Calibri"/>
                <w:b w:val="0"/>
                <w:sz w:val="15"/>
              </w:rPr>
              <w:t>Deployment found four defects that the round-trip, the linter and the Modeler had all passed; reporting them honestly and closing them with a clean run was more defensible than a plan that only ran against stubs</w:t>
            </w:r>
          </w:p>
        </w:tc>
        <w:tc>
          <w:tcPr>
            <w:tcW w:type="dxa" w:w="3061"/>
            <w:shd w:val="clear" w:color="auto" w:fill="FFFFFF"/>
          </w:tcPr>
          <w:p>
            <w:pPr>
              <w:spacing w:before="30" w:after="30" w:line="240" w:lineRule="auto"/>
            </w:pPr>
            <w:r/>
            <w:r>
              <w:rPr>
                <w:rFonts w:ascii="Calibri" w:hAnsi="Calibri"/>
                <w:b w:val="0"/>
                <w:sz w:val="15"/>
              </w:rPr>
              <w:t>The sprint was planned at 80 hours against 48 nominal and integration again landed in the last two days</w:t>
            </w:r>
          </w:p>
        </w:tc>
        <w:tc>
          <w:tcPr>
            <w:tcW w:type="dxa" w:w="2324"/>
            <w:shd w:val="clear" w:color="auto" w:fill="FFFFFF"/>
          </w:tcPr>
          <w:p>
            <w:pPr>
              <w:spacing w:before="30" w:after="30" w:line="240" w:lineRule="auto"/>
            </w:pPr>
            <w:r/>
            <w:r>
              <w:rPr>
                <w:rFonts w:ascii="Calibri" w:hAnsi="Calibri"/>
                <w:b w:val="0"/>
                <w:sz w:val="15"/>
              </w:rPr>
              <w:t>Rehearse integration at mid-sprint; build the test harness before the exception paths are specified; treat documentation as scheduled work</w:t>
            </w:r>
          </w:p>
        </w:tc>
      </w:tr>
    </w:tbl>
    <w:p>
      <w:pPr>
        <w:spacing w:before="60" w:after="160"/>
      </w:pPr>
      <w:r>
        <w:rPr>
          <w:i/>
          <w:color w:val="595959"/>
          <w:sz w:val="16"/>
        </w:rPr>
        <w:t>Table 13. Retrospectives. The same two findings recur in three of the four sprints, which is the strongest evidence that the plan was wrong in a consistent way rather than unlucky.</w:t>
      </w:r>
    </w:p>
    <w:p>
      <w:pPr>
        <w:pStyle w:val="Heading1"/>
      </w:pPr>
      <w:r>
        <w:t>8  Where the raw records live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3628"/>
            <w:shd w:val="clear" w:color="auto" w:fill="2E74B5"/>
          </w:tcPr>
          <w:p>
            <w:pPr>
              <w:spacing w:before="30" w:after="30" w:line="240" w:lineRule="auto"/>
            </w:pPr>
            <w:r/>
            <w:r>
              <w:rPr>
                <w:rFonts w:ascii="Calibri" w:hAnsi="Calibri"/>
                <w:b/>
                <w:color w:val="FFFFFF"/>
                <w:sz w:val="16"/>
              </w:rPr>
              <w:t>Record</w:t>
            </w:r>
          </w:p>
        </w:tc>
        <w:tc>
          <w:tcPr>
            <w:tcW w:type="dxa" w:w="4252"/>
            <w:shd w:val="clear" w:color="auto" w:fill="2E74B5"/>
          </w:tcPr>
          <w:p>
            <w:pPr>
              <w:spacing w:before="30" w:after="30" w:line="240" w:lineRule="auto"/>
            </w:pPr>
            <w:r/>
            <w:r>
              <w:rPr>
                <w:rFonts w:ascii="Calibri" w:hAnsi="Calibri"/>
                <w:b/>
                <w:color w:val="FFFFFF"/>
                <w:sz w:val="16"/>
              </w:rPr>
              <w:t>Location</w:t>
            </w:r>
          </w:p>
        </w:tc>
        <w:tc>
          <w:tcPr>
            <w:tcW w:type="dxa" w:w="1587"/>
            <w:shd w:val="clear" w:color="auto" w:fill="2E74B5"/>
          </w:tcPr>
          <w:p>
            <w:pPr>
              <w:spacing w:before="30" w:after="30" w:line="240" w:lineRule="auto"/>
            </w:pPr>
            <w:r/>
            <w:r>
              <w:rPr>
                <w:rFonts w:ascii="Calibri" w:hAnsi="Calibri"/>
                <w:b/>
                <w:color w:val="FFFFFF"/>
                <w:sz w:val="16"/>
              </w:rPr>
              <w:t>Used in</w:t>
            </w:r>
          </w:p>
        </w:tc>
      </w:tr>
      <w:tr>
        <w:tc>
          <w:tcPr>
            <w:tcW w:type="dxa" w:w="3628"/>
            <w:shd w:val="clear" w:color="auto" w:fill="F2F6FB"/>
          </w:tcPr>
          <w:p>
            <w:pPr>
              <w:spacing w:before="30" w:after="30" w:line="240" w:lineRule="auto"/>
            </w:pPr>
            <w:r/>
            <w:r>
              <w:rPr>
                <w:rFonts w:ascii="Calibri" w:hAnsi="Calibri"/>
                <w:b w:val="0"/>
                <w:sz w:val="16"/>
              </w:rPr>
              <w:t>Product backlog, sprint backlogs, Risks &amp; Assumptions sheet</w:t>
            </w:r>
          </w:p>
        </w:tc>
        <w:tc>
          <w:tcPr>
            <w:tcW w:type="dxa" w:w="4252"/>
            <w:shd w:val="clear" w:color="auto" w:fill="F2F6FB"/>
          </w:tcPr>
          <w:p>
            <w:pPr>
              <w:spacing w:before="30" w:after="30" w:line="240" w:lineRule="auto"/>
            </w:pPr>
            <w:r/>
            <w:r>
              <w:rPr>
                <w:rFonts w:ascii="Calibri" w:hAnsi="Calibri"/>
                <w:b w:val="0"/>
                <w:sz w:val="16"/>
              </w:rPr>
              <w:t>01_Agile_Planning/Hospital_Patient_System_Project_Backlog_….xlsx</w:t>
            </w:r>
          </w:p>
        </w:tc>
        <w:tc>
          <w:tcPr>
            <w:tcW w:type="dxa" w:w="1587"/>
            <w:shd w:val="clear" w:color="auto" w:fill="F2F6FB"/>
          </w:tcPr>
          <w:p>
            <w:pPr>
              <w:spacing w:before="30" w:after="30" w:line="240" w:lineRule="auto"/>
            </w:pPr>
            <w:r/>
            <w:r>
              <w:rPr>
                <w:rFonts w:ascii="Calibri" w:hAnsi="Calibri"/>
                <w:b w:val="0"/>
                <w:sz w:val="16"/>
              </w:rPr>
              <w:t>Sections 3, 4, 6</w:t>
            </w:r>
          </w:p>
        </w:tc>
      </w:tr>
      <w:tr>
        <w:tc>
          <w:tcPr>
            <w:tcW w:type="dxa" w:w="3628"/>
            <w:shd w:val="clear" w:color="auto" w:fill="FFFFFF"/>
          </w:tcPr>
          <w:p>
            <w:pPr>
              <w:spacing w:before="30" w:after="30" w:line="240" w:lineRule="auto"/>
            </w:pPr>
            <w:r/>
            <w:r>
              <w:rPr>
                <w:rFonts w:ascii="Calibri" w:hAnsi="Calibri"/>
                <w:b w:val="0"/>
                <w:sz w:val="16"/>
              </w:rPr>
              <w:t>Task record, contribution matrix, definition of done</w:t>
            </w:r>
          </w:p>
        </w:tc>
        <w:tc>
          <w:tcPr>
            <w:tcW w:type="dxa" w:w="4252"/>
            <w:shd w:val="clear" w:color="auto" w:fill="FFFFFF"/>
          </w:tcPr>
          <w:p>
            <w:pPr>
              <w:spacing w:before="30" w:after="30" w:line="240" w:lineRule="auto"/>
            </w:pPr>
            <w:r/>
            <w:r>
              <w:rPr>
                <w:rFonts w:ascii="Calibri" w:hAnsi="Calibri"/>
                <w:b w:val="0"/>
                <w:sz w:val="16"/>
              </w:rPr>
              <w:t>01_Agile_Planning/work-division.md</w:t>
            </w:r>
          </w:p>
        </w:tc>
        <w:tc>
          <w:tcPr>
            <w:tcW w:type="dxa" w:w="1587"/>
            <w:shd w:val="clear" w:color="auto" w:fill="FFFFFF"/>
          </w:tcPr>
          <w:p>
            <w:pPr>
              <w:spacing w:before="30" w:after="30" w:line="240" w:lineRule="auto"/>
            </w:pPr>
            <w:r/>
            <w:r>
              <w:rPr>
                <w:rFonts w:ascii="Calibri" w:hAnsi="Calibri"/>
                <w:b w:val="0"/>
                <w:sz w:val="16"/>
              </w:rPr>
              <w:t>Section 4</w:t>
            </w:r>
          </w:p>
        </w:tc>
      </w:tr>
      <w:tr>
        <w:tc>
          <w:tcPr>
            <w:tcW w:type="dxa" w:w="3628"/>
            <w:shd w:val="clear" w:color="auto" w:fill="F2F6FB"/>
          </w:tcPr>
          <w:p>
            <w:pPr>
              <w:spacing w:before="30" w:after="30" w:line="240" w:lineRule="auto"/>
            </w:pPr>
            <w:r/>
            <w:r>
              <w:rPr>
                <w:rFonts w:ascii="Calibri" w:hAnsi="Calibri"/>
                <w:b w:val="0"/>
                <w:sz w:val="16"/>
              </w:rPr>
              <w:t>Version snapshots and the tag convention</w:t>
            </w:r>
          </w:p>
        </w:tc>
        <w:tc>
          <w:tcPr>
            <w:tcW w:type="dxa" w:w="4252"/>
            <w:shd w:val="clear" w:color="auto" w:fill="F2F6FB"/>
          </w:tcPr>
          <w:p>
            <w:pPr>
              <w:spacing w:before="30" w:after="30" w:line="240" w:lineRule="auto"/>
            </w:pPr>
            <w:r/>
            <w:r>
              <w:rPr>
                <w:rFonts w:ascii="Calibri" w:hAnsi="Calibri"/>
                <w:b w:val="0"/>
                <w:sz w:val="16"/>
              </w:rPr>
              <w:t>01_Agile_Planning/version-snapshots.md</w:t>
            </w:r>
          </w:p>
        </w:tc>
        <w:tc>
          <w:tcPr>
            <w:tcW w:type="dxa" w:w="1587"/>
            <w:shd w:val="clear" w:color="auto" w:fill="F2F6FB"/>
          </w:tcPr>
          <w:p>
            <w:pPr>
              <w:spacing w:before="30" w:after="30" w:line="240" w:lineRule="auto"/>
            </w:pPr>
            <w:r/>
            <w:r>
              <w:rPr>
                <w:rFonts w:ascii="Calibri" w:hAnsi="Calibri"/>
                <w:b w:val="0"/>
                <w:sz w:val="16"/>
              </w:rPr>
              <w:t>Section 2</w:t>
            </w:r>
          </w:p>
        </w:tc>
      </w:tr>
      <w:tr>
        <w:tc>
          <w:tcPr>
            <w:tcW w:type="dxa" w:w="3628"/>
            <w:shd w:val="clear" w:color="auto" w:fill="FFFFFF"/>
          </w:tcPr>
          <w:p>
            <w:pPr>
              <w:spacing w:before="30" w:after="30" w:line="240" w:lineRule="auto"/>
            </w:pPr>
            <w:r/>
            <w:r>
              <w:rPr>
                <w:rFonts w:ascii="Calibri" w:hAnsi="Calibri"/>
                <w:b w:val="0"/>
                <w:sz w:val="16"/>
              </w:rPr>
              <w:t>Acceptance run, per-case traces and instance keys</w:t>
            </w:r>
          </w:p>
        </w:tc>
        <w:tc>
          <w:tcPr>
            <w:tcW w:type="dxa" w:w="4252"/>
            <w:shd w:val="clear" w:color="auto" w:fill="FFFFFF"/>
          </w:tcPr>
          <w:p>
            <w:pPr>
              <w:spacing w:before="30" w:after="30" w:line="240" w:lineRule="auto"/>
            </w:pPr>
            <w:r/>
            <w:r>
              <w:rPr>
                <w:rFonts w:ascii="Calibri" w:hAnsi="Calibri"/>
                <w:b w:val="0"/>
                <w:sz w:val="16"/>
              </w:rPr>
              <w:t>05_Test_Evidence/acceptance-run.json, acceptance-run.log</w:t>
            </w:r>
          </w:p>
        </w:tc>
        <w:tc>
          <w:tcPr>
            <w:tcW w:type="dxa" w:w="1587"/>
            <w:shd w:val="clear" w:color="auto" w:fill="FFFFFF"/>
          </w:tcPr>
          <w:p>
            <w:pPr>
              <w:spacing w:before="30" w:after="30" w:line="240" w:lineRule="auto"/>
            </w:pPr>
            <w:r/>
            <w:r>
              <w:rPr>
                <w:rFonts w:ascii="Calibri" w:hAnsi="Calibri"/>
                <w:b w:val="0"/>
                <w:sz w:val="16"/>
              </w:rPr>
              <w:t>Section 5, slide 11</w:t>
            </w:r>
          </w:p>
        </w:tc>
      </w:tr>
      <w:tr>
        <w:tc>
          <w:tcPr>
            <w:tcW w:type="dxa" w:w="3628"/>
            <w:shd w:val="clear" w:color="auto" w:fill="F2F6FB"/>
          </w:tcPr>
          <w:p>
            <w:pPr>
              <w:spacing w:before="30" w:after="30" w:line="240" w:lineRule="auto"/>
            </w:pPr>
            <w:r/>
            <w:r>
              <w:rPr>
                <w:rFonts w:ascii="Calibri" w:hAnsi="Calibri"/>
                <w:b w:val="0"/>
                <w:sz w:val="16"/>
              </w:rPr>
              <w:t>Acceptance test plan and criteria</w:t>
            </w:r>
          </w:p>
        </w:tc>
        <w:tc>
          <w:tcPr>
            <w:tcW w:type="dxa" w:w="4252"/>
            <w:shd w:val="clear" w:color="auto" w:fill="F2F6FB"/>
          </w:tcPr>
          <w:p>
            <w:pPr>
              <w:spacing w:before="30" w:after="30" w:line="240" w:lineRule="auto"/>
            </w:pPr>
            <w:r/>
            <w:r>
              <w:rPr>
                <w:rFonts w:ascii="Calibri" w:hAnsi="Calibri"/>
                <w:b w:val="0"/>
                <w:sz w:val="16"/>
              </w:rPr>
              <w:t>05_Test_Evidence/Acceptance_Test_Plan.md</w:t>
            </w:r>
          </w:p>
        </w:tc>
        <w:tc>
          <w:tcPr>
            <w:tcW w:type="dxa" w:w="1587"/>
            <w:shd w:val="clear" w:color="auto" w:fill="F2F6FB"/>
          </w:tcPr>
          <w:p>
            <w:pPr>
              <w:spacing w:before="30" w:after="30" w:line="240" w:lineRule="auto"/>
            </w:pPr>
            <w:r/>
            <w:r>
              <w:rPr>
                <w:rFonts w:ascii="Calibri" w:hAnsi="Calibri"/>
                <w:b w:val="0"/>
                <w:sz w:val="16"/>
              </w:rPr>
              <w:t>Section 5</w:t>
            </w:r>
          </w:p>
        </w:tc>
      </w:tr>
      <w:tr>
        <w:tc>
          <w:tcPr>
            <w:tcW w:type="dxa" w:w="3628"/>
            <w:shd w:val="clear" w:color="auto" w:fill="FFFFFF"/>
          </w:tcPr>
          <w:p>
            <w:pPr>
              <w:spacing w:before="30" w:after="30" w:line="240" w:lineRule="auto"/>
            </w:pPr>
            <w:r/>
            <w:r>
              <w:rPr>
                <w:rFonts w:ascii="Calibri" w:hAnsi="Calibri"/>
                <w:b w:val="0"/>
                <w:sz w:val="16"/>
              </w:rPr>
              <w:t>Defect log, including the four found at deployment</w:t>
            </w:r>
          </w:p>
        </w:tc>
        <w:tc>
          <w:tcPr>
            <w:tcW w:type="dxa" w:w="4252"/>
            <w:shd w:val="clear" w:color="auto" w:fill="FFFFFF"/>
          </w:tcPr>
          <w:p>
            <w:pPr>
              <w:spacing w:before="30" w:after="30" w:line="240" w:lineRule="auto"/>
            </w:pPr>
            <w:r/>
            <w:r>
              <w:rPr>
                <w:rFonts w:ascii="Calibri" w:hAnsi="Calibri"/>
                <w:b w:val="0"/>
                <w:sz w:val="16"/>
              </w:rPr>
              <w:t>08_Repository_Documents/defect-log.md</w:t>
            </w:r>
          </w:p>
        </w:tc>
        <w:tc>
          <w:tcPr>
            <w:tcW w:type="dxa" w:w="1587"/>
            <w:shd w:val="clear" w:color="auto" w:fill="FFFFFF"/>
          </w:tcPr>
          <w:p>
            <w:pPr>
              <w:spacing w:before="30" w:after="30" w:line="240" w:lineRule="auto"/>
            </w:pPr>
            <w:r/>
            <w:r>
              <w:rPr>
                <w:rFonts w:ascii="Calibri" w:hAnsi="Calibri"/>
                <w:b w:val="0"/>
                <w:sz w:val="16"/>
              </w:rPr>
              <w:t>Sections 4, 7</w:t>
            </w:r>
          </w:p>
        </w:tc>
      </w:tr>
      <w:tr>
        <w:tc>
          <w:tcPr>
            <w:tcW w:type="dxa" w:w="3628"/>
            <w:shd w:val="clear" w:color="auto" w:fill="F2F6FB"/>
          </w:tcPr>
          <w:p>
            <w:pPr>
              <w:spacing w:before="30" w:after="30" w:line="240" w:lineRule="auto"/>
            </w:pPr>
            <w:r/>
            <w:r>
              <w:rPr>
                <w:rFonts w:ascii="Calibri" w:hAnsi="Calibri"/>
                <w:b w:val="0"/>
                <w:sz w:val="16"/>
              </w:rPr>
              <w:t>Form field change log</w:t>
            </w:r>
          </w:p>
        </w:tc>
        <w:tc>
          <w:tcPr>
            <w:tcW w:type="dxa" w:w="4252"/>
            <w:shd w:val="clear" w:color="auto" w:fill="F2F6FB"/>
          </w:tcPr>
          <w:p>
            <w:pPr>
              <w:spacing w:before="30" w:after="30" w:line="240" w:lineRule="auto"/>
            </w:pPr>
            <w:r/>
            <w:r>
              <w:rPr>
                <w:rFonts w:ascii="Calibri" w:hAnsi="Calibri"/>
                <w:b w:val="0"/>
                <w:sz w:val="16"/>
              </w:rPr>
              <w:t>08_Repository_Documents/form-field-change-log.md</w:t>
            </w:r>
          </w:p>
        </w:tc>
        <w:tc>
          <w:tcPr>
            <w:tcW w:type="dxa" w:w="1587"/>
            <w:shd w:val="clear" w:color="auto" w:fill="F2F6FB"/>
          </w:tcPr>
          <w:p>
            <w:pPr>
              <w:spacing w:before="30" w:after="30" w:line="240" w:lineRule="auto"/>
            </w:pPr>
            <w:r/>
            <w:r>
              <w:rPr>
                <w:rFonts w:ascii="Calibri" w:hAnsi="Calibri"/>
                <w:b w:val="0"/>
                <w:sz w:val="16"/>
              </w:rPr>
              <w:t>Section 4</w:t>
            </w:r>
          </w:p>
        </w:tc>
      </w:tr>
      <w:tr>
        <w:tc>
          <w:tcPr>
            <w:tcW w:type="dxa" w:w="3628"/>
            <w:shd w:val="clear" w:color="auto" w:fill="FFFFFF"/>
          </w:tcPr>
          <w:p>
            <w:pPr>
              <w:spacing w:before="30" w:after="30" w:line="240" w:lineRule="auto"/>
            </w:pPr>
            <w:r/>
            <w:r>
              <w:rPr>
                <w:rFonts w:ascii="Calibri" w:hAnsi="Calibri"/>
                <w:b w:val="0"/>
                <w:sz w:val="16"/>
              </w:rPr>
              <w:t>Database integration record</w:t>
            </w:r>
          </w:p>
        </w:tc>
        <w:tc>
          <w:tcPr>
            <w:tcW w:type="dxa" w:w="4252"/>
            <w:shd w:val="clear" w:color="auto" w:fill="FFFFFF"/>
          </w:tcPr>
          <w:p>
            <w:pPr>
              <w:spacing w:before="30" w:after="30" w:line="240" w:lineRule="auto"/>
            </w:pPr>
            <w:r/>
            <w:r>
              <w:rPr>
                <w:rFonts w:ascii="Calibri" w:hAnsi="Calibri"/>
                <w:b w:val="0"/>
                <w:sz w:val="16"/>
              </w:rPr>
              <w:t>08_Repository_Documents/database-integration.md</w:t>
            </w:r>
          </w:p>
        </w:tc>
        <w:tc>
          <w:tcPr>
            <w:tcW w:type="dxa" w:w="1587"/>
            <w:shd w:val="clear" w:color="auto" w:fill="FFFFFF"/>
          </w:tcPr>
          <w:p>
            <w:pPr>
              <w:spacing w:before="30" w:after="30" w:line="240" w:lineRule="auto"/>
            </w:pPr>
            <w:r/>
            <w:r>
              <w:rPr>
                <w:rFonts w:ascii="Calibri" w:hAnsi="Calibri"/>
                <w:b w:val="0"/>
                <w:sz w:val="16"/>
              </w:rPr>
              <w:t>Section 6</w:t>
            </w:r>
          </w:p>
        </w:tc>
      </w:tr>
      <w:tr>
        <w:tc>
          <w:tcPr>
            <w:tcW w:type="dxa" w:w="3628"/>
            <w:shd w:val="clear" w:color="auto" w:fill="F2F6FB"/>
          </w:tcPr>
          <w:p>
            <w:pPr>
              <w:spacing w:before="30" w:after="30" w:line="240" w:lineRule="auto"/>
            </w:pPr>
            <w:r/>
            <w:r>
              <w:rPr>
                <w:rFonts w:ascii="Calibri" w:hAnsi="Calibri"/>
                <w:b w:val="0"/>
                <w:sz w:val="16"/>
              </w:rPr>
              <w:t>Role-based access configuration and verification</w:t>
            </w:r>
          </w:p>
        </w:tc>
        <w:tc>
          <w:tcPr>
            <w:tcW w:type="dxa" w:w="4252"/>
            <w:shd w:val="clear" w:color="auto" w:fill="F2F6FB"/>
          </w:tcPr>
          <w:p>
            <w:pPr>
              <w:spacing w:before="30" w:after="30" w:line="240" w:lineRule="auto"/>
            </w:pPr>
            <w:r/>
            <w:r>
              <w:rPr>
                <w:rFonts w:ascii="Calibri" w:hAnsi="Calibri"/>
                <w:b w:val="0"/>
                <w:sz w:val="16"/>
              </w:rPr>
              <w:t>08_Repository_Documents/rbac-setup.md; 05_Test_Evidence/rbac/</w:t>
            </w:r>
          </w:p>
        </w:tc>
        <w:tc>
          <w:tcPr>
            <w:tcW w:type="dxa" w:w="1587"/>
            <w:shd w:val="clear" w:color="auto" w:fill="F2F6FB"/>
          </w:tcPr>
          <w:p>
            <w:pPr>
              <w:spacing w:before="30" w:after="30" w:line="240" w:lineRule="auto"/>
            </w:pPr>
            <w:r/>
            <w:r>
              <w:rPr>
                <w:rFonts w:ascii="Calibri" w:hAnsi="Calibri"/>
                <w:b w:val="0"/>
                <w:sz w:val="16"/>
              </w:rPr>
              <w:t>Sections 4, 5</w:t>
            </w:r>
          </w:p>
        </w:tc>
      </w:tr>
      <w:tr>
        <w:tc>
          <w:tcPr>
            <w:tcW w:type="dxa" w:w="3628"/>
            <w:shd w:val="clear" w:color="auto" w:fill="FFFFFF"/>
          </w:tcPr>
          <w:p>
            <w:pPr>
              <w:spacing w:before="30" w:after="30" w:line="240" w:lineRule="auto"/>
            </w:pPr>
            <w:r/>
            <w:r>
              <w:rPr>
                <w:rFonts w:ascii="Calibri" w:hAnsi="Calibri"/>
                <w:b w:val="0"/>
                <w:sz w:val="16"/>
              </w:rPr>
              <w:t>Feedback response record</w:t>
            </w:r>
          </w:p>
        </w:tc>
        <w:tc>
          <w:tcPr>
            <w:tcW w:type="dxa" w:w="4252"/>
            <w:shd w:val="clear" w:color="auto" w:fill="FFFFFF"/>
          </w:tcPr>
          <w:p>
            <w:pPr>
              <w:spacing w:before="30" w:after="30" w:line="240" w:lineRule="auto"/>
            </w:pPr>
            <w:r/>
            <w:r>
              <w:rPr>
                <w:rFonts w:ascii="Calibri" w:hAnsi="Calibri"/>
                <w:b w:val="0"/>
                <w:sz w:val="16"/>
              </w:rPr>
              <w:t>UFCEP6_Feedback_Response_Record.xlsx</w:t>
            </w:r>
          </w:p>
        </w:tc>
        <w:tc>
          <w:tcPr>
            <w:tcW w:type="dxa" w:w="1587"/>
            <w:shd w:val="clear" w:color="auto" w:fill="FFFFFF"/>
          </w:tcPr>
          <w:p>
            <w:pPr>
              <w:spacing w:before="30" w:after="30" w:line="240" w:lineRule="auto"/>
            </w:pPr>
            <w:r/>
            <w:r>
              <w:rPr>
                <w:rFonts w:ascii="Calibri" w:hAnsi="Calibri"/>
                <w:b w:val="0"/>
                <w:sz w:val="16"/>
              </w:rPr>
              <w:t>Sections 5, 7</w:t>
            </w:r>
          </w:p>
        </w:tc>
      </w:tr>
      <w:tr>
        <w:tc>
          <w:tcPr>
            <w:tcW w:type="dxa" w:w="3628"/>
            <w:shd w:val="clear" w:color="auto" w:fill="F2F6FB"/>
          </w:tcPr>
          <w:p>
            <w:pPr>
              <w:spacing w:before="30" w:after="30" w:line="240" w:lineRule="auto"/>
            </w:pPr>
            <w:r/>
            <w:r>
              <w:rPr>
                <w:rFonts w:ascii="Calibri" w:hAnsi="Calibri"/>
                <w:b w:val="0"/>
                <w:sz w:val="16"/>
              </w:rPr>
              <w:t>Presentation</w:t>
            </w:r>
          </w:p>
        </w:tc>
        <w:tc>
          <w:tcPr>
            <w:tcW w:type="dxa" w:w="4252"/>
            <w:shd w:val="clear" w:color="auto" w:fill="F2F6FB"/>
          </w:tcPr>
          <w:p>
            <w:pPr>
              <w:spacing w:before="30" w:after="30" w:line="240" w:lineRule="auto"/>
            </w:pPr>
            <w:r/>
            <w:r>
              <w:rPr>
                <w:rFonts w:ascii="Calibri" w:hAnsi="Calibri"/>
                <w:b w:val="0"/>
                <w:sz w:val="16"/>
              </w:rPr>
              <w:t>UFCEP6_Slides.pptx / .pdf</w:t>
            </w:r>
          </w:p>
        </w:tc>
        <w:tc>
          <w:tcPr>
            <w:tcW w:type="dxa" w:w="1587"/>
            <w:shd w:val="clear" w:color="auto" w:fill="F2F6FB"/>
          </w:tcPr>
          <w:p>
            <w:pPr>
              <w:spacing w:before="30" w:after="30" w:line="240" w:lineRule="auto"/>
            </w:pPr>
            <w:r/>
            <w:r>
              <w:rPr>
                <w:rFonts w:ascii="Calibri" w:hAnsi="Calibri"/>
                <w:b w:val="0"/>
                <w:sz w:val="16"/>
              </w:rPr>
              <w:t>Slides 12, 13</w:t>
            </w:r>
          </w:p>
        </w:tc>
      </w:tr>
    </w:tbl>
    <w:p>
      <w:pPr>
        <w:spacing w:before="60" w:after="160"/>
      </w:pPr>
      <w:r>
        <w:rPr>
          <w:i/>
          <w:color w:val="595959"/>
          <w:sz w:val="16"/>
        </w:rPr>
        <w:t>Table 14. Evidence index. Each row is a path a reader can open, not a description of a document that might exist.</w:t>
      </w:r>
    </w:p>
    <w:p>
      <w:pPr>
        <w:pStyle w:val="Heading1"/>
      </w:pPr>
      <w:r>
        <w:t>9  What this pack does not settle</w:t>
      </w:r>
    </w:p>
    <w:p>
      <w:pPr>
        <w:spacing w:after="100"/>
      </w:pPr>
      <w:r>
        <w:rPr>
          <w:b w:val="0"/>
          <w:i w:val="0"/>
          <w:sz w:val="20"/>
        </w:rPr>
        <w:t>Four things in the planning record are unresolved, and leaving them visible is deliberate. An evaluator who finds them unstated would be right to assume they were hidden.</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3061"/>
            <w:shd w:val="clear" w:color="auto" w:fill="2E74B5"/>
          </w:tcPr>
          <w:p>
            <w:pPr>
              <w:spacing w:before="30" w:after="30" w:line="240" w:lineRule="auto"/>
            </w:pPr>
            <w:r/>
            <w:r>
              <w:rPr>
                <w:rFonts w:ascii="Calibri" w:hAnsi="Calibri"/>
                <w:b/>
                <w:color w:val="FFFFFF"/>
                <w:sz w:val="16"/>
              </w:rPr>
              <w:t>Open item</w:t>
            </w:r>
          </w:p>
        </w:tc>
        <w:tc>
          <w:tcPr>
            <w:tcW w:type="dxa" w:w="3175"/>
            <w:shd w:val="clear" w:color="auto" w:fill="2E74B5"/>
          </w:tcPr>
          <w:p>
            <w:pPr>
              <w:spacing w:before="30" w:after="30" w:line="240" w:lineRule="auto"/>
            </w:pPr>
            <w:r/>
            <w:r>
              <w:rPr>
                <w:rFonts w:ascii="Calibri" w:hAnsi="Calibri"/>
                <w:b/>
                <w:color w:val="FFFFFF"/>
                <w:sz w:val="16"/>
              </w:rPr>
              <w:t>Why it is unresolved</w:t>
            </w:r>
          </w:p>
        </w:tc>
        <w:tc>
          <w:tcPr>
            <w:tcW w:type="dxa" w:w="3231"/>
            <w:shd w:val="clear" w:color="auto" w:fill="2E74B5"/>
          </w:tcPr>
          <w:p>
            <w:pPr>
              <w:spacing w:before="30" w:after="30" w:line="240" w:lineRule="auto"/>
            </w:pPr>
            <w:r/>
            <w:r>
              <w:rPr>
                <w:rFonts w:ascii="Calibri" w:hAnsi="Calibri"/>
                <w:b/>
                <w:color w:val="FFFFFF"/>
                <w:sz w:val="16"/>
              </w:rPr>
              <w:t>What it changes</w:t>
            </w:r>
          </w:p>
        </w:tc>
      </w:tr>
      <w:tr>
        <w:tc>
          <w:tcPr>
            <w:tcW w:type="dxa" w:w="3061"/>
            <w:shd w:val="clear" w:color="auto" w:fill="F2F6FB"/>
          </w:tcPr>
          <w:p>
            <w:pPr>
              <w:spacing w:before="30" w:after="30" w:line="240" w:lineRule="auto"/>
            </w:pPr>
            <w:r/>
            <w:r>
              <w:rPr>
                <w:rFonts w:ascii="Calibri" w:hAnsi="Calibri"/>
                <w:b w:val="0"/>
                <w:sz w:val="16"/>
              </w:rPr>
              <w:t>Sprint 3 item count: 25 in the workbook against 20 in the task list</w:t>
            </w:r>
          </w:p>
        </w:tc>
        <w:tc>
          <w:tcPr>
            <w:tcW w:type="dxa" w:w="3175"/>
            <w:shd w:val="clear" w:color="auto" w:fill="F2F6FB"/>
          </w:tcPr>
          <w:p>
            <w:pPr>
              <w:spacing w:before="30" w:after="30" w:line="240" w:lineRule="auto"/>
            </w:pPr>
            <w:r/>
            <w:r>
              <w:rPr>
                <w:rFonts w:ascii="Calibri" w:hAnsi="Calibri"/>
                <w:b w:val="0"/>
                <w:sz w:val="16"/>
              </w:rPr>
              <w:t>The two source records disagree and neither has a date that makes one clearly later</w:t>
            </w:r>
          </w:p>
        </w:tc>
        <w:tc>
          <w:tcPr>
            <w:tcW w:type="dxa" w:w="3231"/>
            <w:shd w:val="clear" w:color="auto" w:fill="F2F6FB"/>
          </w:tcPr>
          <w:p>
            <w:pPr>
              <w:spacing w:before="30" w:after="30" w:line="240" w:lineRule="auto"/>
            </w:pPr>
            <w:r/>
            <w:r>
              <w:rPr>
                <w:rFonts w:ascii="Calibri" w:hAnsi="Calibri"/>
                <w:b w:val="0"/>
                <w:sz w:val="16"/>
              </w:rPr>
              <w:t>The count is not used in the evaluation; only planned hours are</w:t>
            </w:r>
          </w:p>
        </w:tc>
      </w:tr>
      <w:tr>
        <w:tc>
          <w:tcPr>
            <w:tcW w:type="dxa" w:w="3061"/>
            <w:shd w:val="clear" w:color="auto" w:fill="FFFFFF"/>
          </w:tcPr>
          <w:p>
            <w:pPr>
              <w:spacing w:before="30" w:after="30" w:line="240" w:lineRule="auto"/>
            </w:pPr>
            <w:r/>
            <w:r>
              <w:rPr>
                <w:rFonts w:ascii="Calibri" w:hAnsi="Calibri"/>
                <w:b w:val="0"/>
                <w:sz w:val="16"/>
              </w:rPr>
              <w:t>Sprint 1 and 2 windows differ between the workbook and SUBMISSION_MAP.md</w:t>
            </w:r>
          </w:p>
        </w:tc>
        <w:tc>
          <w:tcPr>
            <w:tcW w:type="dxa" w:w="3175"/>
            <w:shd w:val="clear" w:color="auto" w:fill="FFFFFF"/>
          </w:tcPr>
          <w:p>
            <w:pPr>
              <w:spacing w:before="30" w:after="30" w:line="240" w:lineRule="auto"/>
            </w:pPr>
            <w:r/>
            <w:r>
              <w:rPr>
                <w:rFonts w:ascii="Calibri" w:hAnsi="Calibri"/>
                <w:b w:val="0"/>
                <w:sz w:val="16"/>
              </w:rPr>
              <w:t>The module team's published dates were not captured in a single place</w:t>
            </w:r>
          </w:p>
        </w:tc>
        <w:tc>
          <w:tcPr>
            <w:tcW w:type="dxa" w:w="3231"/>
            <w:shd w:val="clear" w:color="auto" w:fill="FFFFFF"/>
          </w:tcPr>
          <w:p>
            <w:pPr>
              <w:spacing w:before="30" w:after="30" w:line="240" w:lineRule="auto"/>
            </w:pPr>
            <w:r/>
            <w:r>
              <w:rPr>
                <w:rFonts w:ascii="Calibri" w:hAnsi="Calibri"/>
                <w:b w:val="0"/>
                <w:sz w:val="16"/>
              </w:rPr>
              <w:t>Neither figure is used in any conclusion; only the sprint order is</w:t>
            </w:r>
          </w:p>
        </w:tc>
      </w:tr>
      <w:tr>
        <w:tc>
          <w:tcPr>
            <w:tcW w:type="dxa" w:w="3061"/>
            <w:shd w:val="clear" w:color="auto" w:fill="F2F6FB"/>
          </w:tcPr>
          <w:p>
            <w:pPr>
              <w:spacing w:before="30" w:after="30" w:line="240" w:lineRule="auto"/>
            </w:pPr>
            <w:r/>
            <w:r>
              <w:rPr>
                <w:rFonts w:ascii="Calibri" w:hAnsi="Calibri"/>
                <w:b w:val="0"/>
                <w:sz w:val="16"/>
              </w:rPr>
              <w:t>Actual hours per sprint</w:t>
            </w:r>
          </w:p>
        </w:tc>
        <w:tc>
          <w:tcPr>
            <w:tcW w:type="dxa" w:w="3175"/>
            <w:shd w:val="clear" w:color="auto" w:fill="F2F6FB"/>
          </w:tcPr>
          <w:p>
            <w:pPr>
              <w:spacing w:before="30" w:after="30" w:line="240" w:lineRule="auto"/>
            </w:pPr>
            <w:r/>
            <w:r>
              <w:rPr>
                <w:rFonts w:ascii="Calibri" w:hAnsi="Calibri"/>
                <w:b w:val="0"/>
                <w:sz w:val="16"/>
              </w:rPr>
              <w:t>Hours were estimated and committed but not logged per task consistently</w:t>
            </w:r>
          </w:p>
        </w:tc>
        <w:tc>
          <w:tcPr>
            <w:tcW w:type="dxa" w:w="3231"/>
            <w:shd w:val="clear" w:color="auto" w:fill="F2F6FB"/>
          </w:tcPr>
          <w:p>
            <w:pPr>
              <w:spacing w:before="30" w:after="30" w:line="240" w:lineRule="auto"/>
            </w:pPr>
            <w:r/>
            <w:r>
              <w:rPr>
                <w:rFonts w:ascii="Calibri" w:hAnsi="Calibri"/>
                <w:b w:val="0"/>
                <w:sz w:val="16"/>
              </w:rPr>
              <w:t>The evaluation compares plan with capacity, not plan with actual</w:t>
            </w:r>
          </w:p>
        </w:tc>
      </w:tr>
      <w:tr>
        <w:tc>
          <w:tcPr>
            <w:tcW w:type="dxa" w:w="3061"/>
            <w:shd w:val="clear" w:color="auto" w:fill="FFFFFF"/>
          </w:tcPr>
          <w:p>
            <w:pPr>
              <w:spacing w:before="30" w:after="30" w:line="240" w:lineRule="auto"/>
            </w:pPr>
            <w:r/>
            <w:r>
              <w:rPr>
                <w:rFonts w:ascii="Calibri" w:hAnsi="Calibri"/>
                <w:b w:val="0"/>
                <w:sz w:val="16"/>
              </w:rPr>
              <w:t>S4-24 and the two unimplemented feedback points</w:t>
            </w:r>
          </w:p>
        </w:tc>
        <w:tc>
          <w:tcPr>
            <w:tcW w:type="dxa" w:w="3175"/>
            <w:shd w:val="clear" w:color="auto" w:fill="FFFFFF"/>
          </w:tcPr>
          <w:p>
            <w:pPr>
              <w:spacing w:before="30" w:after="30" w:line="240" w:lineRule="auto"/>
            </w:pPr>
            <w:r/>
            <w:r>
              <w:rPr>
                <w:rFonts w:ascii="Calibri" w:hAnsi="Calibri"/>
                <w:b w:val="0"/>
                <w:sz w:val="16"/>
              </w:rPr>
              <w:t>Dropped for capacity, not rejected</w:t>
            </w:r>
          </w:p>
        </w:tc>
        <w:tc>
          <w:tcPr>
            <w:tcW w:type="dxa" w:w="3231"/>
            <w:shd w:val="clear" w:color="auto" w:fill="FFFFFF"/>
          </w:tcPr>
          <w:p>
            <w:pPr>
              <w:spacing w:before="30" w:after="30" w:line="240" w:lineRule="auto"/>
            </w:pPr>
            <w:r/>
            <w:r>
              <w:rPr>
                <w:rFonts w:ascii="Calibri" w:hAnsi="Calibri"/>
                <w:b w:val="0"/>
                <w:sz w:val="16"/>
              </w:rPr>
              <w:t>Recorded with reason and residual risk; carried as the first items of a further release</w:t>
            </w:r>
          </w:p>
        </w:tc>
      </w:tr>
    </w:tbl>
    <w:p>
      <w:pPr>
        <w:spacing w:before="60" w:after="160"/>
      </w:pPr>
      <w:r>
        <w:rPr>
          <w:i/>
          <w:color w:val="595959"/>
          <w:sz w:val="16"/>
        </w:rPr>
        <w:t>Table 15. Unresolved items in the planning record.</w:t>
      </w:r>
    </w:p>
    <w:sectPr w:rsidR="00FC693F" w:rsidRPr="0006063C" w:rsidSect="00034616">
      <w:headerReference w:type="default" r:id="rId9"/>
      <w:footerReference w:type="default" r:id="rId10"/>
      <w:pgSz w:w="11906" w:h="16838"/>
      <w:pgMar w:top="1134"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 xml:space="preserve">Group 17  ·  max / finn / henry / peter  ·  page </w:t>
    </w:r>
    <w:r>
      <w:rPr>
        <w:color w:val="595959"/>
        <w:sz w:val="16"/>
      </w:rPr>
      <w:fldChar w:fldCharType="begin"/>
      <w:instrText xml:space="preserve">PAGE</w:instrText>
      <w:fldChar w:fldCharType="separate"/>
      <w:t>1</w:t>
      <w:fldChar w:fldCharType="end"/>
    </w:r>
    <w:r>
      <w:rPr>
        <w:color w:val="595959"/>
        <w:sz w:val="16"/>
      </w:rPr>
      <w:t xml:space="preserve"> of </w:t>
    </w:r>
    <w:r>
      <w:rPr>
        <w:color w:val="595959"/>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95959"/>
        <w:sz w:val="16"/>
      </w:rPr>
      <w:t>UFCEP6-0-3 Planning evidence  ·  Hospital Patient Referral, Treatment and Administration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